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iCs/>
          <w:sz w:val="28"/>
          <w:szCs w:val="28"/>
        </w:rPr>
        <w:id w:val="1049189734"/>
        <w:docPartObj>
          <w:docPartGallery w:val="Cover Pages"/>
          <w:docPartUnique/>
        </w:docPartObj>
      </w:sdtPr>
      <w:sdtEndPr>
        <w:rPr>
          <w:b w:val="0"/>
          <w:bCs w:val="0"/>
          <w:iCs w:val="0"/>
        </w:rPr>
      </w:sdtEndPr>
      <w:sdtContent>
        <w:p w:rsidR="00EB2D3D" w:rsidRPr="00D21AC0" w:rsidRDefault="00B95032" w:rsidP="00D21AC0">
          <w:pPr>
            <w:rPr>
              <w:b/>
              <w:noProof/>
              <w:sz w:val="36"/>
              <w:szCs w:val="36"/>
              <w:lang w:eastAsia="en-AU"/>
            </w:rPr>
          </w:pPr>
          <w:r w:rsidRPr="00D21AC0">
            <w:rPr>
              <w:b/>
              <w:noProof/>
              <w:sz w:val="36"/>
              <w:szCs w:val="36"/>
              <w:lang w:eastAsia="en-AU"/>
            </w:rPr>
            <w:drawing>
              <wp:anchor distT="0" distB="0" distL="114300" distR="114300" simplePos="0" relativeHeight="251658752" behindDoc="1" locked="0" layoutInCell="1" allowOverlap="1" wp14:anchorId="325793D8" wp14:editId="64CFA407">
                <wp:simplePos x="0" y="0"/>
                <wp:positionH relativeFrom="column">
                  <wp:posOffset>-427549</wp:posOffset>
                </wp:positionH>
                <wp:positionV relativeFrom="paragraph">
                  <wp:posOffset>-1002665</wp:posOffset>
                </wp:positionV>
                <wp:extent cx="7772400" cy="11291777"/>
                <wp:effectExtent l="0" t="0" r="0" b="5080"/>
                <wp:wrapNone/>
                <wp:docPr id="165" name="Picture 165" descr="&quot; &quot;"/>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1291777"/>
                        </a:xfrm>
                        <a:prstGeom prst="rect">
                          <a:avLst/>
                        </a:prstGeom>
                      </pic:spPr>
                    </pic:pic>
                  </a:graphicData>
                </a:graphic>
                <wp14:sizeRelH relativeFrom="page">
                  <wp14:pctWidth>0</wp14:pctWidth>
                </wp14:sizeRelH>
                <wp14:sizeRelV relativeFrom="page">
                  <wp14:pctHeight>0</wp14:pctHeight>
                </wp14:sizeRelV>
              </wp:anchor>
            </w:drawing>
          </w:r>
          <w:r w:rsidR="00C63F3A" w:rsidRPr="00D21AC0">
            <w:rPr>
              <w:b/>
              <w:noProof/>
              <w:sz w:val="36"/>
              <w:szCs w:val="36"/>
              <w:lang w:eastAsia="en-AU"/>
            </w:rPr>
            <w:drawing>
              <wp:anchor distT="0" distB="0" distL="114300" distR="114300" simplePos="0" relativeHeight="251656704" behindDoc="0" locked="0" layoutInCell="1" allowOverlap="1" wp14:anchorId="0CD4833A" wp14:editId="4FBB0403">
                <wp:simplePos x="0" y="0"/>
                <wp:positionH relativeFrom="column">
                  <wp:posOffset>5840095</wp:posOffset>
                </wp:positionH>
                <wp:positionV relativeFrom="paragraph">
                  <wp:posOffset>19050</wp:posOffset>
                </wp:positionV>
                <wp:extent cx="1057275" cy="1440180"/>
                <wp:effectExtent l="0" t="0" r="0" b="0"/>
                <wp:wrapNone/>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275" cy="1440180"/>
                        </a:xfrm>
                        <a:prstGeom prst="rect">
                          <a:avLst/>
                        </a:prstGeom>
                      </pic:spPr>
                    </pic:pic>
                  </a:graphicData>
                </a:graphic>
                <wp14:sizeRelH relativeFrom="margin">
                  <wp14:pctWidth>0</wp14:pctWidth>
                </wp14:sizeRelH>
                <wp14:sizeRelV relativeFrom="margin">
                  <wp14:pctHeight>0</wp14:pctHeight>
                </wp14:sizeRelV>
              </wp:anchor>
            </w:drawing>
          </w:r>
          <w:r w:rsidR="00EB2D3D" w:rsidRPr="00D21AC0">
            <w:rPr>
              <w:b/>
              <w:noProof/>
              <w:sz w:val="36"/>
              <w:szCs w:val="36"/>
              <w:lang w:eastAsia="en-AU"/>
            </w:rPr>
            <w:t>Indepe</w:t>
          </w:r>
          <w:r w:rsidR="00C63F3A" w:rsidRPr="00D21AC0">
            <w:rPr>
              <w:b/>
              <w:noProof/>
              <w:sz w:val="36"/>
              <w:szCs w:val="36"/>
              <w:lang w:eastAsia="en-AU"/>
            </w:rPr>
            <w:t>ndent Hospital Pricing Authority</w:t>
          </w:r>
        </w:p>
        <w:p w:rsidR="003A5427" w:rsidRDefault="00183BCA" w:rsidP="00AD4FFC">
          <w:pPr>
            <w:pStyle w:val="TitlePlain"/>
          </w:pPr>
          <w:r>
            <w:t xml:space="preserve">Technical Specifications </w:t>
          </w:r>
        </w:p>
        <w:p w:rsidR="00EB2D3D" w:rsidRPr="006F0A93" w:rsidRDefault="000C75BC" w:rsidP="00AD4FFC">
          <w:pPr>
            <w:pStyle w:val="TitlePlain"/>
          </w:pPr>
          <w:r>
            <w:t>2016-17</w:t>
          </w:r>
        </w:p>
        <w:p w:rsidR="00EB2D3D" w:rsidRPr="006F0A93" w:rsidRDefault="00460371" w:rsidP="00AD4FFC">
          <w:pPr>
            <w:pStyle w:val="SubtitlePlain"/>
          </w:pPr>
          <w:r>
            <w:t xml:space="preserve">National Pricing Model </w:t>
          </w:r>
        </w:p>
        <w:p w:rsidR="00EB2D3D" w:rsidRPr="006F0A93" w:rsidRDefault="00EB5449" w:rsidP="00AD4FFC">
          <w:pPr>
            <w:pStyle w:val="VesionanddatePlain"/>
          </w:pPr>
          <w:r>
            <w:t xml:space="preserve">February </w:t>
          </w:r>
          <w:r w:rsidR="003C2176">
            <w:t>201</w:t>
          </w:r>
          <w:r>
            <w:t>6</w:t>
          </w:r>
        </w:p>
        <w:p w:rsidR="00EB2D3D" w:rsidRPr="0007116B" w:rsidRDefault="00FE788C" w:rsidP="00AD4FFC">
          <w:pPr>
            <w:pStyle w:val="VersionandDatePlain"/>
            <w:sectPr w:rsidR="00EB2D3D" w:rsidRPr="0007116B" w:rsidSect="00A03408">
              <w:headerReference w:type="even" r:id="rId10"/>
              <w:headerReference w:type="default" r:id="rId11"/>
              <w:footerReference w:type="even" r:id="rId12"/>
              <w:footerReference w:type="default" r:id="rId13"/>
              <w:headerReference w:type="first" r:id="rId14"/>
              <w:footerReference w:type="first" r:id="rId15"/>
              <w:pgSz w:w="11906" w:h="16838"/>
              <w:pgMar w:top="709" w:right="720" w:bottom="720" w:left="720" w:header="709" w:footer="709" w:gutter="0"/>
              <w:pgNumType w:start="0"/>
              <w:cols w:space="708"/>
              <w:titlePg/>
              <w:docGrid w:linePitch="360"/>
            </w:sectPr>
          </w:pPr>
        </w:p>
      </w:sdtContent>
    </w:sdt>
    <w:p w:rsidR="00185C14" w:rsidRPr="00AF08A0" w:rsidRDefault="00460371" w:rsidP="00AD4FFC">
      <w:pPr>
        <w:pStyle w:val="Reportcopyright"/>
      </w:pPr>
      <w:r>
        <w:rPr>
          <w:rStyle w:val="Strong"/>
          <w:b/>
          <w:bCs w:val="0"/>
        </w:rPr>
        <w:t>National Pricing Model</w:t>
      </w:r>
      <w:r w:rsidR="00C97E1B">
        <w:t xml:space="preserve"> </w:t>
      </w:r>
      <w:r>
        <w:t xml:space="preserve">Technical Specifications </w:t>
      </w:r>
      <w:r w:rsidR="000C75BC">
        <w:t>2016-17</w:t>
      </w:r>
      <w:r w:rsidR="00185C14" w:rsidRPr="00AF08A0">
        <w:t xml:space="preserve"> </w:t>
      </w:r>
    </w:p>
    <w:p w:rsidR="00EB5449" w:rsidRPr="006150B7" w:rsidRDefault="00EB5449" w:rsidP="00EB5449">
      <w:bookmarkStart w:id="0" w:name="_Toc304362254"/>
      <w:r w:rsidRPr="00982F10">
        <w:t xml:space="preserve">© </w:t>
      </w:r>
      <w:r>
        <w:t>Independent Hospital Pricing Authority</w:t>
      </w:r>
      <w:r w:rsidRPr="006150B7">
        <w:t xml:space="preserve"> 201</w:t>
      </w:r>
      <w:r>
        <w:t>6</w:t>
      </w:r>
    </w:p>
    <w:p w:rsidR="00EB5449" w:rsidRPr="006150B7" w:rsidRDefault="00EB5449" w:rsidP="00EB5449">
      <w:pPr>
        <w:tabs>
          <w:tab w:val="left" w:pos="1650"/>
        </w:tabs>
        <w:spacing w:before="100" w:beforeAutospacing="1" w:after="100" w:afterAutospacing="1"/>
        <w:jc w:val="both"/>
        <w:rPr>
          <w:rStyle w:val="A5"/>
          <w:rFonts w:ascii="Calibri" w:hAnsi="Calibri"/>
          <w:sz w:val="24"/>
        </w:rPr>
      </w:pPr>
      <w:r w:rsidRPr="006150B7">
        <w:t>This publication is available for your use under a</w:t>
      </w:r>
      <w:r w:rsidRPr="006150B7">
        <w:rPr>
          <w:rStyle w:val="A5"/>
          <w:rFonts w:ascii="Calibri" w:hAnsi="Calibri" w:cs="Calibri"/>
          <w:sz w:val="24"/>
        </w:rPr>
        <w:t xml:space="preserve"> </w:t>
      </w:r>
      <w:r w:rsidRPr="00614CBE">
        <w:t>Creative Commons BY Attribution 3.0 Australia</w:t>
      </w:r>
      <w:r w:rsidRPr="00E92213">
        <w:rPr>
          <w:rStyle w:val="A5"/>
          <w:rFonts w:ascii="Calibri" w:hAnsi="Calibri" w:cs="Calibri"/>
          <w:sz w:val="24"/>
        </w:rPr>
        <w:t xml:space="preserve"> </w:t>
      </w:r>
      <w:r w:rsidRPr="00E92213">
        <w:t xml:space="preserve">licence, with the exception of the </w:t>
      </w:r>
      <w:r>
        <w:t>Independent Hospital Pricing Authority logo,</w:t>
      </w:r>
      <w:r w:rsidRPr="00E92213">
        <w:t xml:space="preserve"> photogra</w:t>
      </w:r>
      <w:r w:rsidRPr="006150B7">
        <w:t>phs, images, signatures and where otherwise stated. The full licence terms are available from</w:t>
      </w:r>
      <w:r>
        <w:t xml:space="preserve"> </w:t>
      </w:r>
      <w:hyperlink r:id="rId16" w:history="1">
        <w:r w:rsidRPr="00810BAA">
          <w:rPr>
            <w:rStyle w:val="Hyperlink"/>
          </w:rPr>
          <w:t>the Creative Commons website</w:t>
        </w:r>
      </w:hyperlink>
      <w:r>
        <w:t>.</w:t>
      </w:r>
    </w:p>
    <w:p w:rsidR="00EB5449" w:rsidRPr="006150B7" w:rsidRDefault="00EB5449" w:rsidP="00EB5449">
      <w:pPr>
        <w:tabs>
          <w:tab w:val="left" w:pos="1650"/>
        </w:tabs>
        <w:spacing w:before="100" w:beforeAutospacing="1" w:after="100" w:afterAutospacing="1"/>
        <w:jc w:val="both"/>
        <w:rPr>
          <w:rFonts w:cs="Calibri"/>
        </w:rPr>
      </w:pPr>
      <w:r w:rsidRPr="006150B7">
        <w:rPr>
          <w:rFonts w:cs="Calibri"/>
          <w:noProof/>
          <w:sz w:val="24"/>
          <w:lang w:eastAsia="en-AU"/>
        </w:rPr>
        <w:drawing>
          <wp:inline distT="0" distB="0" distL="0" distR="0" wp14:anchorId="5495CCEB" wp14:editId="11E32772">
            <wp:extent cx="809625" cy="285750"/>
            <wp:effectExtent l="0" t="0" r="9525" b="0"/>
            <wp:docPr id="4" name="Picture 4"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EB5449" w:rsidRPr="006150B7" w:rsidRDefault="00EB5449" w:rsidP="00EB5449">
      <w:pPr>
        <w:tabs>
          <w:tab w:val="left" w:pos="1650"/>
        </w:tabs>
        <w:spacing w:before="100" w:beforeAutospacing="1" w:after="100" w:afterAutospacing="1"/>
        <w:jc w:val="both"/>
      </w:pPr>
      <w:r w:rsidRPr="006150B7">
        <w:t xml:space="preserve">Use of </w:t>
      </w:r>
      <w:r>
        <w:t>Independent Hospital Pricing Authority</w:t>
      </w:r>
      <w:r w:rsidRPr="006150B7">
        <w:t xml:space="preserve"> material under </w:t>
      </w:r>
      <w:r w:rsidRPr="00E92213">
        <w:t>a</w:t>
      </w:r>
      <w:r w:rsidRPr="00E92213">
        <w:rPr>
          <w:rFonts w:cs="Calibri"/>
          <w:sz w:val="24"/>
        </w:rPr>
        <w:t xml:space="preserve"> </w:t>
      </w:r>
      <w:r w:rsidRPr="00614CBE">
        <w:t>Creative Commons BY Attribution 3.0 Australia</w:t>
      </w:r>
      <w:r>
        <w:t xml:space="preserve"> </w:t>
      </w:r>
      <w:r w:rsidRPr="00E92213">
        <w:t>licence requires you to attribute the work</w:t>
      </w:r>
      <w:r w:rsidRPr="006150B7">
        <w:t xml:space="preserve"> (but not in any way that suggests that the </w:t>
      </w:r>
      <w:r>
        <w:t xml:space="preserve">Independent Hospital Pricing Authority </w:t>
      </w:r>
      <w:r w:rsidRPr="006150B7">
        <w:t>endorse</w:t>
      </w:r>
      <w:r>
        <w:t>s you or your use of the work).</w:t>
      </w:r>
    </w:p>
    <w:p w:rsidR="00EB5449" w:rsidRPr="00F13939" w:rsidRDefault="00EB5449" w:rsidP="00EB5449">
      <w:pPr>
        <w:jc w:val="both"/>
        <w:rPr>
          <w:i/>
        </w:rPr>
      </w:pPr>
      <w:r>
        <w:rPr>
          <w:i/>
        </w:rPr>
        <w:t>Independent Hospital Pricing Authority</w:t>
      </w:r>
      <w:r w:rsidRPr="00F13939">
        <w:rPr>
          <w:i/>
        </w:rPr>
        <w:t xml:space="preserve"> material used 'as supplied'.</w:t>
      </w:r>
    </w:p>
    <w:p w:rsidR="00EB5449" w:rsidRPr="006150B7" w:rsidRDefault="00EB5449" w:rsidP="00EB5449">
      <w:pPr>
        <w:jc w:val="both"/>
      </w:pPr>
      <w:r w:rsidRPr="006150B7">
        <w:t xml:space="preserve">Provided you have not modified or transformed </w:t>
      </w:r>
      <w:r>
        <w:t>Independent Hospital Pricing Authority</w:t>
      </w:r>
      <w:r w:rsidRPr="006150B7">
        <w:t xml:space="preserve"> material in any way including, for example, by changing </w:t>
      </w:r>
      <w:r>
        <w:t>Independent Hospital Pricing Authority</w:t>
      </w:r>
      <w:r w:rsidRPr="006150B7">
        <w:t xml:space="preserve"> </w:t>
      </w:r>
      <w:r>
        <w:t xml:space="preserve">text </w:t>
      </w:r>
      <w:r w:rsidRPr="006150B7">
        <w:t xml:space="preserve">– then </w:t>
      </w:r>
      <w:r>
        <w:t>the Independent Hospital Pricing Authority</w:t>
      </w:r>
      <w:r w:rsidRPr="006150B7">
        <w:t xml:space="preserve"> pre</w:t>
      </w:r>
      <w:r>
        <w:t>fers the following attribution:</w:t>
      </w:r>
    </w:p>
    <w:p w:rsidR="00EB5449" w:rsidRPr="00003743" w:rsidRDefault="00EB5449" w:rsidP="00EB5449">
      <w:pPr>
        <w:ind w:firstLine="720"/>
        <w:jc w:val="both"/>
        <w:rPr>
          <w:rStyle w:val="IntenseReference"/>
          <w:b w:val="0"/>
          <w:bCs w:val="0"/>
          <w:i w:val="0"/>
          <w:smallCaps w:val="0"/>
        </w:rPr>
      </w:pPr>
      <w:r w:rsidRPr="006150B7">
        <w:rPr>
          <w:i/>
        </w:rPr>
        <w:t xml:space="preserve">Source: The </w:t>
      </w:r>
      <w:r>
        <w:rPr>
          <w:i/>
          <w:iCs/>
        </w:rPr>
        <w:t>Independent Hospital Pricing Authority</w:t>
      </w:r>
    </w:p>
    <w:p w:rsidR="00EB5449" w:rsidRDefault="00EB5449" w:rsidP="00AD4FFC">
      <w:pPr>
        <w:sectPr w:rsidR="00EB5449" w:rsidSect="00460371">
          <w:footerReference w:type="even" r:id="rId18"/>
          <w:footerReference w:type="default" r:id="rId19"/>
          <w:headerReference w:type="first" r:id="rId20"/>
          <w:pgSz w:w="11907" w:h="16839" w:code="9"/>
          <w:pgMar w:top="1440" w:right="1440" w:bottom="1440" w:left="1440" w:header="709" w:footer="709" w:gutter="0"/>
          <w:cols w:space="708"/>
          <w:titlePg/>
          <w:docGrid w:linePitch="360"/>
        </w:sectPr>
      </w:pPr>
    </w:p>
    <w:p w:rsidR="00460371" w:rsidRDefault="00C97E1B" w:rsidP="009B622C">
      <w:pPr>
        <w:pStyle w:val="Heading1"/>
        <w:tabs>
          <w:tab w:val="clear" w:pos="1492"/>
          <w:tab w:val="left" w:pos="3784"/>
        </w:tabs>
        <w:ind w:firstLine="0"/>
      </w:pPr>
      <w:bookmarkStart w:id="1" w:name="_Toc444528565"/>
      <w:r>
        <w:t xml:space="preserve">Table of </w:t>
      </w:r>
      <w:r w:rsidR="00460371" w:rsidRPr="009225AC">
        <w:t>Contents</w:t>
      </w:r>
      <w:bookmarkEnd w:id="1"/>
      <w:r w:rsidR="0076228A">
        <w:tab/>
      </w:r>
    </w:p>
    <w:bookmarkEnd w:id="0"/>
    <w:p w:rsidR="00FE788C" w:rsidRDefault="00460371">
      <w:pPr>
        <w:pStyle w:val="TOC1"/>
        <w:rPr>
          <w:rFonts w:eastAsiaTheme="minorEastAsia"/>
          <w:b w:val="0"/>
          <w:sz w:val="22"/>
          <w:lang w:eastAsia="en-AU"/>
        </w:rPr>
      </w:pPr>
      <w:r>
        <w:fldChar w:fldCharType="begin"/>
      </w:r>
      <w:r>
        <w:instrText xml:space="preserve"> TOC \o "1-3" \h \z \t "Exec summary 1,1" </w:instrText>
      </w:r>
      <w:r>
        <w:fldChar w:fldCharType="separate"/>
      </w:r>
      <w:hyperlink w:anchor="_Toc444528565" w:history="1">
        <w:r w:rsidR="00FE788C" w:rsidRPr="00516119">
          <w:rPr>
            <w:rStyle w:val="Hyperlink"/>
          </w:rPr>
          <w:t>Table of Contents</w:t>
        </w:r>
        <w:r w:rsidR="00FE788C">
          <w:rPr>
            <w:webHidden/>
          </w:rPr>
          <w:tab/>
        </w:r>
        <w:r w:rsidR="00FE788C">
          <w:rPr>
            <w:webHidden/>
          </w:rPr>
          <w:fldChar w:fldCharType="begin"/>
        </w:r>
        <w:r w:rsidR="00FE788C">
          <w:rPr>
            <w:webHidden/>
          </w:rPr>
          <w:instrText xml:space="preserve"> PAGEREF _Toc444528565 \h </w:instrText>
        </w:r>
        <w:r w:rsidR="00FE788C">
          <w:rPr>
            <w:webHidden/>
          </w:rPr>
        </w:r>
        <w:r w:rsidR="00FE788C">
          <w:rPr>
            <w:webHidden/>
          </w:rPr>
          <w:fldChar w:fldCharType="separate"/>
        </w:r>
        <w:r w:rsidR="0027530C">
          <w:rPr>
            <w:webHidden/>
          </w:rPr>
          <w:t>1</w:t>
        </w:r>
        <w:r w:rsidR="00FE788C">
          <w:rPr>
            <w:webHidden/>
          </w:rPr>
          <w:fldChar w:fldCharType="end"/>
        </w:r>
      </w:hyperlink>
    </w:p>
    <w:p w:rsidR="00FE788C" w:rsidRDefault="00FE788C">
      <w:pPr>
        <w:pStyle w:val="TOC1"/>
        <w:rPr>
          <w:rFonts w:eastAsiaTheme="minorEastAsia"/>
          <w:b w:val="0"/>
          <w:sz w:val="22"/>
          <w:lang w:eastAsia="en-AU"/>
        </w:rPr>
      </w:pPr>
      <w:hyperlink w:anchor="_Toc444528566" w:history="1">
        <w:r w:rsidRPr="00516119">
          <w:rPr>
            <w:rStyle w:val="Hyperlink"/>
          </w:rPr>
          <w:t>Table of acronyms and abbreviations</w:t>
        </w:r>
        <w:r>
          <w:rPr>
            <w:webHidden/>
          </w:rPr>
          <w:tab/>
        </w:r>
        <w:r>
          <w:rPr>
            <w:webHidden/>
          </w:rPr>
          <w:fldChar w:fldCharType="begin"/>
        </w:r>
        <w:r>
          <w:rPr>
            <w:webHidden/>
          </w:rPr>
          <w:instrText xml:space="preserve"> PAGEREF _Toc444528566 \h </w:instrText>
        </w:r>
        <w:r>
          <w:rPr>
            <w:webHidden/>
          </w:rPr>
        </w:r>
        <w:r>
          <w:rPr>
            <w:webHidden/>
          </w:rPr>
          <w:fldChar w:fldCharType="separate"/>
        </w:r>
        <w:r w:rsidR="0027530C">
          <w:rPr>
            <w:webHidden/>
          </w:rPr>
          <w:t>4</w:t>
        </w:r>
        <w:r>
          <w:rPr>
            <w:webHidden/>
          </w:rPr>
          <w:fldChar w:fldCharType="end"/>
        </w:r>
      </w:hyperlink>
    </w:p>
    <w:p w:rsidR="00FE788C" w:rsidRDefault="00FE788C">
      <w:pPr>
        <w:pStyle w:val="TOC1"/>
        <w:rPr>
          <w:rFonts w:eastAsiaTheme="minorEastAsia"/>
          <w:b w:val="0"/>
          <w:sz w:val="22"/>
          <w:lang w:eastAsia="en-AU"/>
        </w:rPr>
      </w:pPr>
      <w:hyperlink w:anchor="_Toc444528567" w:history="1">
        <w:r w:rsidRPr="00516119">
          <w:rPr>
            <w:rStyle w:val="Hyperlink"/>
          </w:rPr>
          <w:t>1</w:t>
        </w:r>
        <w:r>
          <w:rPr>
            <w:rFonts w:eastAsiaTheme="minorEastAsia"/>
            <w:b w:val="0"/>
            <w:sz w:val="22"/>
            <w:lang w:eastAsia="en-AU"/>
          </w:rPr>
          <w:tab/>
        </w:r>
        <w:r w:rsidRPr="00516119">
          <w:rPr>
            <w:rStyle w:val="Hyperlink"/>
          </w:rPr>
          <w:t>Overview of process</w:t>
        </w:r>
        <w:r>
          <w:rPr>
            <w:webHidden/>
          </w:rPr>
          <w:tab/>
        </w:r>
        <w:r>
          <w:rPr>
            <w:webHidden/>
          </w:rPr>
          <w:fldChar w:fldCharType="begin"/>
        </w:r>
        <w:r>
          <w:rPr>
            <w:webHidden/>
          </w:rPr>
          <w:instrText xml:space="preserve"> PAGEREF _Toc444528567 \h </w:instrText>
        </w:r>
        <w:r>
          <w:rPr>
            <w:webHidden/>
          </w:rPr>
        </w:r>
        <w:r>
          <w:rPr>
            <w:webHidden/>
          </w:rPr>
          <w:fldChar w:fldCharType="separate"/>
        </w:r>
        <w:r w:rsidR="0027530C">
          <w:rPr>
            <w:webHidden/>
          </w:rPr>
          <w:t>5</w:t>
        </w:r>
        <w:r>
          <w:rPr>
            <w:webHidden/>
          </w:rPr>
          <w:fldChar w:fldCharType="end"/>
        </w:r>
      </w:hyperlink>
    </w:p>
    <w:p w:rsidR="00FE788C" w:rsidRDefault="00FE788C">
      <w:pPr>
        <w:pStyle w:val="TOC2"/>
        <w:rPr>
          <w:rFonts w:eastAsiaTheme="minorEastAsia"/>
          <w:color w:val="auto"/>
          <w:lang w:eastAsia="en-AU"/>
        </w:rPr>
      </w:pPr>
      <w:hyperlink w:anchor="_Toc444528568" w:history="1">
        <w:r w:rsidRPr="00516119">
          <w:rPr>
            <w:rStyle w:val="Hyperlink"/>
          </w:rPr>
          <w:t>1.1</w:t>
        </w:r>
        <w:r>
          <w:rPr>
            <w:rFonts w:eastAsiaTheme="minorEastAsia"/>
            <w:color w:val="auto"/>
            <w:lang w:eastAsia="en-AU"/>
          </w:rPr>
          <w:tab/>
        </w:r>
        <w:r w:rsidRPr="00516119">
          <w:rPr>
            <w:rStyle w:val="Hyperlink"/>
          </w:rPr>
          <w:t>Backcasting</w:t>
        </w:r>
        <w:r>
          <w:rPr>
            <w:webHidden/>
          </w:rPr>
          <w:tab/>
        </w:r>
        <w:r>
          <w:rPr>
            <w:webHidden/>
          </w:rPr>
          <w:fldChar w:fldCharType="begin"/>
        </w:r>
        <w:r>
          <w:rPr>
            <w:webHidden/>
          </w:rPr>
          <w:instrText xml:space="preserve"> PAGEREF _Toc444528568 \h </w:instrText>
        </w:r>
        <w:r>
          <w:rPr>
            <w:webHidden/>
          </w:rPr>
        </w:r>
        <w:r>
          <w:rPr>
            <w:webHidden/>
          </w:rPr>
          <w:fldChar w:fldCharType="separate"/>
        </w:r>
        <w:r w:rsidR="0027530C">
          <w:rPr>
            <w:webHidden/>
          </w:rPr>
          <w:t>9</w:t>
        </w:r>
        <w:r>
          <w:rPr>
            <w:webHidden/>
          </w:rPr>
          <w:fldChar w:fldCharType="end"/>
        </w:r>
      </w:hyperlink>
    </w:p>
    <w:p w:rsidR="00FE788C" w:rsidRDefault="00FE788C">
      <w:pPr>
        <w:pStyle w:val="TOC1"/>
        <w:rPr>
          <w:rFonts w:eastAsiaTheme="minorEastAsia"/>
          <w:b w:val="0"/>
          <w:sz w:val="22"/>
          <w:lang w:eastAsia="en-AU"/>
        </w:rPr>
      </w:pPr>
      <w:hyperlink w:anchor="_Toc444528569" w:history="1">
        <w:r w:rsidRPr="00516119">
          <w:rPr>
            <w:rStyle w:val="Hyperlink"/>
          </w:rPr>
          <w:t>2</w:t>
        </w:r>
        <w:r>
          <w:rPr>
            <w:rFonts w:eastAsiaTheme="minorEastAsia"/>
            <w:b w:val="0"/>
            <w:sz w:val="22"/>
            <w:lang w:eastAsia="en-AU"/>
          </w:rPr>
          <w:tab/>
        </w:r>
        <w:r w:rsidRPr="00516119">
          <w:rPr>
            <w:rStyle w:val="Hyperlink"/>
          </w:rPr>
          <w:t>Admitted acute care cost model</w:t>
        </w:r>
        <w:r>
          <w:rPr>
            <w:webHidden/>
          </w:rPr>
          <w:tab/>
        </w:r>
        <w:r>
          <w:rPr>
            <w:webHidden/>
          </w:rPr>
          <w:fldChar w:fldCharType="begin"/>
        </w:r>
        <w:r>
          <w:rPr>
            <w:webHidden/>
          </w:rPr>
          <w:instrText xml:space="preserve"> PAGEREF _Toc444528569 \h </w:instrText>
        </w:r>
        <w:r>
          <w:rPr>
            <w:webHidden/>
          </w:rPr>
        </w:r>
        <w:r>
          <w:rPr>
            <w:webHidden/>
          </w:rPr>
          <w:fldChar w:fldCharType="separate"/>
        </w:r>
        <w:r w:rsidR="0027530C">
          <w:rPr>
            <w:webHidden/>
          </w:rPr>
          <w:t>11</w:t>
        </w:r>
        <w:r>
          <w:rPr>
            <w:webHidden/>
          </w:rPr>
          <w:fldChar w:fldCharType="end"/>
        </w:r>
      </w:hyperlink>
    </w:p>
    <w:p w:rsidR="00FE788C" w:rsidRDefault="00FE788C">
      <w:pPr>
        <w:pStyle w:val="TOC2"/>
        <w:rPr>
          <w:rFonts w:eastAsiaTheme="minorEastAsia"/>
          <w:color w:val="auto"/>
          <w:lang w:eastAsia="en-AU"/>
        </w:rPr>
      </w:pPr>
      <w:hyperlink w:anchor="_Toc444528570" w:history="1">
        <w:r w:rsidRPr="00516119">
          <w:rPr>
            <w:rStyle w:val="Hyperlink"/>
          </w:rPr>
          <w:t>2.1</w:t>
        </w:r>
        <w:r>
          <w:rPr>
            <w:rFonts w:eastAsiaTheme="minorEastAsia"/>
            <w:color w:val="auto"/>
            <w:lang w:eastAsia="en-AU"/>
          </w:rPr>
          <w:tab/>
        </w:r>
        <w:r w:rsidRPr="00516119">
          <w:rPr>
            <w:rStyle w:val="Hyperlink"/>
          </w:rPr>
          <w:t>General Issues</w:t>
        </w:r>
        <w:r>
          <w:rPr>
            <w:webHidden/>
          </w:rPr>
          <w:tab/>
        </w:r>
        <w:r>
          <w:rPr>
            <w:webHidden/>
          </w:rPr>
          <w:fldChar w:fldCharType="begin"/>
        </w:r>
        <w:r>
          <w:rPr>
            <w:webHidden/>
          </w:rPr>
          <w:instrText xml:space="preserve"> PAGEREF _Toc444528570 \h </w:instrText>
        </w:r>
        <w:r>
          <w:rPr>
            <w:webHidden/>
          </w:rPr>
        </w:r>
        <w:r>
          <w:rPr>
            <w:webHidden/>
          </w:rPr>
          <w:fldChar w:fldCharType="separate"/>
        </w:r>
        <w:r w:rsidR="0027530C">
          <w:rPr>
            <w:webHidden/>
          </w:rPr>
          <w:t>11</w:t>
        </w:r>
        <w:r>
          <w:rPr>
            <w:webHidden/>
          </w:rPr>
          <w:fldChar w:fldCharType="end"/>
        </w:r>
      </w:hyperlink>
    </w:p>
    <w:p w:rsidR="00FE788C" w:rsidRDefault="00FE788C">
      <w:pPr>
        <w:pStyle w:val="TOC3"/>
        <w:rPr>
          <w:rFonts w:eastAsiaTheme="minorEastAsia"/>
          <w:i w:val="0"/>
          <w:color w:val="auto"/>
          <w:lang w:eastAsia="en-AU"/>
        </w:rPr>
      </w:pPr>
      <w:hyperlink w:anchor="_Toc444528571" w:history="1">
        <w:r w:rsidRPr="00516119">
          <w:rPr>
            <w:rStyle w:val="Hyperlink"/>
          </w:rPr>
          <w:t>2.1.1</w:t>
        </w:r>
        <w:r>
          <w:rPr>
            <w:rFonts w:eastAsiaTheme="minorEastAsia"/>
            <w:i w:val="0"/>
            <w:color w:val="auto"/>
            <w:lang w:eastAsia="en-AU"/>
          </w:rPr>
          <w:tab/>
        </w:r>
        <w:r w:rsidRPr="00516119">
          <w:rPr>
            <w:rStyle w:val="Hyperlink"/>
          </w:rPr>
          <w:t>Cost unit</w:t>
        </w:r>
        <w:r>
          <w:rPr>
            <w:webHidden/>
          </w:rPr>
          <w:tab/>
        </w:r>
        <w:r>
          <w:rPr>
            <w:webHidden/>
          </w:rPr>
          <w:fldChar w:fldCharType="begin"/>
        </w:r>
        <w:r>
          <w:rPr>
            <w:webHidden/>
          </w:rPr>
          <w:instrText xml:space="preserve"> PAGEREF _Toc444528571 \h </w:instrText>
        </w:r>
        <w:r>
          <w:rPr>
            <w:webHidden/>
          </w:rPr>
        </w:r>
        <w:r>
          <w:rPr>
            <w:webHidden/>
          </w:rPr>
          <w:fldChar w:fldCharType="separate"/>
        </w:r>
        <w:r w:rsidR="0027530C">
          <w:rPr>
            <w:webHidden/>
          </w:rPr>
          <w:t>11</w:t>
        </w:r>
        <w:r>
          <w:rPr>
            <w:webHidden/>
          </w:rPr>
          <w:fldChar w:fldCharType="end"/>
        </w:r>
      </w:hyperlink>
    </w:p>
    <w:p w:rsidR="00FE788C" w:rsidRDefault="00FE788C">
      <w:pPr>
        <w:pStyle w:val="TOC3"/>
        <w:rPr>
          <w:rFonts w:eastAsiaTheme="minorEastAsia"/>
          <w:i w:val="0"/>
          <w:color w:val="auto"/>
          <w:lang w:eastAsia="en-AU"/>
        </w:rPr>
      </w:pPr>
      <w:hyperlink w:anchor="_Toc444528572" w:history="1">
        <w:r w:rsidRPr="00516119">
          <w:rPr>
            <w:rStyle w:val="Hyperlink"/>
          </w:rPr>
          <w:t>2.1.2</w:t>
        </w:r>
        <w:r>
          <w:rPr>
            <w:rFonts w:eastAsiaTheme="minorEastAsia"/>
            <w:i w:val="0"/>
            <w:color w:val="auto"/>
            <w:lang w:eastAsia="en-AU"/>
          </w:rPr>
          <w:tab/>
        </w:r>
        <w:r w:rsidRPr="00516119">
          <w:rPr>
            <w:rStyle w:val="Hyperlink"/>
          </w:rPr>
          <w:t>In-scope activity</w:t>
        </w:r>
        <w:r>
          <w:rPr>
            <w:webHidden/>
          </w:rPr>
          <w:tab/>
        </w:r>
        <w:r>
          <w:rPr>
            <w:webHidden/>
          </w:rPr>
          <w:fldChar w:fldCharType="begin"/>
        </w:r>
        <w:r>
          <w:rPr>
            <w:webHidden/>
          </w:rPr>
          <w:instrText xml:space="preserve"> PAGEREF _Toc444528572 \h </w:instrText>
        </w:r>
        <w:r>
          <w:rPr>
            <w:webHidden/>
          </w:rPr>
        </w:r>
        <w:r>
          <w:rPr>
            <w:webHidden/>
          </w:rPr>
          <w:fldChar w:fldCharType="separate"/>
        </w:r>
        <w:r w:rsidR="0027530C">
          <w:rPr>
            <w:webHidden/>
          </w:rPr>
          <w:t>11</w:t>
        </w:r>
        <w:r>
          <w:rPr>
            <w:webHidden/>
          </w:rPr>
          <w:fldChar w:fldCharType="end"/>
        </w:r>
      </w:hyperlink>
    </w:p>
    <w:p w:rsidR="00FE788C" w:rsidRDefault="00FE788C">
      <w:pPr>
        <w:pStyle w:val="TOC3"/>
        <w:rPr>
          <w:rFonts w:eastAsiaTheme="minorEastAsia"/>
          <w:i w:val="0"/>
          <w:color w:val="auto"/>
          <w:lang w:eastAsia="en-AU"/>
        </w:rPr>
      </w:pPr>
      <w:hyperlink w:anchor="_Toc444528573" w:history="1">
        <w:r w:rsidRPr="00516119">
          <w:rPr>
            <w:rStyle w:val="Hyperlink"/>
          </w:rPr>
          <w:t>2.1.3</w:t>
        </w:r>
        <w:r>
          <w:rPr>
            <w:rFonts w:eastAsiaTheme="minorEastAsia"/>
            <w:i w:val="0"/>
            <w:color w:val="auto"/>
            <w:lang w:eastAsia="en-AU"/>
          </w:rPr>
          <w:tab/>
        </w:r>
        <w:r w:rsidRPr="00516119">
          <w:rPr>
            <w:rStyle w:val="Hyperlink"/>
          </w:rPr>
          <w:t>In-scope patients</w:t>
        </w:r>
        <w:r>
          <w:rPr>
            <w:webHidden/>
          </w:rPr>
          <w:tab/>
        </w:r>
        <w:r>
          <w:rPr>
            <w:webHidden/>
          </w:rPr>
          <w:fldChar w:fldCharType="begin"/>
        </w:r>
        <w:r>
          <w:rPr>
            <w:webHidden/>
          </w:rPr>
          <w:instrText xml:space="preserve"> PAGEREF _Toc444528573 \h </w:instrText>
        </w:r>
        <w:r>
          <w:rPr>
            <w:webHidden/>
          </w:rPr>
        </w:r>
        <w:r>
          <w:rPr>
            <w:webHidden/>
          </w:rPr>
          <w:fldChar w:fldCharType="separate"/>
        </w:r>
        <w:r w:rsidR="0027530C">
          <w:rPr>
            <w:webHidden/>
          </w:rPr>
          <w:t>11</w:t>
        </w:r>
        <w:r>
          <w:rPr>
            <w:webHidden/>
          </w:rPr>
          <w:fldChar w:fldCharType="end"/>
        </w:r>
      </w:hyperlink>
    </w:p>
    <w:p w:rsidR="00FE788C" w:rsidRDefault="00FE788C">
      <w:pPr>
        <w:pStyle w:val="TOC3"/>
        <w:rPr>
          <w:rFonts w:eastAsiaTheme="minorEastAsia"/>
          <w:i w:val="0"/>
          <w:color w:val="auto"/>
          <w:lang w:eastAsia="en-AU"/>
        </w:rPr>
      </w:pPr>
      <w:hyperlink w:anchor="_Toc444528574" w:history="1">
        <w:r w:rsidRPr="00516119">
          <w:rPr>
            <w:rStyle w:val="Hyperlink"/>
          </w:rPr>
          <w:t>2.1.4</w:t>
        </w:r>
        <w:r>
          <w:rPr>
            <w:rFonts w:eastAsiaTheme="minorEastAsia"/>
            <w:i w:val="0"/>
            <w:color w:val="auto"/>
            <w:lang w:eastAsia="en-AU"/>
          </w:rPr>
          <w:tab/>
        </w:r>
        <w:r w:rsidRPr="00516119">
          <w:rPr>
            <w:rStyle w:val="Hyperlink"/>
          </w:rPr>
          <w:t>Classification</w:t>
        </w:r>
        <w:r>
          <w:rPr>
            <w:webHidden/>
          </w:rPr>
          <w:tab/>
        </w:r>
        <w:r>
          <w:rPr>
            <w:webHidden/>
          </w:rPr>
          <w:fldChar w:fldCharType="begin"/>
        </w:r>
        <w:r>
          <w:rPr>
            <w:webHidden/>
          </w:rPr>
          <w:instrText xml:space="preserve"> PAGEREF _Toc444528574 \h </w:instrText>
        </w:r>
        <w:r>
          <w:rPr>
            <w:webHidden/>
          </w:rPr>
        </w:r>
        <w:r>
          <w:rPr>
            <w:webHidden/>
          </w:rPr>
          <w:fldChar w:fldCharType="separate"/>
        </w:r>
        <w:r w:rsidR="0027530C">
          <w:rPr>
            <w:webHidden/>
          </w:rPr>
          <w:t>12</w:t>
        </w:r>
        <w:r>
          <w:rPr>
            <w:webHidden/>
          </w:rPr>
          <w:fldChar w:fldCharType="end"/>
        </w:r>
      </w:hyperlink>
    </w:p>
    <w:p w:rsidR="00FE788C" w:rsidRDefault="00FE788C">
      <w:pPr>
        <w:pStyle w:val="TOC2"/>
        <w:rPr>
          <w:rFonts w:eastAsiaTheme="minorEastAsia"/>
          <w:color w:val="auto"/>
          <w:lang w:eastAsia="en-AU"/>
        </w:rPr>
      </w:pPr>
      <w:hyperlink w:anchor="_Toc444528575" w:history="1">
        <w:r w:rsidRPr="00516119">
          <w:rPr>
            <w:rStyle w:val="Hyperlink"/>
          </w:rPr>
          <w:t>2.2</w:t>
        </w:r>
        <w:r>
          <w:rPr>
            <w:rFonts w:eastAsiaTheme="minorEastAsia"/>
            <w:color w:val="auto"/>
            <w:lang w:eastAsia="en-AU"/>
          </w:rPr>
          <w:tab/>
        </w:r>
        <w:r w:rsidRPr="00516119">
          <w:rPr>
            <w:rStyle w:val="Hyperlink"/>
          </w:rPr>
          <w:t>Analysis of costs to derive NWAU for admitted acute care</w:t>
        </w:r>
        <w:r>
          <w:rPr>
            <w:webHidden/>
          </w:rPr>
          <w:tab/>
        </w:r>
        <w:r>
          <w:rPr>
            <w:webHidden/>
          </w:rPr>
          <w:fldChar w:fldCharType="begin"/>
        </w:r>
        <w:r>
          <w:rPr>
            <w:webHidden/>
          </w:rPr>
          <w:instrText xml:space="preserve"> PAGEREF _Toc444528575 \h </w:instrText>
        </w:r>
        <w:r>
          <w:rPr>
            <w:webHidden/>
          </w:rPr>
        </w:r>
        <w:r>
          <w:rPr>
            <w:webHidden/>
          </w:rPr>
          <w:fldChar w:fldCharType="separate"/>
        </w:r>
        <w:r w:rsidR="0027530C">
          <w:rPr>
            <w:webHidden/>
          </w:rPr>
          <w:t>12</w:t>
        </w:r>
        <w:r>
          <w:rPr>
            <w:webHidden/>
          </w:rPr>
          <w:fldChar w:fldCharType="end"/>
        </w:r>
      </w:hyperlink>
    </w:p>
    <w:p w:rsidR="00FE788C" w:rsidRDefault="00FE788C">
      <w:pPr>
        <w:pStyle w:val="TOC3"/>
        <w:rPr>
          <w:rFonts w:eastAsiaTheme="minorEastAsia"/>
          <w:i w:val="0"/>
          <w:color w:val="auto"/>
          <w:lang w:eastAsia="en-AU"/>
        </w:rPr>
      </w:pPr>
      <w:hyperlink w:anchor="_Toc444528576" w:history="1">
        <w:r w:rsidRPr="00516119">
          <w:rPr>
            <w:rStyle w:val="Hyperlink"/>
          </w:rPr>
          <w:t>2.2.1</w:t>
        </w:r>
        <w:r>
          <w:rPr>
            <w:rFonts w:eastAsiaTheme="minorEastAsia"/>
            <w:i w:val="0"/>
            <w:color w:val="auto"/>
            <w:lang w:eastAsia="en-AU"/>
          </w:rPr>
          <w:tab/>
        </w:r>
        <w:r w:rsidRPr="00516119">
          <w:rPr>
            <w:rStyle w:val="Hyperlink"/>
          </w:rPr>
          <w:t>Data preparation</w:t>
        </w:r>
        <w:r>
          <w:rPr>
            <w:webHidden/>
          </w:rPr>
          <w:tab/>
        </w:r>
        <w:r>
          <w:rPr>
            <w:webHidden/>
          </w:rPr>
          <w:fldChar w:fldCharType="begin"/>
        </w:r>
        <w:r>
          <w:rPr>
            <w:webHidden/>
          </w:rPr>
          <w:instrText xml:space="preserve"> PAGEREF _Toc444528576 \h </w:instrText>
        </w:r>
        <w:r>
          <w:rPr>
            <w:webHidden/>
          </w:rPr>
        </w:r>
        <w:r>
          <w:rPr>
            <w:webHidden/>
          </w:rPr>
          <w:fldChar w:fldCharType="separate"/>
        </w:r>
        <w:r w:rsidR="0027530C">
          <w:rPr>
            <w:webHidden/>
          </w:rPr>
          <w:t>13</w:t>
        </w:r>
        <w:r>
          <w:rPr>
            <w:webHidden/>
          </w:rPr>
          <w:fldChar w:fldCharType="end"/>
        </w:r>
      </w:hyperlink>
    </w:p>
    <w:p w:rsidR="00FE788C" w:rsidRDefault="00FE788C">
      <w:pPr>
        <w:pStyle w:val="TOC3"/>
        <w:rPr>
          <w:rFonts w:eastAsiaTheme="minorEastAsia"/>
          <w:i w:val="0"/>
          <w:color w:val="auto"/>
          <w:lang w:eastAsia="en-AU"/>
        </w:rPr>
      </w:pPr>
      <w:hyperlink w:anchor="_Toc444528577" w:history="1">
        <w:r w:rsidRPr="00516119">
          <w:rPr>
            <w:rStyle w:val="Hyperlink"/>
          </w:rPr>
          <w:t>2.2.2</w:t>
        </w:r>
        <w:r>
          <w:rPr>
            <w:rFonts w:eastAsiaTheme="minorEastAsia"/>
            <w:i w:val="0"/>
            <w:color w:val="auto"/>
            <w:lang w:eastAsia="en-AU"/>
          </w:rPr>
          <w:tab/>
        </w:r>
        <w:r w:rsidRPr="00516119">
          <w:rPr>
            <w:rStyle w:val="Hyperlink"/>
          </w:rPr>
          <w:t>Stratification and weighting</w:t>
        </w:r>
        <w:r>
          <w:rPr>
            <w:webHidden/>
          </w:rPr>
          <w:tab/>
        </w:r>
        <w:r>
          <w:rPr>
            <w:webHidden/>
          </w:rPr>
          <w:fldChar w:fldCharType="begin"/>
        </w:r>
        <w:r>
          <w:rPr>
            <w:webHidden/>
          </w:rPr>
          <w:instrText xml:space="preserve"> PAGEREF _Toc444528577 \h </w:instrText>
        </w:r>
        <w:r>
          <w:rPr>
            <w:webHidden/>
          </w:rPr>
        </w:r>
        <w:r>
          <w:rPr>
            <w:webHidden/>
          </w:rPr>
          <w:fldChar w:fldCharType="separate"/>
        </w:r>
        <w:r w:rsidR="0027530C">
          <w:rPr>
            <w:webHidden/>
          </w:rPr>
          <w:t>14</w:t>
        </w:r>
        <w:r>
          <w:rPr>
            <w:webHidden/>
          </w:rPr>
          <w:fldChar w:fldCharType="end"/>
        </w:r>
      </w:hyperlink>
    </w:p>
    <w:p w:rsidR="00FE788C" w:rsidRDefault="00FE788C">
      <w:pPr>
        <w:pStyle w:val="TOC3"/>
        <w:rPr>
          <w:rFonts w:eastAsiaTheme="minorEastAsia"/>
          <w:i w:val="0"/>
          <w:color w:val="auto"/>
          <w:lang w:eastAsia="en-AU"/>
        </w:rPr>
      </w:pPr>
      <w:hyperlink w:anchor="_Toc444528578" w:history="1">
        <w:r w:rsidRPr="00516119">
          <w:rPr>
            <w:rStyle w:val="Hyperlink"/>
          </w:rPr>
          <w:t>2.2.3</w:t>
        </w:r>
        <w:r>
          <w:rPr>
            <w:rFonts w:eastAsiaTheme="minorEastAsia"/>
            <w:i w:val="0"/>
            <w:color w:val="auto"/>
            <w:lang w:eastAsia="en-AU"/>
          </w:rPr>
          <w:tab/>
        </w:r>
        <w:r w:rsidRPr="00516119">
          <w:rPr>
            <w:rStyle w:val="Hyperlink"/>
          </w:rPr>
          <w:t>Inlier bounds</w:t>
        </w:r>
        <w:r>
          <w:rPr>
            <w:webHidden/>
          </w:rPr>
          <w:tab/>
        </w:r>
        <w:r>
          <w:rPr>
            <w:webHidden/>
          </w:rPr>
          <w:fldChar w:fldCharType="begin"/>
        </w:r>
        <w:r>
          <w:rPr>
            <w:webHidden/>
          </w:rPr>
          <w:instrText xml:space="preserve"> PAGEREF _Toc444528578 \h </w:instrText>
        </w:r>
        <w:r>
          <w:rPr>
            <w:webHidden/>
          </w:rPr>
        </w:r>
        <w:r>
          <w:rPr>
            <w:webHidden/>
          </w:rPr>
          <w:fldChar w:fldCharType="separate"/>
        </w:r>
        <w:r w:rsidR="0027530C">
          <w:rPr>
            <w:webHidden/>
          </w:rPr>
          <w:t>14</w:t>
        </w:r>
        <w:r>
          <w:rPr>
            <w:webHidden/>
          </w:rPr>
          <w:fldChar w:fldCharType="end"/>
        </w:r>
      </w:hyperlink>
    </w:p>
    <w:p w:rsidR="00FE788C" w:rsidRDefault="00FE788C">
      <w:pPr>
        <w:pStyle w:val="TOC3"/>
        <w:rPr>
          <w:rFonts w:eastAsiaTheme="minorEastAsia"/>
          <w:i w:val="0"/>
          <w:color w:val="auto"/>
          <w:lang w:eastAsia="en-AU"/>
        </w:rPr>
      </w:pPr>
      <w:hyperlink w:anchor="_Toc444528579" w:history="1">
        <w:r w:rsidRPr="00516119">
          <w:rPr>
            <w:rStyle w:val="Hyperlink"/>
          </w:rPr>
          <w:t>2.2.4</w:t>
        </w:r>
        <w:r>
          <w:rPr>
            <w:rFonts w:eastAsiaTheme="minorEastAsia"/>
            <w:i w:val="0"/>
            <w:color w:val="auto"/>
            <w:lang w:eastAsia="en-AU"/>
          </w:rPr>
          <w:tab/>
        </w:r>
        <w:r w:rsidRPr="00516119">
          <w:rPr>
            <w:rStyle w:val="Hyperlink"/>
          </w:rPr>
          <w:t>Classification of patient-level cost data in relevant categories</w:t>
        </w:r>
        <w:r>
          <w:rPr>
            <w:webHidden/>
          </w:rPr>
          <w:tab/>
        </w:r>
        <w:r>
          <w:rPr>
            <w:webHidden/>
          </w:rPr>
          <w:fldChar w:fldCharType="begin"/>
        </w:r>
        <w:r>
          <w:rPr>
            <w:webHidden/>
          </w:rPr>
          <w:instrText xml:space="preserve"> PAGEREF _Toc444528579 \h </w:instrText>
        </w:r>
        <w:r>
          <w:rPr>
            <w:webHidden/>
          </w:rPr>
        </w:r>
        <w:r>
          <w:rPr>
            <w:webHidden/>
          </w:rPr>
          <w:fldChar w:fldCharType="separate"/>
        </w:r>
        <w:r w:rsidR="0027530C">
          <w:rPr>
            <w:webHidden/>
          </w:rPr>
          <w:t>15</w:t>
        </w:r>
        <w:r>
          <w:rPr>
            <w:webHidden/>
          </w:rPr>
          <w:fldChar w:fldCharType="end"/>
        </w:r>
      </w:hyperlink>
    </w:p>
    <w:p w:rsidR="00FE788C" w:rsidRDefault="00FE788C">
      <w:pPr>
        <w:pStyle w:val="TOC3"/>
        <w:rPr>
          <w:rFonts w:eastAsiaTheme="minorEastAsia"/>
          <w:i w:val="0"/>
          <w:color w:val="auto"/>
          <w:lang w:eastAsia="en-AU"/>
        </w:rPr>
      </w:pPr>
      <w:hyperlink w:anchor="_Toc444528580" w:history="1">
        <w:r w:rsidRPr="00516119">
          <w:rPr>
            <w:rStyle w:val="Hyperlink"/>
          </w:rPr>
          <w:t>2.2.5</w:t>
        </w:r>
        <w:r>
          <w:rPr>
            <w:rFonts w:eastAsiaTheme="minorEastAsia"/>
            <w:i w:val="0"/>
            <w:color w:val="auto"/>
            <w:lang w:eastAsia="en-AU"/>
          </w:rPr>
          <w:tab/>
        </w:r>
        <w:r w:rsidRPr="00516119">
          <w:rPr>
            <w:rStyle w:val="Hyperlink"/>
          </w:rPr>
          <w:t>Determine ICU adjustment level and deduct associated costs</w:t>
        </w:r>
        <w:r>
          <w:rPr>
            <w:webHidden/>
          </w:rPr>
          <w:tab/>
        </w:r>
        <w:r>
          <w:rPr>
            <w:webHidden/>
          </w:rPr>
          <w:fldChar w:fldCharType="begin"/>
        </w:r>
        <w:r>
          <w:rPr>
            <w:webHidden/>
          </w:rPr>
          <w:instrText xml:space="preserve"> PAGEREF _Toc444528580 \h </w:instrText>
        </w:r>
        <w:r>
          <w:rPr>
            <w:webHidden/>
          </w:rPr>
        </w:r>
        <w:r>
          <w:rPr>
            <w:webHidden/>
          </w:rPr>
          <w:fldChar w:fldCharType="separate"/>
        </w:r>
        <w:r w:rsidR="0027530C">
          <w:rPr>
            <w:webHidden/>
          </w:rPr>
          <w:t>16</w:t>
        </w:r>
        <w:r>
          <w:rPr>
            <w:webHidden/>
          </w:rPr>
          <w:fldChar w:fldCharType="end"/>
        </w:r>
      </w:hyperlink>
    </w:p>
    <w:p w:rsidR="00FE788C" w:rsidRDefault="00FE788C">
      <w:pPr>
        <w:pStyle w:val="TOC3"/>
        <w:rPr>
          <w:rFonts w:eastAsiaTheme="minorEastAsia"/>
          <w:i w:val="0"/>
          <w:color w:val="auto"/>
          <w:lang w:eastAsia="en-AU"/>
        </w:rPr>
      </w:pPr>
      <w:hyperlink w:anchor="_Toc444528581" w:history="1">
        <w:r w:rsidRPr="00516119">
          <w:rPr>
            <w:rStyle w:val="Hyperlink"/>
          </w:rPr>
          <w:t>2.2.6</w:t>
        </w:r>
        <w:r>
          <w:rPr>
            <w:rFonts w:eastAsiaTheme="minorEastAsia"/>
            <w:i w:val="0"/>
            <w:color w:val="auto"/>
            <w:lang w:eastAsia="en-AU"/>
          </w:rPr>
          <w:tab/>
        </w:r>
        <w:r w:rsidRPr="00516119">
          <w:rPr>
            <w:rStyle w:val="Hyperlink"/>
          </w:rPr>
          <w:t>DRG Inlier/Outlier Model</w:t>
        </w:r>
        <w:r>
          <w:rPr>
            <w:webHidden/>
          </w:rPr>
          <w:tab/>
        </w:r>
        <w:r>
          <w:rPr>
            <w:webHidden/>
          </w:rPr>
          <w:fldChar w:fldCharType="begin"/>
        </w:r>
        <w:r>
          <w:rPr>
            <w:webHidden/>
          </w:rPr>
          <w:instrText xml:space="preserve"> PAGEREF _Toc444528581 \h </w:instrText>
        </w:r>
        <w:r>
          <w:rPr>
            <w:webHidden/>
          </w:rPr>
        </w:r>
        <w:r>
          <w:rPr>
            <w:webHidden/>
          </w:rPr>
          <w:fldChar w:fldCharType="separate"/>
        </w:r>
        <w:r w:rsidR="0027530C">
          <w:rPr>
            <w:webHidden/>
          </w:rPr>
          <w:t>17</w:t>
        </w:r>
        <w:r>
          <w:rPr>
            <w:webHidden/>
          </w:rPr>
          <w:fldChar w:fldCharType="end"/>
        </w:r>
      </w:hyperlink>
    </w:p>
    <w:p w:rsidR="00FE788C" w:rsidRDefault="00FE788C">
      <w:pPr>
        <w:pStyle w:val="TOC3"/>
        <w:rPr>
          <w:rFonts w:eastAsiaTheme="minorEastAsia"/>
          <w:i w:val="0"/>
          <w:color w:val="auto"/>
          <w:lang w:eastAsia="en-AU"/>
        </w:rPr>
      </w:pPr>
      <w:hyperlink w:anchor="_Toc444528582" w:history="1">
        <w:r w:rsidRPr="00516119">
          <w:rPr>
            <w:rStyle w:val="Hyperlink"/>
          </w:rPr>
          <w:t>2.2.7</w:t>
        </w:r>
        <w:r>
          <w:rPr>
            <w:rFonts w:eastAsiaTheme="minorEastAsia"/>
            <w:i w:val="0"/>
            <w:color w:val="auto"/>
            <w:lang w:eastAsia="en-AU"/>
          </w:rPr>
          <w:tab/>
        </w:r>
        <w:r w:rsidRPr="00516119">
          <w:rPr>
            <w:rStyle w:val="Hyperlink"/>
          </w:rPr>
          <w:t>Calculation of additional adjustments</w:t>
        </w:r>
        <w:r>
          <w:rPr>
            <w:webHidden/>
          </w:rPr>
          <w:tab/>
        </w:r>
        <w:r>
          <w:rPr>
            <w:webHidden/>
          </w:rPr>
          <w:fldChar w:fldCharType="begin"/>
        </w:r>
        <w:r>
          <w:rPr>
            <w:webHidden/>
          </w:rPr>
          <w:instrText xml:space="preserve"> PAGEREF _Toc444528582 \h </w:instrText>
        </w:r>
        <w:r>
          <w:rPr>
            <w:webHidden/>
          </w:rPr>
        </w:r>
        <w:r>
          <w:rPr>
            <w:webHidden/>
          </w:rPr>
          <w:fldChar w:fldCharType="separate"/>
        </w:r>
        <w:r w:rsidR="0027530C">
          <w:rPr>
            <w:webHidden/>
          </w:rPr>
          <w:t>18</w:t>
        </w:r>
        <w:r>
          <w:rPr>
            <w:webHidden/>
          </w:rPr>
          <w:fldChar w:fldCharType="end"/>
        </w:r>
      </w:hyperlink>
    </w:p>
    <w:p w:rsidR="00FE788C" w:rsidRDefault="00FE788C">
      <w:pPr>
        <w:pStyle w:val="TOC3"/>
        <w:rPr>
          <w:rFonts w:eastAsiaTheme="minorEastAsia"/>
          <w:i w:val="0"/>
          <w:color w:val="auto"/>
          <w:lang w:eastAsia="en-AU"/>
        </w:rPr>
      </w:pPr>
      <w:hyperlink w:anchor="_Toc444528583" w:history="1">
        <w:r w:rsidRPr="00516119">
          <w:rPr>
            <w:rStyle w:val="Hyperlink"/>
          </w:rPr>
          <w:t>2.2.8</w:t>
        </w:r>
        <w:r>
          <w:rPr>
            <w:rFonts w:eastAsiaTheme="minorEastAsia"/>
            <w:i w:val="0"/>
            <w:color w:val="auto"/>
            <w:lang w:eastAsia="en-AU"/>
          </w:rPr>
          <w:tab/>
        </w:r>
        <w:r w:rsidRPr="00516119">
          <w:rPr>
            <w:rStyle w:val="Hyperlink"/>
          </w:rPr>
          <w:t>Posthumous organ donation activity</w:t>
        </w:r>
        <w:r>
          <w:rPr>
            <w:webHidden/>
          </w:rPr>
          <w:tab/>
        </w:r>
        <w:r>
          <w:rPr>
            <w:webHidden/>
          </w:rPr>
          <w:fldChar w:fldCharType="begin"/>
        </w:r>
        <w:r>
          <w:rPr>
            <w:webHidden/>
          </w:rPr>
          <w:instrText xml:space="preserve"> PAGEREF _Toc444528583 \h </w:instrText>
        </w:r>
        <w:r>
          <w:rPr>
            <w:webHidden/>
          </w:rPr>
        </w:r>
        <w:r>
          <w:rPr>
            <w:webHidden/>
          </w:rPr>
          <w:fldChar w:fldCharType="separate"/>
        </w:r>
        <w:r w:rsidR="0027530C">
          <w:rPr>
            <w:webHidden/>
          </w:rPr>
          <w:t>19</w:t>
        </w:r>
        <w:r>
          <w:rPr>
            <w:webHidden/>
          </w:rPr>
          <w:fldChar w:fldCharType="end"/>
        </w:r>
      </w:hyperlink>
    </w:p>
    <w:p w:rsidR="00FE788C" w:rsidRDefault="00FE788C">
      <w:pPr>
        <w:pStyle w:val="TOC3"/>
        <w:rPr>
          <w:rFonts w:eastAsiaTheme="minorEastAsia"/>
          <w:i w:val="0"/>
          <w:color w:val="auto"/>
          <w:lang w:eastAsia="en-AU"/>
        </w:rPr>
      </w:pPr>
      <w:hyperlink w:anchor="_Toc444528584" w:history="1">
        <w:r w:rsidRPr="00516119">
          <w:rPr>
            <w:rStyle w:val="Hyperlink"/>
          </w:rPr>
          <w:t>2.2.9</w:t>
        </w:r>
        <w:r>
          <w:rPr>
            <w:rFonts w:eastAsiaTheme="minorEastAsia"/>
            <w:i w:val="0"/>
            <w:color w:val="auto"/>
            <w:lang w:eastAsia="en-AU"/>
          </w:rPr>
          <w:tab/>
        </w:r>
        <w:r w:rsidRPr="00516119">
          <w:rPr>
            <w:rStyle w:val="Hyperlink"/>
          </w:rPr>
          <w:t>Private patient adjustments</w:t>
        </w:r>
        <w:r>
          <w:rPr>
            <w:webHidden/>
          </w:rPr>
          <w:tab/>
        </w:r>
        <w:r>
          <w:rPr>
            <w:webHidden/>
          </w:rPr>
          <w:fldChar w:fldCharType="begin"/>
        </w:r>
        <w:r>
          <w:rPr>
            <w:webHidden/>
          </w:rPr>
          <w:instrText xml:space="preserve"> PAGEREF _Toc444528584 \h </w:instrText>
        </w:r>
        <w:r>
          <w:rPr>
            <w:webHidden/>
          </w:rPr>
        </w:r>
        <w:r>
          <w:rPr>
            <w:webHidden/>
          </w:rPr>
          <w:fldChar w:fldCharType="separate"/>
        </w:r>
        <w:r w:rsidR="0027530C">
          <w:rPr>
            <w:webHidden/>
          </w:rPr>
          <w:t>20</w:t>
        </w:r>
        <w:r>
          <w:rPr>
            <w:webHidden/>
          </w:rPr>
          <w:fldChar w:fldCharType="end"/>
        </w:r>
      </w:hyperlink>
    </w:p>
    <w:p w:rsidR="00FE788C" w:rsidRDefault="00FE788C">
      <w:pPr>
        <w:pStyle w:val="TOC3"/>
        <w:rPr>
          <w:rFonts w:eastAsiaTheme="minorEastAsia"/>
          <w:i w:val="0"/>
          <w:color w:val="auto"/>
          <w:lang w:eastAsia="en-AU"/>
        </w:rPr>
      </w:pPr>
      <w:hyperlink w:anchor="_Toc444528585" w:history="1">
        <w:r w:rsidRPr="00516119">
          <w:rPr>
            <w:rStyle w:val="Hyperlink"/>
          </w:rPr>
          <w:t>2.2.10</w:t>
        </w:r>
        <w:r>
          <w:rPr>
            <w:rFonts w:eastAsiaTheme="minorEastAsia"/>
            <w:i w:val="0"/>
            <w:color w:val="auto"/>
            <w:lang w:eastAsia="en-AU"/>
          </w:rPr>
          <w:tab/>
        </w:r>
        <w:r w:rsidRPr="00516119">
          <w:rPr>
            <w:rStyle w:val="Hyperlink"/>
          </w:rPr>
          <w:t>Incorporation of outlier samples of cost data</w:t>
        </w:r>
        <w:r>
          <w:rPr>
            <w:webHidden/>
          </w:rPr>
          <w:tab/>
        </w:r>
        <w:r>
          <w:rPr>
            <w:webHidden/>
          </w:rPr>
          <w:fldChar w:fldCharType="begin"/>
        </w:r>
        <w:r>
          <w:rPr>
            <w:webHidden/>
          </w:rPr>
          <w:instrText xml:space="preserve"> PAGEREF _Toc444528585 \h </w:instrText>
        </w:r>
        <w:r>
          <w:rPr>
            <w:webHidden/>
          </w:rPr>
        </w:r>
        <w:r>
          <w:rPr>
            <w:webHidden/>
          </w:rPr>
          <w:fldChar w:fldCharType="separate"/>
        </w:r>
        <w:r w:rsidR="0027530C">
          <w:rPr>
            <w:webHidden/>
          </w:rPr>
          <w:t>21</w:t>
        </w:r>
        <w:r>
          <w:rPr>
            <w:webHidden/>
          </w:rPr>
          <w:fldChar w:fldCharType="end"/>
        </w:r>
      </w:hyperlink>
    </w:p>
    <w:p w:rsidR="00FE788C" w:rsidRDefault="00FE788C">
      <w:pPr>
        <w:pStyle w:val="TOC3"/>
        <w:rPr>
          <w:rFonts w:eastAsiaTheme="minorEastAsia"/>
          <w:i w:val="0"/>
          <w:color w:val="auto"/>
          <w:lang w:eastAsia="en-AU"/>
        </w:rPr>
      </w:pPr>
      <w:hyperlink w:anchor="_Toc444528586" w:history="1">
        <w:r w:rsidRPr="00516119">
          <w:rPr>
            <w:rStyle w:val="Hyperlink"/>
          </w:rPr>
          <w:t>2.2.11</w:t>
        </w:r>
        <w:r>
          <w:rPr>
            <w:rFonts w:eastAsiaTheme="minorEastAsia"/>
            <w:i w:val="0"/>
            <w:color w:val="auto"/>
            <w:lang w:eastAsia="en-AU"/>
          </w:rPr>
          <w:tab/>
        </w:r>
        <w:r w:rsidRPr="00516119">
          <w:rPr>
            <w:rStyle w:val="Hyperlink"/>
          </w:rPr>
          <w:t>Price weights and NWAU</w:t>
        </w:r>
        <w:r>
          <w:rPr>
            <w:webHidden/>
          </w:rPr>
          <w:tab/>
        </w:r>
        <w:r>
          <w:rPr>
            <w:webHidden/>
          </w:rPr>
          <w:fldChar w:fldCharType="begin"/>
        </w:r>
        <w:r>
          <w:rPr>
            <w:webHidden/>
          </w:rPr>
          <w:instrText xml:space="preserve"> PAGEREF _Toc444528586 \h </w:instrText>
        </w:r>
        <w:r>
          <w:rPr>
            <w:webHidden/>
          </w:rPr>
        </w:r>
        <w:r>
          <w:rPr>
            <w:webHidden/>
          </w:rPr>
          <w:fldChar w:fldCharType="separate"/>
        </w:r>
        <w:r w:rsidR="0027530C">
          <w:rPr>
            <w:webHidden/>
          </w:rPr>
          <w:t>21</w:t>
        </w:r>
        <w:r>
          <w:rPr>
            <w:webHidden/>
          </w:rPr>
          <w:fldChar w:fldCharType="end"/>
        </w:r>
      </w:hyperlink>
    </w:p>
    <w:p w:rsidR="00FE788C" w:rsidRDefault="00FE788C">
      <w:pPr>
        <w:pStyle w:val="TOC2"/>
        <w:rPr>
          <w:rFonts w:eastAsiaTheme="minorEastAsia"/>
          <w:color w:val="auto"/>
          <w:lang w:eastAsia="en-AU"/>
        </w:rPr>
      </w:pPr>
      <w:hyperlink w:anchor="_Toc444528587" w:history="1">
        <w:r w:rsidRPr="00516119">
          <w:rPr>
            <w:rStyle w:val="Hyperlink"/>
          </w:rPr>
          <w:t>2.3</w:t>
        </w:r>
        <w:r>
          <w:rPr>
            <w:rFonts w:eastAsiaTheme="minorEastAsia"/>
            <w:color w:val="auto"/>
            <w:lang w:eastAsia="en-AU"/>
          </w:rPr>
          <w:tab/>
        </w:r>
        <w:r w:rsidRPr="00516119">
          <w:rPr>
            <w:rStyle w:val="Hyperlink"/>
          </w:rPr>
          <w:t>Applying the NEP</w:t>
        </w:r>
        <w:r>
          <w:rPr>
            <w:webHidden/>
          </w:rPr>
          <w:tab/>
        </w:r>
        <w:r>
          <w:rPr>
            <w:webHidden/>
          </w:rPr>
          <w:fldChar w:fldCharType="begin"/>
        </w:r>
        <w:r>
          <w:rPr>
            <w:webHidden/>
          </w:rPr>
          <w:instrText xml:space="preserve"> PAGEREF _Toc444528587 \h </w:instrText>
        </w:r>
        <w:r>
          <w:rPr>
            <w:webHidden/>
          </w:rPr>
        </w:r>
        <w:r>
          <w:rPr>
            <w:webHidden/>
          </w:rPr>
          <w:fldChar w:fldCharType="separate"/>
        </w:r>
        <w:r w:rsidR="0027530C">
          <w:rPr>
            <w:webHidden/>
          </w:rPr>
          <w:t>21</w:t>
        </w:r>
        <w:r>
          <w:rPr>
            <w:webHidden/>
          </w:rPr>
          <w:fldChar w:fldCharType="end"/>
        </w:r>
      </w:hyperlink>
    </w:p>
    <w:p w:rsidR="00FE788C" w:rsidRDefault="00FE788C">
      <w:pPr>
        <w:pStyle w:val="TOC2"/>
        <w:rPr>
          <w:rFonts w:eastAsiaTheme="minorEastAsia"/>
          <w:color w:val="auto"/>
          <w:lang w:eastAsia="en-AU"/>
        </w:rPr>
      </w:pPr>
      <w:hyperlink w:anchor="_Toc444528588" w:history="1">
        <w:r w:rsidRPr="00516119">
          <w:rPr>
            <w:rStyle w:val="Hyperlink"/>
          </w:rPr>
          <w:t>2.4</w:t>
        </w:r>
        <w:r>
          <w:rPr>
            <w:rFonts w:eastAsiaTheme="minorEastAsia"/>
            <w:color w:val="auto"/>
            <w:lang w:eastAsia="en-AU"/>
          </w:rPr>
          <w:tab/>
        </w:r>
        <w:r w:rsidRPr="00516119">
          <w:rPr>
            <w:rStyle w:val="Hyperlink"/>
          </w:rPr>
          <w:t>Assigning NWAU to admitted acute patient data</w:t>
        </w:r>
        <w:r>
          <w:rPr>
            <w:webHidden/>
          </w:rPr>
          <w:tab/>
        </w:r>
        <w:r>
          <w:rPr>
            <w:webHidden/>
          </w:rPr>
          <w:fldChar w:fldCharType="begin"/>
        </w:r>
        <w:r>
          <w:rPr>
            <w:webHidden/>
          </w:rPr>
          <w:instrText xml:space="preserve"> PAGEREF _Toc444528588 \h </w:instrText>
        </w:r>
        <w:r>
          <w:rPr>
            <w:webHidden/>
          </w:rPr>
        </w:r>
        <w:r>
          <w:rPr>
            <w:webHidden/>
          </w:rPr>
          <w:fldChar w:fldCharType="separate"/>
        </w:r>
        <w:r w:rsidR="0027530C">
          <w:rPr>
            <w:webHidden/>
          </w:rPr>
          <w:t>22</w:t>
        </w:r>
        <w:r>
          <w:rPr>
            <w:webHidden/>
          </w:rPr>
          <w:fldChar w:fldCharType="end"/>
        </w:r>
      </w:hyperlink>
    </w:p>
    <w:p w:rsidR="00FE788C" w:rsidRDefault="00FE788C">
      <w:pPr>
        <w:pStyle w:val="TOC3"/>
        <w:rPr>
          <w:rFonts w:eastAsiaTheme="minorEastAsia"/>
          <w:i w:val="0"/>
          <w:color w:val="auto"/>
          <w:lang w:eastAsia="en-AU"/>
        </w:rPr>
      </w:pPr>
      <w:hyperlink w:anchor="_Toc444528589" w:history="1">
        <w:r w:rsidRPr="00516119">
          <w:rPr>
            <w:rStyle w:val="Hyperlink"/>
          </w:rPr>
          <w:t>2.4.1</w:t>
        </w:r>
        <w:r>
          <w:rPr>
            <w:rFonts w:eastAsiaTheme="minorEastAsia"/>
            <w:i w:val="0"/>
            <w:color w:val="auto"/>
            <w:lang w:eastAsia="en-AU"/>
          </w:rPr>
          <w:tab/>
        </w:r>
        <w:r w:rsidRPr="00516119">
          <w:rPr>
            <w:rStyle w:val="Hyperlink"/>
          </w:rPr>
          <w:t>Data Preparation and Calculation NWAU</w:t>
        </w:r>
        <w:r>
          <w:rPr>
            <w:webHidden/>
          </w:rPr>
          <w:tab/>
        </w:r>
        <w:r>
          <w:rPr>
            <w:webHidden/>
          </w:rPr>
          <w:fldChar w:fldCharType="begin"/>
        </w:r>
        <w:r>
          <w:rPr>
            <w:webHidden/>
          </w:rPr>
          <w:instrText xml:space="preserve"> PAGEREF _Toc444528589 \h </w:instrText>
        </w:r>
        <w:r>
          <w:rPr>
            <w:webHidden/>
          </w:rPr>
        </w:r>
        <w:r>
          <w:rPr>
            <w:webHidden/>
          </w:rPr>
          <w:fldChar w:fldCharType="separate"/>
        </w:r>
        <w:r w:rsidR="0027530C">
          <w:rPr>
            <w:webHidden/>
          </w:rPr>
          <w:t>22</w:t>
        </w:r>
        <w:r>
          <w:rPr>
            <w:webHidden/>
          </w:rPr>
          <w:fldChar w:fldCharType="end"/>
        </w:r>
      </w:hyperlink>
    </w:p>
    <w:p w:rsidR="00FE788C" w:rsidRDefault="00FE788C">
      <w:pPr>
        <w:pStyle w:val="TOC3"/>
        <w:rPr>
          <w:rFonts w:eastAsiaTheme="minorEastAsia"/>
          <w:i w:val="0"/>
          <w:color w:val="auto"/>
          <w:lang w:eastAsia="en-AU"/>
        </w:rPr>
      </w:pPr>
      <w:hyperlink w:anchor="_Toc444528590" w:history="1">
        <w:r w:rsidRPr="00516119">
          <w:rPr>
            <w:rStyle w:val="Hyperlink"/>
          </w:rPr>
          <w:t>2.4.2</w:t>
        </w:r>
        <w:r>
          <w:rPr>
            <w:rFonts w:eastAsiaTheme="minorEastAsia"/>
            <w:i w:val="0"/>
            <w:color w:val="auto"/>
            <w:lang w:eastAsia="en-AU"/>
          </w:rPr>
          <w:tab/>
        </w:r>
        <w:r w:rsidRPr="00516119">
          <w:rPr>
            <w:rStyle w:val="Hyperlink"/>
          </w:rPr>
          <w:t>Calculation of NWAU</w:t>
        </w:r>
        <w:r>
          <w:rPr>
            <w:webHidden/>
          </w:rPr>
          <w:tab/>
        </w:r>
        <w:r>
          <w:rPr>
            <w:webHidden/>
          </w:rPr>
          <w:fldChar w:fldCharType="begin"/>
        </w:r>
        <w:r>
          <w:rPr>
            <w:webHidden/>
          </w:rPr>
          <w:instrText xml:space="preserve"> PAGEREF _Toc444528590 \h </w:instrText>
        </w:r>
        <w:r>
          <w:rPr>
            <w:webHidden/>
          </w:rPr>
        </w:r>
        <w:r>
          <w:rPr>
            <w:webHidden/>
          </w:rPr>
          <w:fldChar w:fldCharType="separate"/>
        </w:r>
        <w:r w:rsidR="0027530C">
          <w:rPr>
            <w:webHidden/>
          </w:rPr>
          <w:t>27</w:t>
        </w:r>
        <w:r>
          <w:rPr>
            <w:webHidden/>
          </w:rPr>
          <w:fldChar w:fldCharType="end"/>
        </w:r>
      </w:hyperlink>
    </w:p>
    <w:p w:rsidR="00FE788C" w:rsidRDefault="00FE788C">
      <w:pPr>
        <w:pStyle w:val="TOC1"/>
        <w:rPr>
          <w:rFonts w:eastAsiaTheme="minorEastAsia"/>
          <w:b w:val="0"/>
          <w:sz w:val="22"/>
          <w:lang w:eastAsia="en-AU"/>
        </w:rPr>
      </w:pPr>
      <w:hyperlink w:anchor="_Toc444528591" w:history="1">
        <w:r w:rsidRPr="00516119">
          <w:rPr>
            <w:rStyle w:val="Hyperlink"/>
          </w:rPr>
          <w:t>3</w:t>
        </w:r>
        <w:r>
          <w:rPr>
            <w:rFonts w:eastAsiaTheme="minorEastAsia"/>
            <w:b w:val="0"/>
            <w:sz w:val="22"/>
            <w:lang w:eastAsia="en-AU"/>
          </w:rPr>
          <w:tab/>
        </w:r>
        <w:r w:rsidRPr="00516119">
          <w:rPr>
            <w:rStyle w:val="Hyperlink"/>
          </w:rPr>
          <w:t>Mental health care cost model</w:t>
        </w:r>
        <w:r>
          <w:rPr>
            <w:webHidden/>
          </w:rPr>
          <w:tab/>
        </w:r>
        <w:r>
          <w:rPr>
            <w:webHidden/>
          </w:rPr>
          <w:fldChar w:fldCharType="begin"/>
        </w:r>
        <w:r>
          <w:rPr>
            <w:webHidden/>
          </w:rPr>
          <w:instrText xml:space="preserve"> PAGEREF _Toc444528591 \h </w:instrText>
        </w:r>
        <w:r>
          <w:rPr>
            <w:webHidden/>
          </w:rPr>
        </w:r>
        <w:r>
          <w:rPr>
            <w:webHidden/>
          </w:rPr>
          <w:fldChar w:fldCharType="separate"/>
        </w:r>
        <w:r w:rsidR="0027530C">
          <w:rPr>
            <w:webHidden/>
          </w:rPr>
          <w:t>29</w:t>
        </w:r>
        <w:r>
          <w:rPr>
            <w:webHidden/>
          </w:rPr>
          <w:fldChar w:fldCharType="end"/>
        </w:r>
      </w:hyperlink>
    </w:p>
    <w:p w:rsidR="00FE788C" w:rsidRDefault="00FE788C">
      <w:pPr>
        <w:pStyle w:val="TOC2"/>
        <w:rPr>
          <w:rFonts w:eastAsiaTheme="minorEastAsia"/>
          <w:color w:val="auto"/>
          <w:lang w:eastAsia="en-AU"/>
        </w:rPr>
      </w:pPr>
      <w:hyperlink w:anchor="_Toc444528592" w:history="1">
        <w:r w:rsidRPr="00516119">
          <w:rPr>
            <w:rStyle w:val="Hyperlink"/>
          </w:rPr>
          <w:t>3.1</w:t>
        </w:r>
        <w:r>
          <w:rPr>
            <w:rFonts w:eastAsiaTheme="minorEastAsia"/>
            <w:color w:val="auto"/>
            <w:lang w:eastAsia="en-AU"/>
          </w:rPr>
          <w:tab/>
        </w:r>
        <w:r w:rsidRPr="00516119">
          <w:rPr>
            <w:rStyle w:val="Hyperlink"/>
          </w:rPr>
          <w:t>General issues</w:t>
        </w:r>
        <w:r>
          <w:rPr>
            <w:webHidden/>
          </w:rPr>
          <w:tab/>
        </w:r>
        <w:r>
          <w:rPr>
            <w:webHidden/>
          </w:rPr>
          <w:fldChar w:fldCharType="begin"/>
        </w:r>
        <w:r>
          <w:rPr>
            <w:webHidden/>
          </w:rPr>
          <w:instrText xml:space="preserve"> PAGEREF _Toc444528592 \h </w:instrText>
        </w:r>
        <w:r>
          <w:rPr>
            <w:webHidden/>
          </w:rPr>
        </w:r>
        <w:r>
          <w:rPr>
            <w:webHidden/>
          </w:rPr>
          <w:fldChar w:fldCharType="separate"/>
        </w:r>
        <w:r w:rsidR="0027530C">
          <w:rPr>
            <w:webHidden/>
          </w:rPr>
          <w:t>29</w:t>
        </w:r>
        <w:r>
          <w:rPr>
            <w:webHidden/>
          </w:rPr>
          <w:fldChar w:fldCharType="end"/>
        </w:r>
      </w:hyperlink>
    </w:p>
    <w:p w:rsidR="00FE788C" w:rsidRDefault="00FE788C">
      <w:pPr>
        <w:pStyle w:val="TOC3"/>
        <w:rPr>
          <w:rFonts w:eastAsiaTheme="minorEastAsia"/>
          <w:i w:val="0"/>
          <w:color w:val="auto"/>
          <w:lang w:eastAsia="en-AU"/>
        </w:rPr>
      </w:pPr>
      <w:hyperlink w:anchor="_Toc444528593" w:history="1">
        <w:r w:rsidRPr="00516119">
          <w:rPr>
            <w:rStyle w:val="Hyperlink"/>
          </w:rPr>
          <w:t>3.1.1</w:t>
        </w:r>
        <w:r>
          <w:rPr>
            <w:rFonts w:eastAsiaTheme="minorEastAsia"/>
            <w:i w:val="0"/>
            <w:color w:val="auto"/>
            <w:lang w:eastAsia="en-AU"/>
          </w:rPr>
          <w:tab/>
        </w:r>
        <w:r w:rsidRPr="00516119">
          <w:rPr>
            <w:rStyle w:val="Hyperlink"/>
          </w:rPr>
          <w:t>Cost unit</w:t>
        </w:r>
        <w:r>
          <w:rPr>
            <w:webHidden/>
          </w:rPr>
          <w:tab/>
        </w:r>
        <w:r>
          <w:rPr>
            <w:webHidden/>
          </w:rPr>
          <w:fldChar w:fldCharType="begin"/>
        </w:r>
        <w:r>
          <w:rPr>
            <w:webHidden/>
          </w:rPr>
          <w:instrText xml:space="preserve"> PAGEREF _Toc444528593 \h </w:instrText>
        </w:r>
        <w:r>
          <w:rPr>
            <w:webHidden/>
          </w:rPr>
        </w:r>
        <w:r>
          <w:rPr>
            <w:webHidden/>
          </w:rPr>
          <w:fldChar w:fldCharType="separate"/>
        </w:r>
        <w:r w:rsidR="0027530C">
          <w:rPr>
            <w:webHidden/>
          </w:rPr>
          <w:t>29</w:t>
        </w:r>
        <w:r>
          <w:rPr>
            <w:webHidden/>
          </w:rPr>
          <w:fldChar w:fldCharType="end"/>
        </w:r>
      </w:hyperlink>
    </w:p>
    <w:p w:rsidR="00FE788C" w:rsidRDefault="00FE788C">
      <w:pPr>
        <w:pStyle w:val="TOC3"/>
        <w:rPr>
          <w:rFonts w:eastAsiaTheme="minorEastAsia"/>
          <w:i w:val="0"/>
          <w:color w:val="auto"/>
          <w:lang w:eastAsia="en-AU"/>
        </w:rPr>
      </w:pPr>
      <w:hyperlink w:anchor="_Toc444528594" w:history="1">
        <w:r w:rsidRPr="00516119">
          <w:rPr>
            <w:rStyle w:val="Hyperlink"/>
          </w:rPr>
          <w:t>3.1.2</w:t>
        </w:r>
        <w:r>
          <w:rPr>
            <w:rFonts w:eastAsiaTheme="minorEastAsia"/>
            <w:i w:val="0"/>
            <w:color w:val="auto"/>
            <w:lang w:eastAsia="en-AU"/>
          </w:rPr>
          <w:tab/>
        </w:r>
        <w:r w:rsidRPr="00516119">
          <w:rPr>
            <w:rStyle w:val="Hyperlink"/>
          </w:rPr>
          <w:t>Scope</w:t>
        </w:r>
        <w:r>
          <w:rPr>
            <w:webHidden/>
          </w:rPr>
          <w:tab/>
        </w:r>
        <w:r>
          <w:rPr>
            <w:webHidden/>
          </w:rPr>
          <w:fldChar w:fldCharType="begin"/>
        </w:r>
        <w:r>
          <w:rPr>
            <w:webHidden/>
          </w:rPr>
          <w:instrText xml:space="preserve"> PAGEREF _Toc444528594 \h </w:instrText>
        </w:r>
        <w:r>
          <w:rPr>
            <w:webHidden/>
          </w:rPr>
        </w:r>
        <w:r>
          <w:rPr>
            <w:webHidden/>
          </w:rPr>
          <w:fldChar w:fldCharType="separate"/>
        </w:r>
        <w:r w:rsidR="0027530C">
          <w:rPr>
            <w:webHidden/>
          </w:rPr>
          <w:t>29</w:t>
        </w:r>
        <w:r>
          <w:rPr>
            <w:webHidden/>
          </w:rPr>
          <w:fldChar w:fldCharType="end"/>
        </w:r>
      </w:hyperlink>
    </w:p>
    <w:p w:rsidR="00FE788C" w:rsidRDefault="00FE788C">
      <w:pPr>
        <w:pStyle w:val="TOC3"/>
        <w:rPr>
          <w:rFonts w:eastAsiaTheme="minorEastAsia"/>
          <w:i w:val="0"/>
          <w:color w:val="auto"/>
          <w:lang w:eastAsia="en-AU"/>
        </w:rPr>
      </w:pPr>
      <w:hyperlink w:anchor="_Toc444528595" w:history="1">
        <w:r w:rsidRPr="00516119">
          <w:rPr>
            <w:rStyle w:val="Hyperlink"/>
          </w:rPr>
          <w:t>3.1.3</w:t>
        </w:r>
        <w:r>
          <w:rPr>
            <w:rFonts w:eastAsiaTheme="minorEastAsia"/>
            <w:i w:val="0"/>
            <w:color w:val="auto"/>
            <w:lang w:eastAsia="en-AU"/>
          </w:rPr>
          <w:tab/>
        </w:r>
        <w:r w:rsidRPr="00516119">
          <w:rPr>
            <w:rStyle w:val="Hyperlink"/>
          </w:rPr>
          <w:t>Classification</w:t>
        </w:r>
        <w:r>
          <w:rPr>
            <w:webHidden/>
          </w:rPr>
          <w:tab/>
        </w:r>
        <w:r>
          <w:rPr>
            <w:webHidden/>
          </w:rPr>
          <w:fldChar w:fldCharType="begin"/>
        </w:r>
        <w:r>
          <w:rPr>
            <w:webHidden/>
          </w:rPr>
          <w:instrText xml:space="preserve"> PAGEREF _Toc444528595 \h </w:instrText>
        </w:r>
        <w:r>
          <w:rPr>
            <w:webHidden/>
          </w:rPr>
        </w:r>
        <w:r>
          <w:rPr>
            <w:webHidden/>
          </w:rPr>
          <w:fldChar w:fldCharType="separate"/>
        </w:r>
        <w:r w:rsidR="0027530C">
          <w:rPr>
            <w:webHidden/>
          </w:rPr>
          <w:t>29</w:t>
        </w:r>
        <w:r>
          <w:rPr>
            <w:webHidden/>
          </w:rPr>
          <w:fldChar w:fldCharType="end"/>
        </w:r>
      </w:hyperlink>
    </w:p>
    <w:p w:rsidR="00FE788C" w:rsidRDefault="00FE788C">
      <w:pPr>
        <w:pStyle w:val="TOC2"/>
        <w:rPr>
          <w:rFonts w:eastAsiaTheme="minorEastAsia"/>
          <w:color w:val="auto"/>
          <w:lang w:eastAsia="en-AU"/>
        </w:rPr>
      </w:pPr>
      <w:hyperlink w:anchor="_Toc444528596" w:history="1">
        <w:r w:rsidRPr="00516119">
          <w:rPr>
            <w:rStyle w:val="Hyperlink"/>
          </w:rPr>
          <w:t>3.2</w:t>
        </w:r>
        <w:r>
          <w:rPr>
            <w:rFonts w:eastAsiaTheme="minorEastAsia"/>
            <w:color w:val="auto"/>
            <w:lang w:eastAsia="en-AU"/>
          </w:rPr>
          <w:tab/>
        </w:r>
        <w:r w:rsidRPr="00516119">
          <w:rPr>
            <w:rStyle w:val="Hyperlink"/>
          </w:rPr>
          <w:t>Analysis of costs to derive NWAU for mental health care</w:t>
        </w:r>
        <w:r>
          <w:rPr>
            <w:webHidden/>
          </w:rPr>
          <w:tab/>
        </w:r>
        <w:r>
          <w:rPr>
            <w:webHidden/>
          </w:rPr>
          <w:fldChar w:fldCharType="begin"/>
        </w:r>
        <w:r>
          <w:rPr>
            <w:webHidden/>
          </w:rPr>
          <w:instrText xml:space="preserve"> PAGEREF _Toc444528596 \h </w:instrText>
        </w:r>
        <w:r>
          <w:rPr>
            <w:webHidden/>
          </w:rPr>
        </w:r>
        <w:r>
          <w:rPr>
            <w:webHidden/>
          </w:rPr>
          <w:fldChar w:fldCharType="separate"/>
        </w:r>
        <w:r w:rsidR="0027530C">
          <w:rPr>
            <w:webHidden/>
          </w:rPr>
          <w:t>29</w:t>
        </w:r>
        <w:r>
          <w:rPr>
            <w:webHidden/>
          </w:rPr>
          <w:fldChar w:fldCharType="end"/>
        </w:r>
      </w:hyperlink>
    </w:p>
    <w:p w:rsidR="00FE788C" w:rsidRDefault="00FE788C">
      <w:pPr>
        <w:pStyle w:val="TOC3"/>
        <w:rPr>
          <w:rFonts w:eastAsiaTheme="minorEastAsia"/>
          <w:i w:val="0"/>
          <w:color w:val="auto"/>
          <w:lang w:eastAsia="en-AU"/>
        </w:rPr>
      </w:pPr>
      <w:hyperlink w:anchor="_Toc444528597" w:history="1">
        <w:r w:rsidRPr="00516119">
          <w:rPr>
            <w:rStyle w:val="Hyperlink"/>
          </w:rPr>
          <w:t>3.2.4</w:t>
        </w:r>
        <w:r>
          <w:rPr>
            <w:rFonts w:eastAsiaTheme="minorEastAsia"/>
            <w:i w:val="0"/>
            <w:color w:val="auto"/>
            <w:lang w:eastAsia="en-AU"/>
          </w:rPr>
          <w:tab/>
        </w:r>
        <w:r w:rsidRPr="00516119">
          <w:rPr>
            <w:rStyle w:val="Hyperlink"/>
          </w:rPr>
          <w:t>Data preparation</w:t>
        </w:r>
        <w:r>
          <w:rPr>
            <w:webHidden/>
          </w:rPr>
          <w:tab/>
        </w:r>
        <w:r>
          <w:rPr>
            <w:webHidden/>
          </w:rPr>
          <w:fldChar w:fldCharType="begin"/>
        </w:r>
        <w:r>
          <w:rPr>
            <w:webHidden/>
          </w:rPr>
          <w:instrText xml:space="preserve"> PAGEREF _Toc444528597 \h </w:instrText>
        </w:r>
        <w:r>
          <w:rPr>
            <w:webHidden/>
          </w:rPr>
        </w:r>
        <w:r>
          <w:rPr>
            <w:webHidden/>
          </w:rPr>
          <w:fldChar w:fldCharType="separate"/>
        </w:r>
        <w:r w:rsidR="0027530C">
          <w:rPr>
            <w:webHidden/>
          </w:rPr>
          <w:t>29</w:t>
        </w:r>
        <w:r>
          <w:rPr>
            <w:webHidden/>
          </w:rPr>
          <w:fldChar w:fldCharType="end"/>
        </w:r>
      </w:hyperlink>
    </w:p>
    <w:p w:rsidR="00FE788C" w:rsidRDefault="00FE788C">
      <w:pPr>
        <w:pStyle w:val="TOC3"/>
        <w:rPr>
          <w:rFonts w:eastAsiaTheme="minorEastAsia"/>
          <w:i w:val="0"/>
          <w:color w:val="auto"/>
          <w:lang w:eastAsia="en-AU"/>
        </w:rPr>
      </w:pPr>
      <w:hyperlink w:anchor="_Toc444528598" w:history="1">
        <w:r w:rsidRPr="00516119">
          <w:rPr>
            <w:rStyle w:val="Hyperlink"/>
          </w:rPr>
          <w:t>3.2.5</w:t>
        </w:r>
        <w:r>
          <w:rPr>
            <w:rFonts w:eastAsiaTheme="minorEastAsia"/>
            <w:i w:val="0"/>
            <w:color w:val="auto"/>
            <w:lang w:eastAsia="en-AU"/>
          </w:rPr>
          <w:tab/>
        </w:r>
        <w:r w:rsidRPr="00516119">
          <w:rPr>
            <w:rStyle w:val="Hyperlink"/>
          </w:rPr>
          <w:t>Stratification and weighting</w:t>
        </w:r>
        <w:r>
          <w:rPr>
            <w:webHidden/>
          </w:rPr>
          <w:tab/>
        </w:r>
        <w:r>
          <w:rPr>
            <w:webHidden/>
          </w:rPr>
          <w:fldChar w:fldCharType="begin"/>
        </w:r>
        <w:r>
          <w:rPr>
            <w:webHidden/>
          </w:rPr>
          <w:instrText xml:space="preserve"> PAGEREF _Toc444528598 \h </w:instrText>
        </w:r>
        <w:r>
          <w:rPr>
            <w:webHidden/>
          </w:rPr>
        </w:r>
        <w:r>
          <w:rPr>
            <w:webHidden/>
          </w:rPr>
          <w:fldChar w:fldCharType="separate"/>
        </w:r>
        <w:r w:rsidR="0027530C">
          <w:rPr>
            <w:webHidden/>
          </w:rPr>
          <w:t>29</w:t>
        </w:r>
        <w:r>
          <w:rPr>
            <w:webHidden/>
          </w:rPr>
          <w:fldChar w:fldCharType="end"/>
        </w:r>
      </w:hyperlink>
    </w:p>
    <w:p w:rsidR="00FE788C" w:rsidRDefault="00FE788C">
      <w:pPr>
        <w:pStyle w:val="TOC3"/>
        <w:rPr>
          <w:rFonts w:eastAsiaTheme="minorEastAsia"/>
          <w:i w:val="0"/>
          <w:color w:val="auto"/>
          <w:lang w:eastAsia="en-AU"/>
        </w:rPr>
      </w:pPr>
      <w:hyperlink w:anchor="_Toc444528599" w:history="1">
        <w:r w:rsidRPr="00516119">
          <w:rPr>
            <w:rStyle w:val="Hyperlink"/>
          </w:rPr>
          <w:t>3.2.6</w:t>
        </w:r>
        <w:r>
          <w:rPr>
            <w:rFonts w:eastAsiaTheme="minorEastAsia"/>
            <w:i w:val="0"/>
            <w:color w:val="auto"/>
            <w:lang w:eastAsia="en-AU"/>
          </w:rPr>
          <w:tab/>
        </w:r>
        <w:r w:rsidRPr="00516119">
          <w:rPr>
            <w:rStyle w:val="Hyperlink"/>
          </w:rPr>
          <w:t>Inlier bounds</w:t>
        </w:r>
        <w:r>
          <w:rPr>
            <w:webHidden/>
          </w:rPr>
          <w:tab/>
        </w:r>
        <w:r>
          <w:rPr>
            <w:webHidden/>
          </w:rPr>
          <w:fldChar w:fldCharType="begin"/>
        </w:r>
        <w:r>
          <w:rPr>
            <w:webHidden/>
          </w:rPr>
          <w:instrText xml:space="preserve"> PAGEREF _Toc444528599 \h </w:instrText>
        </w:r>
        <w:r>
          <w:rPr>
            <w:webHidden/>
          </w:rPr>
        </w:r>
        <w:r>
          <w:rPr>
            <w:webHidden/>
          </w:rPr>
          <w:fldChar w:fldCharType="separate"/>
        </w:r>
        <w:r w:rsidR="0027530C">
          <w:rPr>
            <w:webHidden/>
          </w:rPr>
          <w:t>29</w:t>
        </w:r>
        <w:r>
          <w:rPr>
            <w:webHidden/>
          </w:rPr>
          <w:fldChar w:fldCharType="end"/>
        </w:r>
      </w:hyperlink>
    </w:p>
    <w:p w:rsidR="00FE788C" w:rsidRDefault="00FE788C">
      <w:pPr>
        <w:pStyle w:val="TOC3"/>
        <w:rPr>
          <w:rFonts w:eastAsiaTheme="minorEastAsia"/>
          <w:i w:val="0"/>
          <w:color w:val="auto"/>
          <w:lang w:eastAsia="en-AU"/>
        </w:rPr>
      </w:pPr>
      <w:hyperlink w:anchor="_Toc444528600" w:history="1">
        <w:r w:rsidRPr="00516119">
          <w:rPr>
            <w:rStyle w:val="Hyperlink"/>
          </w:rPr>
          <w:t>3.2.7</w:t>
        </w:r>
        <w:r>
          <w:rPr>
            <w:rFonts w:eastAsiaTheme="minorEastAsia"/>
            <w:i w:val="0"/>
            <w:color w:val="auto"/>
            <w:lang w:eastAsia="en-AU"/>
          </w:rPr>
          <w:tab/>
        </w:r>
        <w:r w:rsidRPr="00516119">
          <w:rPr>
            <w:rStyle w:val="Hyperlink"/>
          </w:rPr>
          <w:t>Cost parameters and adjustments</w:t>
        </w:r>
        <w:r>
          <w:rPr>
            <w:webHidden/>
          </w:rPr>
          <w:tab/>
        </w:r>
        <w:r>
          <w:rPr>
            <w:webHidden/>
          </w:rPr>
          <w:fldChar w:fldCharType="begin"/>
        </w:r>
        <w:r>
          <w:rPr>
            <w:webHidden/>
          </w:rPr>
          <w:instrText xml:space="preserve"> PAGEREF _Toc444528600 \h </w:instrText>
        </w:r>
        <w:r>
          <w:rPr>
            <w:webHidden/>
          </w:rPr>
        </w:r>
        <w:r>
          <w:rPr>
            <w:webHidden/>
          </w:rPr>
          <w:fldChar w:fldCharType="separate"/>
        </w:r>
        <w:r w:rsidR="0027530C">
          <w:rPr>
            <w:webHidden/>
          </w:rPr>
          <w:t>30</w:t>
        </w:r>
        <w:r>
          <w:rPr>
            <w:webHidden/>
          </w:rPr>
          <w:fldChar w:fldCharType="end"/>
        </w:r>
      </w:hyperlink>
    </w:p>
    <w:p w:rsidR="00FE788C" w:rsidRDefault="00FE788C">
      <w:pPr>
        <w:pStyle w:val="TOC3"/>
        <w:rPr>
          <w:rFonts w:eastAsiaTheme="minorEastAsia"/>
          <w:i w:val="0"/>
          <w:color w:val="auto"/>
          <w:lang w:eastAsia="en-AU"/>
        </w:rPr>
      </w:pPr>
      <w:hyperlink w:anchor="_Toc444528601" w:history="1">
        <w:r w:rsidRPr="00516119">
          <w:rPr>
            <w:rStyle w:val="Hyperlink"/>
          </w:rPr>
          <w:t>3.2.8</w:t>
        </w:r>
        <w:r>
          <w:rPr>
            <w:rFonts w:eastAsiaTheme="minorEastAsia"/>
            <w:i w:val="0"/>
            <w:color w:val="auto"/>
            <w:lang w:eastAsia="en-AU"/>
          </w:rPr>
          <w:tab/>
        </w:r>
        <w:r w:rsidRPr="00516119">
          <w:rPr>
            <w:rStyle w:val="Hyperlink"/>
          </w:rPr>
          <w:t>Price weights and NWAU</w:t>
        </w:r>
        <w:r>
          <w:rPr>
            <w:webHidden/>
          </w:rPr>
          <w:tab/>
        </w:r>
        <w:r>
          <w:rPr>
            <w:webHidden/>
          </w:rPr>
          <w:fldChar w:fldCharType="begin"/>
        </w:r>
        <w:r>
          <w:rPr>
            <w:webHidden/>
          </w:rPr>
          <w:instrText xml:space="preserve"> PAGEREF _Toc444528601 \h </w:instrText>
        </w:r>
        <w:r>
          <w:rPr>
            <w:webHidden/>
          </w:rPr>
        </w:r>
        <w:r>
          <w:rPr>
            <w:webHidden/>
          </w:rPr>
          <w:fldChar w:fldCharType="separate"/>
        </w:r>
        <w:r w:rsidR="0027530C">
          <w:rPr>
            <w:webHidden/>
          </w:rPr>
          <w:t>31</w:t>
        </w:r>
        <w:r>
          <w:rPr>
            <w:webHidden/>
          </w:rPr>
          <w:fldChar w:fldCharType="end"/>
        </w:r>
      </w:hyperlink>
    </w:p>
    <w:p w:rsidR="00FE788C" w:rsidRDefault="00FE788C">
      <w:pPr>
        <w:pStyle w:val="TOC2"/>
        <w:rPr>
          <w:rFonts w:eastAsiaTheme="minorEastAsia"/>
          <w:color w:val="auto"/>
          <w:lang w:eastAsia="en-AU"/>
        </w:rPr>
      </w:pPr>
      <w:hyperlink w:anchor="_Toc444528602" w:history="1">
        <w:r w:rsidRPr="00516119">
          <w:rPr>
            <w:rStyle w:val="Hyperlink"/>
          </w:rPr>
          <w:t>3.3</w:t>
        </w:r>
        <w:r>
          <w:rPr>
            <w:rFonts w:eastAsiaTheme="minorEastAsia"/>
            <w:color w:val="auto"/>
            <w:lang w:eastAsia="en-AU"/>
          </w:rPr>
          <w:tab/>
        </w:r>
        <w:r w:rsidRPr="00516119">
          <w:rPr>
            <w:rStyle w:val="Hyperlink"/>
          </w:rPr>
          <w:t>Assigning NWAU to mental health patient data</w:t>
        </w:r>
        <w:r>
          <w:rPr>
            <w:webHidden/>
          </w:rPr>
          <w:tab/>
        </w:r>
        <w:r>
          <w:rPr>
            <w:webHidden/>
          </w:rPr>
          <w:fldChar w:fldCharType="begin"/>
        </w:r>
        <w:r>
          <w:rPr>
            <w:webHidden/>
          </w:rPr>
          <w:instrText xml:space="preserve"> PAGEREF _Toc444528602 \h </w:instrText>
        </w:r>
        <w:r>
          <w:rPr>
            <w:webHidden/>
          </w:rPr>
        </w:r>
        <w:r>
          <w:rPr>
            <w:webHidden/>
          </w:rPr>
          <w:fldChar w:fldCharType="separate"/>
        </w:r>
        <w:r w:rsidR="0027530C">
          <w:rPr>
            <w:webHidden/>
          </w:rPr>
          <w:t>31</w:t>
        </w:r>
        <w:r>
          <w:rPr>
            <w:webHidden/>
          </w:rPr>
          <w:fldChar w:fldCharType="end"/>
        </w:r>
      </w:hyperlink>
    </w:p>
    <w:p w:rsidR="00FE788C" w:rsidRDefault="00FE788C">
      <w:pPr>
        <w:pStyle w:val="TOC1"/>
        <w:rPr>
          <w:rFonts w:eastAsiaTheme="minorEastAsia"/>
          <w:b w:val="0"/>
          <w:sz w:val="22"/>
          <w:lang w:eastAsia="en-AU"/>
        </w:rPr>
      </w:pPr>
      <w:hyperlink w:anchor="_Toc444528603" w:history="1">
        <w:r w:rsidRPr="00516119">
          <w:rPr>
            <w:rStyle w:val="Hyperlink"/>
          </w:rPr>
          <w:t>4</w:t>
        </w:r>
        <w:r>
          <w:rPr>
            <w:rFonts w:eastAsiaTheme="minorEastAsia"/>
            <w:b w:val="0"/>
            <w:sz w:val="22"/>
            <w:lang w:eastAsia="en-AU"/>
          </w:rPr>
          <w:tab/>
        </w:r>
        <w:r w:rsidRPr="00516119">
          <w:rPr>
            <w:rStyle w:val="Hyperlink"/>
          </w:rPr>
          <w:t>Admitted subacute and non-acute care cost model</w:t>
        </w:r>
        <w:r>
          <w:rPr>
            <w:webHidden/>
          </w:rPr>
          <w:tab/>
        </w:r>
        <w:r>
          <w:rPr>
            <w:webHidden/>
          </w:rPr>
          <w:fldChar w:fldCharType="begin"/>
        </w:r>
        <w:r>
          <w:rPr>
            <w:webHidden/>
          </w:rPr>
          <w:instrText xml:space="preserve"> PAGEREF _Toc444528603 \h </w:instrText>
        </w:r>
        <w:r>
          <w:rPr>
            <w:webHidden/>
          </w:rPr>
        </w:r>
        <w:r>
          <w:rPr>
            <w:webHidden/>
          </w:rPr>
          <w:fldChar w:fldCharType="separate"/>
        </w:r>
        <w:r w:rsidR="0027530C">
          <w:rPr>
            <w:webHidden/>
          </w:rPr>
          <w:t>32</w:t>
        </w:r>
        <w:r>
          <w:rPr>
            <w:webHidden/>
          </w:rPr>
          <w:fldChar w:fldCharType="end"/>
        </w:r>
      </w:hyperlink>
    </w:p>
    <w:p w:rsidR="00FE788C" w:rsidRDefault="00FE788C">
      <w:pPr>
        <w:pStyle w:val="TOC2"/>
        <w:rPr>
          <w:rFonts w:eastAsiaTheme="minorEastAsia"/>
          <w:color w:val="auto"/>
          <w:lang w:eastAsia="en-AU"/>
        </w:rPr>
      </w:pPr>
      <w:hyperlink w:anchor="_Toc444528604" w:history="1">
        <w:r w:rsidRPr="00516119">
          <w:rPr>
            <w:rStyle w:val="Hyperlink"/>
          </w:rPr>
          <w:t>4.1</w:t>
        </w:r>
        <w:r>
          <w:rPr>
            <w:rFonts w:eastAsiaTheme="minorEastAsia"/>
            <w:color w:val="auto"/>
            <w:lang w:eastAsia="en-AU"/>
          </w:rPr>
          <w:tab/>
        </w:r>
        <w:r w:rsidRPr="00516119">
          <w:rPr>
            <w:rStyle w:val="Hyperlink"/>
          </w:rPr>
          <w:t>General issues</w:t>
        </w:r>
        <w:r>
          <w:rPr>
            <w:webHidden/>
          </w:rPr>
          <w:tab/>
        </w:r>
        <w:r>
          <w:rPr>
            <w:webHidden/>
          </w:rPr>
          <w:fldChar w:fldCharType="begin"/>
        </w:r>
        <w:r>
          <w:rPr>
            <w:webHidden/>
          </w:rPr>
          <w:instrText xml:space="preserve"> PAGEREF _Toc444528604 \h </w:instrText>
        </w:r>
        <w:r>
          <w:rPr>
            <w:webHidden/>
          </w:rPr>
        </w:r>
        <w:r>
          <w:rPr>
            <w:webHidden/>
          </w:rPr>
          <w:fldChar w:fldCharType="separate"/>
        </w:r>
        <w:r w:rsidR="0027530C">
          <w:rPr>
            <w:webHidden/>
          </w:rPr>
          <w:t>32</w:t>
        </w:r>
        <w:r>
          <w:rPr>
            <w:webHidden/>
          </w:rPr>
          <w:fldChar w:fldCharType="end"/>
        </w:r>
      </w:hyperlink>
    </w:p>
    <w:p w:rsidR="00FE788C" w:rsidRDefault="00FE788C">
      <w:pPr>
        <w:pStyle w:val="TOC3"/>
        <w:rPr>
          <w:rFonts w:eastAsiaTheme="minorEastAsia"/>
          <w:i w:val="0"/>
          <w:color w:val="auto"/>
          <w:lang w:eastAsia="en-AU"/>
        </w:rPr>
      </w:pPr>
      <w:hyperlink w:anchor="_Toc444528605" w:history="1">
        <w:r w:rsidRPr="00516119">
          <w:rPr>
            <w:rStyle w:val="Hyperlink"/>
          </w:rPr>
          <w:t>4.1.1</w:t>
        </w:r>
        <w:r>
          <w:rPr>
            <w:rFonts w:eastAsiaTheme="minorEastAsia"/>
            <w:i w:val="0"/>
            <w:color w:val="auto"/>
            <w:lang w:eastAsia="en-AU"/>
          </w:rPr>
          <w:tab/>
        </w:r>
        <w:r w:rsidRPr="00516119">
          <w:rPr>
            <w:rStyle w:val="Hyperlink"/>
          </w:rPr>
          <w:t>Cost Unit</w:t>
        </w:r>
        <w:r>
          <w:rPr>
            <w:webHidden/>
          </w:rPr>
          <w:tab/>
        </w:r>
        <w:r>
          <w:rPr>
            <w:webHidden/>
          </w:rPr>
          <w:fldChar w:fldCharType="begin"/>
        </w:r>
        <w:r>
          <w:rPr>
            <w:webHidden/>
          </w:rPr>
          <w:instrText xml:space="preserve"> PAGEREF _Toc444528605 \h </w:instrText>
        </w:r>
        <w:r>
          <w:rPr>
            <w:webHidden/>
          </w:rPr>
        </w:r>
        <w:r>
          <w:rPr>
            <w:webHidden/>
          </w:rPr>
          <w:fldChar w:fldCharType="separate"/>
        </w:r>
        <w:r w:rsidR="0027530C">
          <w:rPr>
            <w:webHidden/>
          </w:rPr>
          <w:t>32</w:t>
        </w:r>
        <w:r>
          <w:rPr>
            <w:webHidden/>
          </w:rPr>
          <w:fldChar w:fldCharType="end"/>
        </w:r>
      </w:hyperlink>
    </w:p>
    <w:p w:rsidR="00FE788C" w:rsidRDefault="00FE788C">
      <w:pPr>
        <w:pStyle w:val="TOC3"/>
        <w:rPr>
          <w:rFonts w:eastAsiaTheme="minorEastAsia"/>
          <w:i w:val="0"/>
          <w:color w:val="auto"/>
          <w:lang w:eastAsia="en-AU"/>
        </w:rPr>
      </w:pPr>
      <w:hyperlink w:anchor="_Toc444528606" w:history="1">
        <w:r w:rsidRPr="00516119">
          <w:rPr>
            <w:rStyle w:val="Hyperlink"/>
          </w:rPr>
          <w:t>4.1.2</w:t>
        </w:r>
        <w:r>
          <w:rPr>
            <w:rFonts w:eastAsiaTheme="minorEastAsia"/>
            <w:i w:val="0"/>
            <w:color w:val="auto"/>
            <w:lang w:eastAsia="en-AU"/>
          </w:rPr>
          <w:tab/>
        </w:r>
        <w:r w:rsidRPr="00516119">
          <w:rPr>
            <w:rStyle w:val="Hyperlink"/>
          </w:rPr>
          <w:t>Scope</w:t>
        </w:r>
        <w:r>
          <w:rPr>
            <w:webHidden/>
          </w:rPr>
          <w:tab/>
        </w:r>
        <w:r>
          <w:rPr>
            <w:webHidden/>
          </w:rPr>
          <w:fldChar w:fldCharType="begin"/>
        </w:r>
        <w:r>
          <w:rPr>
            <w:webHidden/>
          </w:rPr>
          <w:instrText xml:space="preserve"> PAGEREF _Toc444528606 \h </w:instrText>
        </w:r>
        <w:r>
          <w:rPr>
            <w:webHidden/>
          </w:rPr>
        </w:r>
        <w:r>
          <w:rPr>
            <w:webHidden/>
          </w:rPr>
          <w:fldChar w:fldCharType="separate"/>
        </w:r>
        <w:r w:rsidR="0027530C">
          <w:rPr>
            <w:webHidden/>
          </w:rPr>
          <w:t>32</w:t>
        </w:r>
        <w:r>
          <w:rPr>
            <w:webHidden/>
          </w:rPr>
          <w:fldChar w:fldCharType="end"/>
        </w:r>
      </w:hyperlink>
    </w:p>
    <w:p w:rsidR="00FE788C" w:rsidRDefault="00FE788C">
      <w:pPr>
        <w:pStyle w:val="TOC3"/>
        <w:rPr>
          <w:rFonts w:eastAsiaTheme="minorEastAsia"/>
          <w:i w:val="0"/>
          <w:color w:val="auto"/>
          <w:lang w:eastAsia="en-AU"/>
        </w:rPr>
      </w:pPr>
      <w:hyperlink w:anchor="_Toc444528607" w:history="1">
        <w:r w:rsidRPr="00516119">
          <w:rPr>
            <w:rStyle w:val="Hyperlink"/>
          </w:rPr>
          <w:t>4.1.3</w:t>
        </w:r>
        <w:r>
          <w:rPr>
            <w:rFonts w:eastAsiaTheme="minorEastAsia"/>
            <w:i w:val="0"/>
            <w:color w:val="auto"/>
            <w:lang w:eastAsia="en-AU"/>
          </w:rPr>
          <w:tab/>
        </w:r>
        <w:r w:rsidRPr="00516119">
          <w:rPr>
            <w:rStyle w:val="Hyperlink"/>
          </w:rPr>
          <w:t>Classification</w:t>
        </w:r>
        <w:r>
          <w:rPr>
            <w:webHidden/>
          </w:rPr>
          <w:tab/>
        </w:r>
        <w:r>
          <w:rPr>
            <w:webHidden/>
          </w:rPr>
          <w:fldChar w:fldCharType="begin"/>
        </w:r>
        <w:r>
          <w:rPr>
            <w:webHidden/>
          </w:rPr>
          <w:instrText xml:space="preserve"> PAGEREF _Toc444528607 \h </w:instrText>
        </w:r>
        <w:r>
          <w:rPr>
            <w:webHidden/>
          </w:rPr>
        </w:r>
        <w:r>
          <w:rPr>
            <w:webHidden/>
          </w:rPr>
          <w:fldChar w:fldCharType="separate"/>
        </w:r>
        <w:r w:rsidR="0027530C">
          <w:rPr>
            <w:webHidden/>
          </w:rPr>
          <w:t>32</w:t>
        </w:r>
        <w:r>
          <w:rPr>
            <w:webHidden/>
          </w:rPr>
          <w:fldChar w:fldCharType="end"/>
        </w:r>
      </w:hyperlink>
    </w:p>
    <w:p w:rsidR="00FE788C" w:rsidRDefault="00FE788C">
      <w:pPr>
        <w:pStyle w:val="TOC3"/>
        <w:rPr>
          <w:rFonts w:eastAsiaTheme="minorEastAsia"/>
          <w:i w:val="0"/>
          <w:color w:val="auto"/>
          <w:lang w:eastAsia="en-AU"/>
        </w:rPr>
      </w:pPr>
      <w:hyperlink w:anchor="_Toc444528608" w:history="1">
        <w:r w:rsidRPr="00516119">
          <w:rPr>
            <w:rStyle w:val="Hyperlink"/>
          </w:rPr>
          <w:t>4.1.4</w:t>
        </w:r>
        <w:r>
          <w:rPr>
            <w:rFonts w:eastAsiaTheme="minorEastAsia"/>
            <w:i w:val="0"/>
            <w:color w:val="auto"/>
            <w:lang w:eastAsia="en-AU"/>
          </w:rPr>
          <w:tab/>
        </w:r>
        <w:r w:rsidRPr="00516119">
          <w:rPr>
            <w:rStyle w:val="Hyperlink"/>
          </w:rPr>
          <w:t>New methodology for NEP16</w:t>
        </w:r>
        <w:r>
          <w:rPr>
            <w:webHidden/>
          </w:rPr>
          <w:tab/>
        </w:r>
        <w:r>
          <w:rPr>
            <w:webHidden/>
          </w:rPr>
          <w:fldChar w:fldCharType="begin"/>
        </w:r>
        <w:r>
          <w:rPr>
            <w:webHidden/>
          </w:rPr>
          <w:instrText xml:space="preserve"> PAGEREF _Toc444528608 \h </w:instrText>
        </w:r>
        <w:r>
          <w:rPr>
            <w:webHidden/>
          </w:rPr>
        </w:r>
        <w:r>
          <w:rPr>
            <w:webHidden/>
          </w:rPr>
          <w:fldChar w:fldCharType="separate"/>
        </w:r>
        <w:r w:rsidR="0027530C">
          <w:rPr>
            <w:webHidden/>
          </w:rPr>
          <w:t>32</w:t>
        </w:r>
        <w:r>
          <w:rPr>
            <w:webHidden/>
          </w:rPr>
          <w:fldChar w:fldCharType="end"/>
        </w:r>
      </w:hyperlink>
    </w:p>
    <w:p w:rsidR="00FE788C" w:rsidRDefault="00FE788C">
      <w:pPr>
        <w:pStyle w:val="TOC2"/>
        <w:rPr>
          <w:rFonts w:eastAsiaTheme="minorEastAsia"/>
          <w:color w:val="auto"/>
          <w:lang w:eastAsia="en-AU"/>
        </w:rPr>
      </w:pPr>
      <w:hyperlink w:anchor="_Toc444528609" w:history="1">
        <w:r w:rsidRPr="00516119">
          <w:rPr>
            <w:rStyle w:val="Hyperlink"/>
          </w:rPr>
          <w:t>4.2</w:t>
        </w:r>
        <w:r>
          <w:rPr>
            <w:rFonts w:eastAsiaTheme="minorEastAsia"/>
            <w:color w:val="auto"/>
            <w:lang w:eastAsia="en-AU"/>
          </w:rPr>
          <w:tab/>
        </w:r>
        <w:r w:rsidRPr="00516119">
          <w:rPr>
            <w:rStyle w:val="Hyperlink"/>
          </w:rPr>
          <w:t>Analysis of costs to derive NWAU for subacute admitted care</w:t>
        </w:r>
        <w:r>
          <w:rPr>
            <w:webHidden/>
          </w:rPr>
          <w:tab/>
        </w:r>
        <w:r>
          <w:rPr>
            <w:webHidden/>
          </w:rPr>
          <w:fldChar w:fldCharType="begin"/>
        </w:r>
        <w:r>
          <w:rPr>
            <w:webHidden/>
          </w:rPr>
          <w:instrText xml:space="preserve"> PAGEREF _Toc444528609 \h </w:instrText>
        </w:r>
        <w:r>
          <w:rPr>
            <w:webHidden/>
          </w:rPr>
        </w:r>
        <w:r>
          <w:rPr>
            <w:webHidden/>
          </w:rPr>
          <w:fldChar w:fldCharType="separate"/>
        </w:r>
        <w:r w:rsidR="0027530C">
          <w:rPr>
            <w:webHidden/>
          </w:rPr>
          <w:t>33</w:t>
        </w:r>
        <w:r>
          <w:rPr>
            <w:webHidden/>
          </w:rPr>
          <w:fldChar w:fldCharType="end"/>
        </w:r>
      </w:hyperlink>
    </w:p>
    <w:p w:rsidR="00FE788C" w:rsidRDefault="00FE788C">
      <w:pPr>
        <w:pStyle w:val="TOC3"/>
        <w:rPr>
          <w:rFonts w:eastAsiaTheme="minorEastAsia"/>
          <w:i w:val="0"/>
          <w:color w:val="auto"/>
          <w:lang w:eastAsia="en-AU"/>
        </w:rPr>
      </w:pPr>
      <w:hyperlink w:anchor="_Toc444528610" w:history="1">
        <w:r w:rsidRPr="00516119">
          <w:rPr>
            <w:rStyle w:val="Hyperlink"/>
          </w:rPr>
          <w:t>4.2.1</w:t>
        </w:r>
        <w:r>
          <w:rPr>
            <w:rFonts w:eastAsiaTheme="minorEastAsia"/>
            <w:i w:val="0"/>
            <w:color w:val="auto"/>
            <w:lang w:eastAsia="en-AU"/>
          </w:rPr>
          <w:tab/>
        </w:r>
        <w:r w:rsidRPr="00516119">
          <w:rPr>
            <w:rStyle w:val="Hyperlink"/>
          </w:rPr>
          <w:t>Data preparation</w:t>
        </w:r>
        <w:r>
          <w:rPr>
            <w:webHidden/>
          </w:rPr>
          <w:tab/>
        </w:r>
        <w:r>
          <w:rPr>
            <w:webHidden/>
          </w:rPr>
          <w:fldChar w:fldCharType="begin"/>
        </w:r>
        <w:r>
          <w:rPr>
            <w:webHidden/>
          </w:rPr>
          <w:instrText xml:space="preserve"> PAGEREF _Toc444528610 \h </w:instrText>
        </w:r>
        <w:r>
          <w:rPr>
            <w:webHidden/>
          </w:rPr>
        </w:r>
        <w:r>
          <w:rPr>
            <w:webHidden/>
          </w:rPr>
          <w:fldChar w:fldCharType="separate"/>
        </w:r>
        <w:r w:rsidR="0027530C">
          <w:rPr>
            <w:webHidden/>
          </w:rPr>
          <w:t>33</w:t>
        </w:r>
        <w:r>
          <w:rPr>
            <w:webHidden/>
          </w:rPr>
          <w:fldChar w:fldCharType="end"/>
        </w:r>
      </w:hyperlink>
    </w:p>
    <w:p w:rsidR="00FE788C" w:rsidRDefault="00FE788C">
      <w:pPr>
        <w:pStyle w:val="TOC3"/>
        <w:rPr>
          <w:rFonts w:eastAsiaTheme="minorEastAsia"/>
          <w:i w:val="0"/>
          <w:color w:val="auto"/>
          <w:lang w:eastAsia="en-AU"/>
        </w:rPr>
      </w:pPr>
      <w:hyperlink w:anchor="_Toc444528611" w:history="1">
        <w:r w:rsidRPr="00516119">
          <w:rPr>
            <w:rStyle w:val="Hyperlink"/>
          </w:rPr>
          <w:t>4.2.2</w:t>
        </w:r>
        <w:r>
          <w:rPr>
            <w:rFonts w:eastAsiaTheme="minorEastAsia"/>
            <w:i w:val="0"/>
            <w:color w:val="auto"/>
            <w:lang w:eastAsia="en-AU"/>
          </w:rPr>
          <w:tab/>
        </w:r>
        <w:r w:rsidRPr="00516119">
          <w:rPr>
            <w:rStyle w:val="Hyperlink"/>
          </w:rPr>
          <w:t>Stratification and weighting</w:t>
        </w:r>
        <w:r>
          <w:rPr>
            <w:webHidden/>
          </w:rPr>
          <w:tab/>
        </w:r>
        <w:r>
          <w:rPr>
            <w:webHidden/>
          </w:rPr>
          <w:fldChar w:fldCharType="begin"/>
        </w:r>
        <w:r>
          <w:rPr>
            <w:webHidden/>
          </w:rPr>
          <w:instrText xml:space="preserve"> PAGEREF _Toc444528611 \h </w:instrText>
        </w:r>
        <w:r>
          <w:rPr>
            <w:webHidden/>
          </w:rPr>
        </w:r>
        <w:r>
          <w:rPr>
            <w:webHidden/>
          </w:rPr>
          <w:fldChar w:fldCharType="separate"/>
        </w:r>
        <w:r w:rsidR="0027530C">
          <w:rPr>
            <w:webHidden/>
          </w:rPr>
          <w:t>33</w:t>
        </w:r>
        <w:r>
          <w:rPr>
            <w:webHidden/>
          </w:rPr>
          <w:fldChar w:fldCharType="end"/>
        </w:r>
      </w:hyperlink>
    </w:p>
    <w:p w:rsidR="00FE788C" w:rsidRDefault="00FE788C">
      <w:pPr>
        <w:pStyle w:val="TOC3"/>
        <w:rPr>
          <w:rFonts w:eastAsiaTheme="minorEastAsia"/>
          <w:i w:val="0"/>
          <w:color w:val="auto"/>
          <w:lang w:eastAsia="en-AU"/>
        </w:rPr>
      </w:pPr>
      <w:hyperlink w:anchor="_Toc444528612" w:history="1">
        <w:r w:rsidRPr="00516119">
          <w:rPr>
            <w:rStyle w:val="Hyperlink"/>
          </w:rPr>
          <w:t>4.2.3</w:t>
        </w:r>
        <w:r>
          <w:rPr>
            <w:rFonts w:eastAsiaTheme="minorEastAsia"/>
            <w:i w:val="0"/>
            <w:color w:val="auto"/>
            <w:lang w:eastAsia="en-AU"/>
          </w:rPr>
          <w:tab/>
        </w:r>
        <w:r w:rsidRPr="00516119">
          <w:rPr>
            <w:rStyle w:val="Hyperlink"/>
          </w:rPr>
          <w:t>Determining AN-SNAP Version 4 cost parameters</w:t>
        </w:r>
        <w:r>
          <w:rPr>
            <w:webHidden/>
          </w:rPr>
          <w:tab/>
        </w:r>
        <w:r>
          <w:rPr>
            <w:webHidden/>
          </w:rPr>
          <w:fldChar w:fldCharType="begin"/>
        </w:r>
        <w:r>
          <w:rPr>
            <w:webHidden/>
          </w:rPr>
          <w:instrText xml:space="preserve"> PAGEREF _Toc444528612 \h </w:instrText>
        </w:r>
        <w:r>
          <w:rPr>
            <w:webHidden/>
          </w:rPr>
        </w:r>
        <w:r>
          <w:rPr>
            <w:webHidden/>
          </w:rPr>
          <w:fldChar w:fldCharType="separate"/>
        </w:r>
        <w:r w:rsidR="0027530C">
          <w:rPr>
            <w:webHidden/>
          </w:rPr>
          <w:t>34</w:t>
        </w:r>
        <w:r>
          <w:rPr>
            <w:webHidden/>
          </w:rPr>
          <w:fldChar w:fldCharType="end"/>
        </w:r>
      </w:hyperlink>
    </w:p>
    <w:p w:rsidR="00FE788C" w:rsidRDefault="00FE788C">
      <w:pPr>
        <w:pStyle w:val="TOC3"/>
        <w:rPr>
          <w:rFonts w:eastAsiaTheme="minorEastAsia"/>
          <w:i w:val="0"/>
          <w:color w:val="auto"/>
          <w:lang w:eastAsia="en-AU"/>
        </w:rPr>
      </w:pPr>
      <w:hyperlink w:anchor="_Toc444528613" w:history="1">
        <w:r w:rsidRPr="00516119">
          <w:rPr>
            <w:rStyle w:val="Hyperlink"/>
          </w:rPr>
          <w:t>4.2.4</w:t>
        </w:r>
        <w:r>
          <w:rPr>
            <w:rFonts w:eastAsiaTheme="minorEastAsia"/>
            <w:i w:val="0"/>
            <w:color w:val="auto"/>
            <w:lang w:eastAsia="en-AU"/>
          </w:rPr>
          <w:tab/>
        </w:r>
        <w:r w:rsidRPr="00516119">
          <w:rPr>
            <w:rStyle w:val="Hyperlink"/>
          </w:rPr>
          <w:t>Calculation of additional adjustments</w:t>
        </w:r>
        <w:r>
          <w:rPr>
            <w:webHidden/>
          </w:rPr>
          <w:tab/>
        </w:r>
        <w:r>
          <w:rPr>
            <w:webHidden/>
          </w:rPr>
          <w:fldChar w:fldCharType="begin"/>
        </w:r>
        <w:r>
          <w:rPr>
            <w:webHidden/>
          </w:rPr>
          <w:instrText xml:space="preserve"> PAGEREF _Toc444528613 \h </w:instrText>
        </w:r>
        <w:r>
          <w:rPr>
            <w:webHidden/>
          </w:rPr>
        </w:r>
        <w:r>
          <w:rPr>
            <w:webHidden/>
          </w:rPr>
          <w:fldChar w:fldCharType="separate"/>
        </w:r>
        <w:r w:rsidR="0027530C">
          <w:rPr>
            <w:webHidden/>
          </w:rPr>
          <w:t>34</w:t>
        </w:r>
        <w:r>
          <w:rPr>
            <w:webHidden/>
          </w:rPr>
          <w:fldChar w:fldCharType="end"/>
        </w:r>
      </w:hyperlink>
    </w:p>
    <w:p w:rsidR="00FE788C" w:rsidRDefault="00FE788C">
      <w:pPr>
        <w:pStyle w:val="TOC3"/>
        <w:rPr>
          <w:rFonts w:eastAsiaTheme="minorEastAsia"/>
          <w:i w:val="0"/>
          <w:color w:val="auto"/>
          <w:lang w:eastAsia="en-AU"/>
        </w:rPr>
      </w:pPr>
      <w:hyperlink w:anchor="_Toc444528614" w:history="1">
        <w:r w:rsidRPr="00516119">
          <w:rPr>
            <w:rStyle w:val="Hyperlink"/>
          </w:rPr>
          <w:t>4.2.5</w:t>
        </w:r>
        <w:r>
          <w:rPr>
            <w:rFonts w:eastAsiaTheme="minorEastAsia"/>
            <w:i w:val="0"/>
            <w:color w:val="auto"/>
            <w:lang w:eastAsia="en-AU"/>
          </w:rPr>
          <w:tab/>
        </w:r>
        <w:r w:rsidRPr="00516119">
          <w:rPr>
            <w:rStyle w:val="Hyperlink"/>
          </w:rPr>
          <w:t>Calculation of Paediatric care-type per diem</w:t>
        </w:r>
        <w:r>
          <w:rPr>
            <w:webHidden/>
          </w:rPr>
          <w:tab/>
        </w:r>
        <w:r>
          <w:rPr>
            <w:webHidden/>
          </w:rPr>
          <w:fldChar w:fldCharType="begin"/>
        </w:r>
        <w:r>
          <w:rPr>
            <w:webHidden/>
          </w:rPr>
          <w:instrText xml:space="preserve"> PAGEREF _Toc444528614 \h </w:instrText>
        </w:r>
        <w:r>
          <w:rPr>
            <w:webHidden/>
          </w:rPr>
        </w:r>
        <w:r>
          <w:rPr>
            <w:webHidden/>
          </w:rPr>
          <w:fldChar w:fldCharType="separate"/>
        </w:r>
        <w:r w:rsidR="0027530C">
          <w:rPr>
            <w:webHidden/>
          </w:rPr>
          <w:t>34</w:t>
        </w:r>
        <w:r>
          <w:rPr>
            <w:webHidden/>
          </w:rPr>
          <w:fldChar w:fldCharType="end"/>
        </w:r>
      </w:hyperlink>
    </w:p>
    <w:p w:rsidR="00FE788C" w:rsidRDefault="00FE788C">
      <w:pPr>
        <w:pStyle w:val="TOC3"/>
        <w:rPr>
          <w:rFonts w:eastAsiaTheme="minorEastAsia"/>
          <w:i w:val="0"/>
          <w:color w:val="auto"/>
          <w:lang w:eastAsia="en-AU"/>
        </w:rPr>
      </w:pPr>
      <w:hyperlink w:anchor="_Toc444528615" w:history="1">
        <w:r w:rsidRPr="00516119">
          <w:rPr>
            <w:rStyle w:val="Hyperlink"/>
          </w:rPr>
          <w:t>4.2.6</w:t>
        </w:r>
        <w:r>
          <w:rPr>
            <w:rFonts w:eastAsiaTheme="minorEastAsia"/>
            <w:i w:val="0"/>
            <w:color w:val="auto"/>
            <w:lang w:eastAsia="en-AU"/>
          </w:rPr>
          <w:tab/>
        </w:r>
        <w:r w:rsidRPr="00516119">
          <w:rPr>
            <w:rStyle w:val="Hyperlink"/>
          </w:rPr>
          <w:t>Price weights and NWAU</w:t>
        </w:r>
        <w:r>
          <w:rPr>
            <w:webHidden/>
          </w:rPr>
          <w:tab/>
        </w:r>
        <w:r>
          <w:rPr>
            <w:webHidden/>
          </w:rPr>
          <w:fldChar w:fldCharType="begin"/>
        </w:r>
        <w:r>
          <w:rPr>
            <w:webHidden/>
          </w:rPr>
          <w:instrText xml:space="preserve"> PAGEREF _Toc444528615 \h </w:instrText>
        </w:r>
        <w:r>
          <w:rPr>
            <w:webHidden/>
          </w:rPr>
        </w:r>
        <w:r>
          <w:rPr>
            <w:webHidden/>
          </w:rPr>
          <w:fldChar w:fldCharType="separate"/>
        </w:r>
        <w:r w:rsidR="0027530C">
          <w:rPr>
            <w:webHidden/>
          </w:rPr>
          <w:t>34</w:t>
        </w:r>
        <w:r>
          <w:rPr>
            <w:webHidden/>
          </w:rPr>
          <w:fldChar w:fldCharType="end"/>
        </w:r>
      </w:hyperlink>
    </w:p>
    <w:p w:rsidR="00FE788C" w:rsidRDefault="00FE788C">
      <w:pPr>
        <w:pStyle w:val="TOC2"/>
        <w:rPr>
          <w:rFonts w:eastAsiaTheme="minorEastAsia"/>
          <w:color w:val="auto"/>
          <w:lang w:eastAsia="en-AU"/>
        </w:rPr>
      </w:pPr>
      <w:hyperlink w:anchor="_Toc444528616" w:history="1">
        <w:r w:rsidRPr="00516119">
          <w:rPr>
            <w:rStyle w:val="Hyperlink"/>
          </w:rPr>
          <w:t>4.3</w:t>
        </w:r>
        <w:r>
          <w:rPr>
            <w:rFonts w:eastAsiaTheme="minorEastAsia"/>
            <w:color w:val="auto"/>
            <w:lang w:eastAsia="en-AU"/>
          </w:rPr>
          <w:tab/>
        </w:r>
        <w:r w:rsidRPr="00516119">
          <w:rPr>
            <w:rStyle w:val="Hyperlink"/>
          </w:rPr>
          <w:t>Applying the NEP</w:t>
        </w:r>
        <w:r>
          <w:rPr>
            <w:webHidden/>
          </w:rPr>
          <w:tab/>
        </w:r>
        <w:r>
          <w:rPr>
            <w:webHidden/>
          </w:rPr>
          <w:fldChar w:fldCharType="begin"/>
        </w:r>
        <w:r>
          <w:rPr>
            <w:webHidden/>
          </w:rPr>
          <w:instrText xml:space="preserve"> PAGEREF _Toc444528616 \h </w:instrText>
        </w:r>
        <w:r>
          <w:rPr>
            <w:webHidden/>
          </w:rPr>
        </w:r>
        <w:r>
          <w:rPr>
            <w:webHidden/>
          </w:rPr>
          <w:fldChar w:fldCharType="separate"/>
        </w:r>
        <w:r w:rsidR="0027530C">
          <w:rPr>
            <w:webHidden/>
          </w:rPr>
          <w:t>35</w:t>
        </w:r>
        <w:r>
          <w:rPr>
            <w:webHidden/>
          </w:rPr>
          <w:fldChar w:fldCharType="end"/>
        </w:r>
      </w:hyperlink>
    </w:p>
    <w:p w:rsidR="00FE788C" w:rsidRDefault="00FE788C">
      <w:pPr>
        <w:pStyle w:val="TOC2"/>
        <w:rPr>
          <w:rFonts w:eastAsiaTheme="minorEastAsia"/>
          <w:color w:val="auto"/>
          <w:lang w:eastAsia="en-AU"/>
        </w:rPr>
      </w:pPr>
      <w:hyperlink w:anchor="_Toc444528617" w:history="1">
        <w:r w:rsidRPr="00516119">
          <w:rPr>
            <w:rStyle w:val="Hyperlink"/>
          </w:rPr>
          <w:t>4.4</w:t>
        </w:r>
        <w:r>
          <w:rPr>
            <w:rFonts w:eastAsiaTheme="minorEastAsia"/>
            <w:color w:val="auto"/>
            <w:lang w:eastAsia="en-AU"/>
          </w:rPr>
          <w:tab/>
        </w:r>
        <w:r w:rsidRPr="00516119">
          <w:rPr>
            <w:rStyle w:val="Hyperlink"/>
          </w:rPr>
          <w:t>Assigning NWAU to admitted subacute and non-acute patient data</w:t>
        </w:r>
        <w:r>
          <w:rPr>
            <w:webHidden/>
          </w:rPr>
          <w:tab/>
        </w:r>
        <w:r>
          <w:rPr>
            <w:webHidden/>
          </w:rPr>
          <w:fldChar w:fldCharType="begin"/>
        </w:r>
        <w:r>
          <w:rPr>
            <w:webHidden/>
          </w:rPr>
          <w:instrText xml:space="preserve"> PAGEREF _Toc444528617 \h </w:instrText>
        </w:r>
        <w:r>
          <w:rPr>
            <w:webHidden/>
          </w:rPr>
        </w:r>
        <w:r>
          <w:rPr>
            <w:webHidden/>
          </w:rPr>
          <w:fldChar w:fldCharType="separate"/>
        </w:r>
        <w:r w:rsidR="0027530C">
          <w:rPr>
            <w:webHidden/>
          </w:rPr>
          <w:t>35</w:t>
        </w:r>
        <w:r>
          <w:rPr>
            <w:webHidden/>
          </w:rPr>
          <w:fldChar w:fldCharType="end"/>
        </w:r>
      </w:hyperlink>
    </w:p>
    <w:p w:rsidR="00FE788C" w:rsidRDefault="00FE788C">
      <w:pPr>
        <w:pStyle w:val="TOC3"/>
        <w:rPr>
          <w:rFonts w:eastAsiaTheme="minorEastAsia"/>
          <w:i w:val="0"/>
          <w:color w:val="auto"/>
          <w:lang w:eastAsia="en-AU"/>
        </w:rPr>
      </w:pPr>
      <w:hyperlink w:anchor="_Toc444528618" w:history="1">
        <w:r w:rsidRPr="00516119">
          <w:rPr>
            <w:rStyle w:val="Hyperlink"/>
          </w:rPr>
          <w:t>4.4.1</w:t>
        </w:r>
        <w:r>
          <w:rPr>
            <w:rFonts w:eastAsiaTheme="minorEastAsia"/>
            <w:i w:val="0"/>
            <w:color w:val="auto"/>
            <w:lang w:eastAsia="en-AU"/>
          </w:rPr>
          <w:tab/>
        </w:r>
        <w:r w:rsidRPr="00516119">
          <w:rPr>
            <w:rStyle w:val="Hyperlink"/>
          </w:rPr>
          <w:t>Data Preparation</w:t>
        </w:r>
        <w:r>
          <w:rPr>
            <w:webHidden/>
          </w:rPr>
          <w:tab/>
        </w:r>
        <w:r>
          <w:rPr>
            <w:webHidden/>
          </w:rPr>
          <w:fldChar w:fldCharType="begin"/>
        </w:r>
        <w:r>
          <w:rPr>
            <w:webHidden/>
          </w:rPr>
          <w:instrText xml:space="preserve"> PAGEREF _Toc444528618 \h </w:instrText>
        </w:r>
        <w:r>
          <w:rPr>
            <w:webHidden/>
          </w:rPr>
        </w:r>
        <w:r>
          <w:rPr>
            <w:webHidden/>
          </w:rPr>
          <w:fldChar w:fldCharType="separate"/>
        </w:r>
        <w:r w:rsidR="0027530C">
          <w:rPr>
            <w:webHidden/>
          </w:rPr>
          <w:t>35</w:t>
        </w:r>
        <w:r>
          <w:rPr>
            <w:webHidden/>
          </w:rPr>
          <w:fldChar w:fldCharType="end"/>
        </w:r>
      </w:hyperlink>
    </w:p>
    <w:p w:rsidR="00FE788C" w:rsidRDefault="00FE788C">
      <w:pPr>
        <w:pStyle w:val="TOC3"/>
        <w:rPr>
          <w:rFonts w:eastAsiaTheme="minorEastAsia"/>
          <w:i w:val="0"/>
          <w:color w:val="auto"/>
          <w:lang w:eastAsia="en-AU"/>
        </w:rPr>
      </w:pPr>
      <w:hyperlink w:anchor="_Toc444528619" w:history="1">
        <w:r w:rsidRPr="00516119">
          <w:rPr>
            <w:rStyle w:val="Hyperlink"/>
          </w:rPr>
          <w:t>4.4.2</w:t>
        </w:r>
        <w:r>
          <w:rPr>
            <w:rFonts w:eastAsiaTheme="minorEastAsia"/>
            <w:i w:val="0"/>
            <w:color w:val="auto"/>
            <w:lang w:eastAsia="en-AU"/>
          </w:rPr>
          <w:tab/>
        </w:r>
        <w:r w:rsidRPr="00516119">
          <w:rPr>
            <w:rStyle w:val="Hyperlink"/>
          </w:rPr>
          <w:t>Calculation of NWAU</w:t>
        </w:r>
        <w:r>
          <w:rPr>
            <w:webHidden/>
          </w:rPr>
          <w:tab/>
        </w:r>
        <w:r>
          <w:rPr>
            <w:webHidden/>
          </w:rPr>
          <w:fldChar w:fldCharType="begin"/>
        </w:r>
        <w:r>
          <w:rPr>
            <w:webHidden/>
          </w:rPr>
          <w:instrText xml:space="preserve"> PAGEREF _Toc444528619 \h </w:instrText>
        </w:r>
        <w:r>
          <w:rPr>
            <w:webHidden/>
          </w:rPr>
        </w:r>
        <w:r>
          <w:rPr>
            <w:webHidden/>
          </w:rPr>
          <w:fldChar w:fldCharType="separate"/>
        </w:r>
        <w:r w:rsidR="0027530C">
          <w:rPr>
            <w:webHidden/>
          </w:rPr>
          <w:t>40</w:t>
        </w:r>
        <w:r>
          <w:rPr>
            <w:webHidden/>
          </w:rPr>
          <w:fldChar w:fldCharType="end"/>
        </w:r>
      </w:hyperlink>
    </w:p>
    <w:p w:rsidR="00FE788C" w:rsidRDefault="00FE788C">
      <w:pPr>
        <w:pStyle w:val="TOC1"/>
        <w:rPr>
          <w:rFonts w:eastAsiaTheme="minorEastAsia"/>
          <w:b w:val="0"/>
          <w:sz w:val="22"/>
          <w:lang w:eastAsia="en-AU"/>
        </w:rPr>
      </w:pPr>
      <w:hyperlink w:anchor="_Toc444528620" w:history="1">
        <w:r w:rsidRPr="00516119">
          <w:rPr>
            <w:rStyle w:val="Hyperlink"/>
          </w:rPr>
          <w:t>5</w:t>
        </w:r>
        <w:r>
          <w:rPr>
            <w:rFonts w:eastAsiaTheme="minorEastAsia"/>
            <w:b w:val="0"/>
            <w:sz w:val="22"/>
            <w:lang w:eastAsia="en-AU"/>
          </w:rPr>
          <w:tab/>
        </w:r>
        <w:r w:rsidRPr="00516119">
          <w:rPr>
            <w:rStyle w:val="Hyperlink"/>
          </w:rPr>
          <w:t>Emergency care cost model</w:t>
        </w:r>
        <w:r>
          <w:rPr>
            <w:webHidden/>
          </w:rPr>
          <w:tab/>
        </w:r>
        <w:r>
          <w:rPr>
            <w:webHidden/>
          </w:rPr>
          <w:fldChar w:fldCharType="begin"/>
        </w:r>
        <w:r>
          <w:rPr>
            <w:webHidden/>
          </w:rPr>
          <w:instrText xml:space="preserve"> PAGEREF _Toc444528620 \h </w:instrText>
        </w:r>
        <w:r>
          <w:rPr>
            <w:webHidden/>
          </w:rPr>
        </w:r>
        <w:r>
          <w:rPr>
            <w:webHidden/>
          </w:rPr>
          <w:fldChar w:fldCharType="separate"/>
        </w:r>
        <w:r w:rsidR="0027530C">
          <w:rPr>
            <w:webHidden/>
          </w:rPr>
          <w:t>42</w:t>
        </w:r>
        <w:r>
          <w:rPr>
            <w:webHidden/>
          </w:rPr>
          <w:fldChar w:fldCharType="end"/>
        </w:r>
      </w:hyperlink>
    </w:p>
    <w:p w:rsidR="00FE788C" w:rsidRDefault="00FE788C">
      <w:pPr>
        <w:pStyle w:val="TOC2"/>
        <w:rPr>
          <w:rFonts w:eastAsiaTheme="minorEastAsia"/>
          <w:color w:val="auto"/>
          <w:lang w:eastAsia="en-AU"/>
        </w:rPr>
      </w:pPr>
      <w:hyperlink w:anchor="_Toc444528621" w:history="1">
        <w:r w:rsidRPr="00516119">
          <w:rPr>
            <w:rStyle w:val="Hyperlink"/>
          </w:rPr>
          <w:t>5.1</w:t>
        </w:r>
        <w:r>
          <w:rPr>
            <w:rFonts w:eastAsiaTheme="minorEastAsia"/>
            <w:color w:val="auto"/>
            <w:lang w:eastAsia="en-AU"/>
          </w:rPr>
          <w:tab/>
        </w:r>
        <w:r w:rsidRPr="00516119">
          <w:rPr>
            <w:rStyle w:val="Hyperlink"/>
          </w:rPr>
          <w:t>General issues</w:t>
        </w:r>
        <w:r>
          <w:rPr>
            <w:webHidden/>
          </w:rPr>
          <w:tab/>
        </w:r>
        <w:r>
          <w:rPr>
            <w:webHidden/>
          </w:rPr>
          <w:fldChar w:fldCharType="begin"/>
        </w:r>
        <w:r>
          <w:rPr>
            <w:webHidden/>
          </w:rPr>
          <w:instrText xml:space="preserve"> PAGEREF _Toc444528621 \h </w:instrText>
        </w:r>
        <w:r>
          <w:rPr>
            <w:webHidden/>
          </w:rPr>
        </w:r>
        <w:r>
          <w:rPr>
            <w:webHidden/>
          </w:rPr>
          <w:fldChar w:fldCharType="separate"/>
        </w:r>
        <w:r w:rsidR="0027530C">
          <w:rPr>
            <w:webHidden/>
          </w:rPr>
          <w:t>42</w:t>
        </w:r>
        <w:r>
          <w:rPr>
            <w:webHidden/>
          </w:rPr>
          <w:fldChar w:fldCharType="end"/>
        </w:r>
      </w:hyperlink>
    </w:p>
    <w:p w:rsidR="00FE788C" w:rsidRDefault="00FE788C">
      <w:pPr>
        <w:pStyle w:val="TOC3"/>
        <w:rPr>
          <w:rFonts w:eastAsiaTheme="minorEastAsia"/>
          <w:i w:val="0"/>
          <w:color w:val="auto"/>
          <w:lang w:eastAsia="en-AU"/>
        </w:rPr>
      </w:pPr>
      <w:hyperlink w:anchor="_Toc444528622" w:history="1">
        <w:r w:rsidRPr="00516119">
          <w:rPr>
            <w:rStyle w:val="Hyperlink"/>
          </w:rPr>
          <w:t>5.1.1</w:t>
        </w:r>
        <w:r>
          <w:rPr>
            <w:rFonts w:eastAsiaTheme="minorEastAsia"/>
            <w:i w:val="0"/>
            <w:color w:val="auto"/>
            <w:lang w:eastAsia="en-AU"/>
          </w:rPr>
          <w:tab/>
        </w:r>
        <w:r w:rsidRPr="00516119">
          <w:rPr>
            <w:rStyle w:val="Hyperlink"/>
          </w:rPr>
          <w:t>Cost unit</w:t>
        </w:r>
        <w:r>
          <w:rPr>
            <w:webHidden/>
          </w:rPr>
          <w:tab/>
        </w:r>
        <w:r>
          <w:rPr>
            <w:webHidden/>
          </w:rPr>
          <w:fldChar w:fldCharType="begin"/>
        </w:r>
        <w:r>
          <w:rPr>
            <w:webHidden/>
          </w:rPr>
          <w:instrText xml:space="preserve"> PAGEREF _Toc444528622 \h </w:instrText>
        </w:r>
        <w:r>
          <w:rPr>
            <w:webHidden/>
          </w:rPr>
        </w:r>
        <w:r>
          <w:rPr>
            <w:webHidden/>
          </w:rPr>
          <w:fldChar w:fldCharType="separate"/>
        </w:r>
        <w:r w:rsidR="0027530C">
          <w:rPr>
            <w:webHidden/>
          </w:rPr>
          <w:t>42</w:t>
        </w:r>
        <w:r>
          <w:rPr>
            <w:webHidden/>
          </w:rPr>
          <w:fldChar w:fldCharType="end"/>
        </w:r>
      </w:hyperlink>
    </w:p>
    <w:p w:rsidR="00FE788C" w:rsidRDefault="00FE788C">
      <w:pPr>
        <w:pStyle w:val="TOC3"/>
        <w:rPr>
          <w:rFonts w:eastAsiaTheme="minorEastAsia"/>
          <w:i w:val="0"/>
          <w:color w:val="auto"/>
          <w:lang w:eastAsia="en-AU"/>
        </w:rPr>
      </w:pPr>
      <w:hyperlink w:anchor="_Toc444528623" w:history="1">
        <w:r w:rsidRPr="00516119">
          <w:rPr>
            <w:rStyle w:val="Hyperlink"/>
          </w:rPr>
          <w:t>5.1.2</w:t>
        </w:r>
        <w:r>
          <w:rPr>
            <w:rFonts w:eastAsiaTheme="minorEastAsia"/>
            <w:i w:val="0"/>
            <w:color w:val="auto"/>
            <w:lang w:eastAsia="en-AU"/>
          </w:rPr>
          <w:tab/>
        </w:r>
        <w:r w:rsidRPr="00516119">
          <w:rPr>
            <w:rStyle w:val="Hyperlink"/>
          </w:rPr>
          <w:t>Scope</w:t>
        </w:r>
        <w:r>
          <w:rPr>
            <w:webHidden/>
          </w:rPr>
          <w:tab/>
        </w:r>
        <w:r>
          <w:rPr>
            <w:webHidden/>
          </w:rPr>
          <w:fldChar w:fldCharType="begin"/>
        </w:r>
        <w:r>
          <w:rPr>
            <w:webHidden/>
          </w:rPr>
          <w:instrText xml:space="preserve"> PAGEREF _Toc444528623 \h </w:instrText>
        </w:r>
        <w:r>
          <w:rPr>
            <w:webHidden/>
          </w:rPr>
        </w:r>
        <w:r>
          <w:rPr>
            <w:webHidden/>
          </w:rPr>
          <w:fldChar w:fldCharType="separate"/>
        </w:r>
        <w:r w:rsidR="0027530C">
          <w:rPr>
            <w:webHidden/>
          </w:rPr>
          <w:t>42</w:t>
        </w:r>
        <w:r>
          <w:rPr>
            <w:webHidden/>
          </w:rPr>
          <w:fldChar w:fldCharType="end"/>
        </w:r>
      </w:hyperlink>
    </w:p>
    <w:p w:rsidR="00FE788C" w:rsidRDefault="00FE788C">
      <w:pPr>
        <w:pStyle w:val="TOC3"/>
        <w:rPr>
          <w:rFonts w:eastAsiaTheme="minorEastAsia"/>
          <w:i w:val="0"/>
          <w:color w:val="auto"/>
          <w:lang w:eastAsia="en-AU"/>
        </w:rPr>
      </w:pPr>
      <w:hyperlink w:anchor="_Toc444528624" w:history="1">
        <w:r w:rsidRPr="00516119">
          <w:rPr>
            <w:rStyle w:val="Hyperlink"/>
          </w:rPr>
          <w:t>5.1.3</w:t>
        </w:r>
        <w:r>
          <w:rPr>
            <w:rFonts w:eastAsiaTheme="minorEastAsia"/>
            <w:i w:val="0"/>
            <w:color w:val="auto"/>
            <w:lang w:eastAsia="en-AU"/>
          </w:rPr>
          <w:tab/>
        </w:r>
        <w:r w:rsidRPr="00516119">
          <w:rPr>
            <w:rStyle w:val="Hyperlink"/>
          </w:rPr>
          <w:t>Classification</w:t>
        </w:r>
        <w:r>
          <w:rPr>
            <w:webHidden/>
          </w:rPr>
          <w:tab/>
        </w:r>
        <w:r>
          <w:rPr>
            <w:webHidden/>
          </w:rPr>
          <w:fldChar w:fldCharType="begin"/>
        </w:r>
        <w:r>
          <w:rPr>
            <w:webHidden/>
          </w:rPr>
          <w:instrText xml:space="preserve"> PAGEREF _Toc444528624 \h </w:instrText>
        </w:r>
        <w:r>
          <w:rPr>
            <w:webHidden/>
          </w:rPr>
        </w:r>
        <w:r>
          <w:rPr>
            <w:webHidden/>
          </w:rPr>
          <w:fldChar w:fldCharType="separate"/>
        </w:r>
        <w:r w:rsidR="0027530C">
          <w:rPr>
            <w:webHidden/>
          </w:rPr>
          <w:t>42</w:t>
        </w:r>
        <w:r>
          <w:rPr>
            <w:webHidden/>
          </w:rPr>
          <w:fldChar w:fldCharType="end"/>
        </w:r>
      </w:hyperlink>
    </w:p>
    <w:p w:rsidR="00FE788C" w:rsidRDefault="00FE788C">
      <w:pPr>
        <w:pStyle w:val="TOC2"/>
        <w:rPr>
          <w:rFonts w:eastAsiaTheme="minorEastAsia"/>
          <w:color w:val="auto"/>
          <w:lang w:eastAsia="en-AU"/>
        </w:rPr>
      </w:pPr>
      <w:hyperlink w:anchor="_Toc444528625" w:history="1">
        <w:r w:rsidRPr="00516119">
          <w:rPr>
            <w:rStyle w:val="Hyperlink"/>
          </w:rPr>
          <w:t>5.2</w:t>
        </w:r>
        <w:r>
          <w:rPr>
            <w:rFonts w:eastAsiaTheme="minorEastAsia"/>
            <w:color w:val="auto"/>
            <w:lang w:eastAsia="en-AU"/>
          </w:rPr>
          <w:tab/>
        </w:r>
        <w:r w:rsidRPr="00516119">
          <w:rPr>
            <w:rStyle w:val="Hyperlink"/>
          </w:rPr>
          <w:t>Analysis of costs to derive NWAU for emergency care</w:t>
        </w:r>
        <w:r>
          <w:rPr>
            <w:webHidden/>
          </w:rPr>
          <w:tab/>
        </w:r>
        <w:r>
          <w:rPr>
            <w:webHidden/>
          </w:rPr>
          <w:fldChar w:fldCharType="begin"/>
        </w:r>
        <w:r>
          <w:rPr>
            <w:webHidden/>
          </w:rPr>
          <w:instrText xml:space="preserve"> PAGEREF _Toc444528625 \h </w:instrText>
        </w:r>
        <w:r>
          <w:rPr>
            <w:webHidden/>
          </w:rPr>
        </w:r>
        <w:r>
          <w:rPr>
            <w:webHidden/>
          </w:rPr>
          <w:fldChar w:fldCharType="separate"/>
        </w:r>
        <w:r w:rsidR="0027530C">
          <w:rPr>
            <w:webHidden/>
          </w:rPr>
          <w:t>42</w:t>
        </w:r>
        <w:r>
          <w:rPr>
            <w:webHidden/>
          </w:rPr>
          <w:fldChar w:fldCharType="end"/>
        </w:r>
      </w:hyperlink>
    </w:p>
    <w:p w:rsidR="00FE788C" w:rsidRDefault="00FE788C">
      <w:pPr>
        <w:pStyle w:val="TOC3"/>
        <w:rPr>
          <w:rFonts w:eastAsiaTheme="minorEastAsia"/>
          <w:i w:val="0"/>
          <w:color w:val="auto"/>
          <w:lang w:eastAsia="en-AU"/>
        </w:rPr>
      </w:pPr>
      <w:hyperlink w:anchor="_Toc444528626" w:history="1">
        <w:r w:rsidRPr="00516119">
          <w:rPr>
            <w:rStyle w:val="Hyperlink"/>
          </w:rPr>
          <w:t>5.2.1</w:t>
        </w:r>
        <w:r>
          <w:rPr>
            <w:rFonts w:eastAsiaTheme="minorEastAsia"/>
            <w:i w:val="0"/>
            <w:color w:val="auto"/>
            <w:lang w:eastAsia="en-AU"/>
          </w:rPr>
          <w:tab/>
        </w:r>
        <w:r w:rsidRPr="00516119">
          <w:rPr>
            <w:rStyle w:val="Hyperlink"/>
          </w:rPr>
          <w:t>Data preparation</w:t>
        </w:r>
        <w:r>
          <w:rPr>
            <w:webHidden/>
          </w:rPr>
          <w:tab/>
        </w:r>
        <w:r>
          <w:rPr>
            <w:webHidden/>
          </w:rPr>
          <w:fldChar w:fldCharType="begin"/>
        </w:r>
        <w:r>
          <w:rPr>
            <w:webHidden/>
          </w:rPr>
          <w:instrText xml:space="preserve"> PAGEREF _Toc444528626 \h </w:instrText>
        </w:r>
        <w:r>
          <w:rPr>
            <w:webHidden/>
          </w:rPr>
        </w:r>
        <w:r>
          <w:rPr>
            <w:webHidden/>
          </w:rPr>
          <w:fldChar w:fldCharType="separate"/>
        </w:r>
        <w:r w:rsidR="0027530C">
          <w:rPr>
            <w:webHidden/>
          </w:rPr>
          <w:t>42</w:t>
        </w:r>
        <w:r>
          <w:rPr>
            <w:webHidden/>
          </w:rPr>
          <w:fldChar w:fldCharType="end"/>
        </w:r>
      </w:hyperlink>
    </w:p>
    <w:p w:rsidR="00FE788C" w:rsidRDefault="00FE788C">
      <w:pPr>
        <w:pStyle w:val="TOC3"/>
        <w:rPr>
          <w:rFonts w:eastAsiaTheme="minorEastAsia"/>
          <w:i w:val="0"/>
          <w:color w:val="auto"/>
          <w:lang w:eastAsia="en-AU"/>
        </w:rPr>
      </w:pPr>
      <w:hyperlink w:anchor="_Toc444528627" w:history="1">
        <w:r w:rsidRPr="00516119">
          <w:rPr>
            <w:rStyle w:val="Hyperlink"/>
          </w:rPr>
          <w:t>5.2.2</w:t>
        </w:r>
        <w:r>
          <w:rPr>
            <w:rFonts w:eastAsiaTheme="minorEastAsia"/>
            <w:i w:val="0"/>
            <w:color w:val="auto"/>
            <w:lang w:eastAsia="en-AU"/>
          </w:rPr>
          <w:tab/>
        </w:r>
        <w:r w:rsidRPr="00516119">
          <w:rPr>
            <w:rStyle w:val="Hyperlink"/>
          </w:rPr>
          <w:t>Sample weights</w:t>
        </w:r>
        <w:r>
          <w:rPr>
            <w:webHidden/>
          </w:rPr>
          <w:tab/>
        </w:r>
        <w:r>
          <w:rPr>
            <w:webHidden/>
          </w:rPr>
          <w:fldChar w:fldCharType="begin"/>
        </w:r>
        <w:r>
          <w:rPr>
            <w:webHidden/>
          </w:rPr>
          <w:instrText xml:space="preserve"> PAGEREF _Toc444528627 \h </w:instrText>
        </w:r>
        <w:r>
          <w:rPr>
            <w:webHidden/>
          </w:rPr>
        </w:r>
        <w:r>
          <w:rPr>
            <w:webHidden/>
          </w:rPr>
          <w:fldChar w:fldCharType="separate"/>
        </w:r>
        <w:r w:rsidR="0027530C">
          <w:rPr>
            <w:webHidden/>
          </w:rPr>
          <w:t>43</w:t>
        </w:r>
        <w:r>
          <w:rPr>
            <w:webHidden/>
          </w:rPr>
          <w:fldChar w:fldCharType="end"/>
        </w:r>
      </w:hyperlink>
    </w:p>
    <w:p w:rsidR="00FE788C" w:rsidRDefault="00FE788C">
      <w:pPr>
        <w:pStyle w:val="TOC3"/>
        <w:rPr>
          <w:rFonts w:eastAsiaTheme="minorEastAsia"/>
          <w:i w:val="0"/>
          <w:color w:val="auto"/>
          <w:lang w:eastAsia="en-AU"/>
        </w:rPr>
      </w:pPr>
      <w:hyperlink w:anchor="_Toc444528628" w:history="1">
        <w:r w:rsidRPr="00516119">
          <w:rPr>
            <w:rStyle w:val="Hyperlink"/>
          </w:rPr>
          <w:t>5.2.3</w:t>
        </w:r>
        <w:r>
          <w:rPr>
            <w:rFonts w:eastAsiaTheme="minorEastAsia"/>
            <w:i w:val="0"/>
            <w:color w:val="auto"/>
            <w:lang w:eastAsia="en-AU"/>
          </w:rPr>
          <w:tab/>
        </w:r>
        <w:r w:rsidRPr="00516119">
          <w:rPr>
            <w:rStyle w:val="Hyperlink"/>
          </w:rPr>
          <w:t>Cost parameters and adjustments</w:t>
        </w:r>
        <w:r>
          <w:rPr>
            <w:webHidden/>
          </w:rPr>
          <w:tab/>
        </w:r>
        <w:r>
          <w:rPr>
            <w:webHidden/>
          </w:rPr>
          <w:fldChar w:fldCharType="begin"/>
        </w:r>
        <w:r>
          <w:rPr>
            <w:webHidden/>
          </w:rPr>
          <w:instrText xml:space="preserve"> PAGEREF _Toc444528628 \h </w:instrText>
        </w:r>
        <w:r>
          <w:rPr>
            <w:webHidden/>
          </w:rPr>
        </w:r>
        <w:r>
          <w:rPr>
            <w:webHidden/>
          </w:rPr>
          <w:fldChar w:fldCharType="separate"/>
        </w:r>
        <w:r w:rsidR="0027530C">
          <w:rPr>
            <w:webHidden/>
          </w:rPr>
          <w:t>43</w:t>
        </w:r>
        <w:r>
          <w:rPr>
            <w:webHidden/>
          </w:rPr>
          <w:fldChar w:fldCharType="end"/>
        </w:r>
      </w:hyperlink>
    </w:p>
    <w:p w:rsidR="00FE788C" w:rsidRDefault="00FE788C">
      <w:pPr>
        <w:pStyle w:val="TOC3"/>
        <w:rPr>
          <w:rFonts w:eastAsiaTheme="minorEastAsia"/>
          <w:i w:val="0"/>
          <w:color w:val="auto"/>
          <w:lang w:eastAsia="en-AU"/>
        </w:rPr>
      </w:pPr>
      <w:hyperlink w:anchor="_Toc444528629" w:history="1">
        <w:r w:rsidRPr="00516119">
          <w:rPr>
            <w:rStyle w:val="Hyperlink"/>
          </w:rPr>
          <w:t>5.2.4</w:t>
        </w:r>
        <w:r>
          <w:rPr>
            <w:rFonts w:eastAsiaTheme="minorEastAsia"/>
            <w:i w:val="0"/>
            <w:color w:val="auto"/>
            <w:lang w:eastAsia="en-AU"/>
          </w:rPr>
          <w:tab/>
        </w:r>
        <w:r w:rsidRPr="00516119">
          <w:rPr>
            <w:rStyle w:val="Hyperlink"/>
          </w:rPr>
          <w:t>Price weights and NWAU</w:t>
        </w:r>
        <w:r>
          <w:rPr>
            <w:webHidden/>
          </w:rPr>
          <w:tab/>
        </w:r>
        <w:r>
          <w:rPr>
            <w:webHidden/>
          </w:rPr>
          <w:fldChar w:fldCharType="begin"/>
        </w:r>
        <w:r>
          <w:rPr>
            <w:webHidden/>
          </w:rPr>
          <w:instrText xml:space="preserve"> PAGEREF _Toc444528629 \h </w:instrText>
        </w:r>
        <w:r>
          <w:rPr>
            <w:webHidden/>
          </w:rPr>
        </w:r>
        <w:r>
          <w:rPr>
            <w:webHidden/>
          </w:rPr>
          <w:fldChar w:fldCharType="separate"/>
        </w:r>
        <w:r w:rsidR="0027530C">
          <w:rPr>
            <w:webHidden/>
          </w:rPr>
          <w:t>43</w:t>
        </w:r>
        <w:r>
          <w:rPr>
            <w:webHidden/>
          </w:rPr>
          <w:fldChar w:fldCharType="end"/>
        </w:r>
      </w:hyperlink>
    </w:p>
    <w:p w:rsidR="00FE788C" w:rsidRDefault="00FE788C">
      <w:pPr>
        <w:pStyle w:val="TOC2"/>
        <w:rPr>
          <w:rFonts w:eastAsiaTheme="minorEastAsia"/>
          <w:color w:val="auto"/>
          <w:lang w:eastAsia="en-AU"/>
        </w:rPr>
      </w:pPr>
      <w:hyperlink w:anchor="_Toc444528630" w:history="1">
        <w:r w:rsidRPr="00516119">
          <w:rPr>
            <w:rStyle w:val="Hyperlink"/>
          </w:rPr>
          <w:t>5.3</w:t>
        </w:r>
        <w:r>
          <w:rPr>
            <w:rFonts w:eastAsiaTheme="minorEastAsia"/>
            <w:color w:val="auto"/>
            <w:lang w:eastAsia="en-AU"/>
          </w:rPr>
          <w:tab/>
        </w:r>
        <w:r w:rsidRPr="00516119">
          <w:rPr>
            <w:rStyle w:val="Hyperlink"/>
          </w:rPr>
          <w:t>Assigning NWAU for emergency care</w:t>
        </w:r>
        <w:r>
          <w:rPr>
            <w:webHidden/>
          </w:rPr>
          <w:tab/>
        </w:r>
        <w:r>
          <w:rPr>
            <w:webHidden/>
          </w:rPr>
          <w:fldChar w:fldCharType="begin"/>
        </w:r>
        <w:r>
          <w:rPr>
            <w:webHidden/>
          </w:rPr>
          <w:instrText xml:space="preserve"> PAGEREF _Toc444528630 \h </w:instrText>
        </w:r>
        <w:r>
          <w:rPr>
            <w:webHidden/>
          </w:rPr>
        </w:r>
        <w:r>
          <w:rPr>
            <w:webHidden/>
          </w:rPr>
          <w:fldChar w:fldCharType="separate"/>
        </w:r>
        <w:r w:rsidR="0027530C">
          <w:rPr>
            <w:webHidden/>
          </w:rPr>
          <w:t>44</w:t>
        </w:r>
        <w:r>
          <w:rPr>
            <w:webHidden/>
          </w:rPr>
          <w:fldChar w:fldCharType="end"/>
        </w:r>
      </w:hyperlink>
    </w:p>
    <w:p w:rsidR="00FE788C" w:rsidRDefault="00FE788C">
      <w:pPr>
        <w:pStyle w:val="TOC3"/>
        <w:rPr>
          <w:rFonts w:eastAsiaTheme="minorEastAsia"/>
          <w:i w:val="0"/>
          <w:color w:val="auto"/>
          <w:lang w:eastAsia="en-AU"/>
        </w:rPr>
      </w:pPr>
      <w:hyperlink w:anchor="_Toc444528631" w:history="1">
        <w:r w:rsidRPr="00516119">
          <w:rPr>
            <w:rStyle w:val="Hyperlink"/>
          </w:rPr>
          <w:t>5.3.1</w:t>
        </w:r>
        <w:r>
          <w:rPr>
            <w:rFonts w:eastAsiaTheme="minorEastAsia"/>
            <w:i w:val="0"/>
            <w:color w:val="auto"/>
            <w:lang w:eastAsia="en-AU"/>
          </w:rPr>
          <w:tab/>
        </w:r>
        <w:r w:rsidRPr="00516119">
          <w:rPr>
            <w:rStyle w:val="Hyperlink"/>
          </w:rPr>
          <w:t>Data preparation and calculation of NWAU</w:t>
        </w:r>
        <w:r>
          <w:rPr>
            <w:webHidden/>
          </w:rPr>
          <w:tab/>
        </w:r>
        <w:r>
          <w:rPr>
            <w:webHidden/>
          </w:rPr>
          <w:fldChar w:fldCharType="begin"/>
        </w:r>
        <w:r>
          <w:rPr>
            <w:webHidden/>
          </w:rPr>
          <w:instrText xml:space="preserve"> PAGEREF _Toc444528631 \h </w:instrText>
        </w:r>
        <w:r>
          <w:rPr>
            <w:webHidden/>
          </w:rPr>
        </w:r>
        <w:r>
          <w:rPr>
            <w:webHidden/>
          </w:rPr>
          <w:fldChar w:fldCharType="separate"/>
        </w:r>
        <w:r w:rsidR="0027530C">
          <w:rPr>
            <w:webHidden/>
          </w:rPr>
          <w:t>44</w:t>
        </w:r>
        <w:r>
          <w:rPr>
            <w:webHidden/>
          </w:rPr>
          <w:fldChar w:fldCharType="end"/>
        </w:r>
      </w:hyperlink>
    </w:p>
    <w:p w:rsidR="00FE788C" w:rsidRDefault="00FE788C">
      <w:pPr>
        <w:pStyle w:val="TOC1"/>
        <w:rPr>
          <w:rFonts w:eastAsiaTheme="minorEastAsia"/>
          <w:b w:val="0"/>
          <w:sz w:val="22"/>
          <w:lang w:eastAsia="en-AU"/>
        </w:rPr>
      </w:pPr>
      <w:hyperlink w:anchor="_Toc444528632" w:history="1">
        <w:r w:rsidRPr="00516119">
          <w:rPr>
            <w:rStyle w:val="Hyperlink"/>
          </w:rPr>
          <w:t>6</w:t>
        </w:r>
        <w:r>
          <w:rPr>
            <w:rFonts w:eastAsiaTheme="minorEastAsia"/>
            <w:b w:val="0"/>
            <w:sz w:val="22"/>
            <w:lang w:eastAsia="en-AU"/>
          </w:rPr>
          <w:tab/>
        </w:r>
        <w:r w:rsidRPr="00516119">
          <w:rPr>
            <w:rStyle w:val="Hyperlink"/>
          </w:rPr>
          <w:t>Non-admitted care cost model</w:t>
        </w:r>
        <w:r>
          <w:rPr>
            <w:webHidden/>
          </w:rPr>
          <w:tab/>
        </w:r>
        <w:r>
          <w:rPr>
            <w:webHidden/>
          </w:rPr>
          <w:fldChar w:fldCharType="begin"/>
        </w:r>
        <w:r>
          <w:rPr>
            <w:webHidden/>
          </w:rPr>
          <w:instrText xml:space="preserve"> PAGEREF _Toc444528632 \h </w:instrText>
        </w:r>
        <w:r>
          <w:rPr>
            <w:webHidden/>
          </w:rPr>
        </w:r>
        <w:r>
          <w:rPr>
            <w:webHidden/>
          </w:rPr>
          <w:fldChar w:fldCharType="separate"/>
        </w:r>
        <w:r w:rsidR="0027530C">
          <w:rPr>
            <w:webHidden/>
          </w:rPr>
          <w:t>47</w:t>
        </w:r>
        <w:r>
          <w:rPr>
            <w:webHidden/>
          </w:rPr>
          <w:fldChar w:fldCharType="end"/>
        </w:r>
      </w:hyperlink>
    </w:p>
    <w:p w:rsidR="00FE788C" w:rsidRDefault="00FE788C">
      <w:pPr>
        <w:pStyle w:val="TOC2"/>
        <w:rPr>
          <w:rFonts w:eastAsiaTheme="minorEastAsia"/>
          <w:color w:val="auto"/>
          <w:lang w:eastAsia="en-AU"/>
        </w:rPr>
      </w:pPr>
      <w:hyperlink w:anchor="_Toc444528633" w:history="1">
        <w:r w:rsidRPr="00516119">
          <w:rPr>
            <w:rStyle w:val="Hyperlink"/>
          </w:rPr>
          <w:t>6.1</w:t>
        </w:r>
        <w:r>
          <w:rPr>
            <w:rFonts w:eastAsiaTheme="minorEastAsia"/>
            <w:color w:val="auto"/>
            <w:lang w:eastAsia="en-AU"/>
          </w:rPr>
          <w:tab/>
        </w:r>
        <w:r w:rsidRPr="00516119">
          <w:rPr>
            <w:rStyle w:val="Hyperlink"/>
          </w:rPr>
          <w:t>General issues</w:t>
        </w:r>
        <w:r>
          <w:rPr>
            <w:webHidden/>
          </w:rPr>
          <w:tab/>
        </w:r>
        <w:r>
          <w:rPr>
            <w:webHidden/>
          </w:rPr>
          <w:fldChar w:fldCharType="begin"/>
        </w:r>
        <w:r>
          <w:rPr>
            <w:webHidden/>
          </w:rPr>
          <w:instrText xml:space="preserve"> PAGEREF _Toc444528633 \h </w:instrText>
        </w:r>
        <w:r>
          <w:rPr>
            <w:webHidden/>
          </w:rPr>
        </w:r>
        <w:r>
          <w:rPr>
            <w:webHidden/>
          </w:rPr>
          <w:fldChar w:fldCharType="separate"/>
        </w:r>
        <w:r w:rsidR="0027530C">
          <w:rPr>
            <w:webHidden/>
          </w:rPr>
          <w:t>47</w:t>
        </w:r>
        <w:r>
          <w:rPr>
            <w:webHidden/>
          </w:rPr>
          <w:fldChar w:fldCharType="end"/>
        </w:r>
      </w:hyperlink>
    </w:p>
    <w:p w:rsidR="00FE788C" w:rsidRDefault="00FE788C">
      <w:pPr>
        <w:pStyle w:val="TOC3"/>
        <w:rPr>
          <w:rFonts w:eastAsiaTheme="minorEastAsia"/>
          <w:i w:val="0"/>
          <w:color w:val="auto"/>
          <w:lang w:eastAsia="en-AU"/>
        </w:rPr>
      </w:pPr>
      <w:hyperlink w:anchor="_Toc444528634" w:history="1">
        <w:r w:rsidRPr="00516119">
          <w:rPr>
            <w:rStyle w:val="Hyperlink"/>
          </w:rPr>
          <w:t>6.1.1</w:t>
        </w:r>
        <w:r>
          <w:rPr>
            <w:rFonts w:eastAsiaTheme="minorEastAsia"/>
            <w:i w:val="0"/>
            <w:color w:val="auto"/>
            <w:lang w:eastAsia="en-AU"/>
          </w:rPr>
          <w:tab/>
        </w:r>
        <w:r w:rsidRPr="00516119">
          <w:rPr>
            <w:rStyle w:val="Hyperlink"/>
          </w:rPr>
          <w:t>Cost unit</w:t>
        </w:r>
        <w:r>
          <w:rPr>
            <w:webHidden/>
          </w:rPr>
          <w:tab/>
        </w:r>
        <w:r>
          <w:rPr>
            <w:webHidden/>
          </w:rPr>
          <w:fldChar w:fldCharType="begin"/>
        </w:r>
        <w:r>
          <w:rPr>
            <w:webHidden/>
          </w:rPr>
          <w:instrText xml:space="preserve"> PAGEREF _Toc444528634 \h </w:instrText>
        </w:r>
        <w:r>
          <w:rPr>
            <w:webHidden/>
          </w:rPr>
        </w:r>
        <w:r>
          <w:rPr>
            <w:webHidden/>
          </w:rPr>
          <w:fldChar w:fldCharType="separate"/>
        </w:r>
        <w:r w:rsidR="0027530C">
          <w:rPr>
            <w:webHidden/>
          </w:rPr>
          <w:t>47</w:t>
        </w:r>
        <w:r>
          <w:rPr>
            <w:webHidden/>
          </w:rPr>
          <w:fldChar w:fldCharType="end"/>
        </w:r>
      </w:hyperlink>
    </w:p>
    <w:p w:rsidR="00FE788C" w:rsidRDefault="00FE788C">
      <w:pPr>
        <w:pStyle w:val="TOC3"/>
        <w:rPr>
          <w:rFonts w:eastAsiaTheme="minorEastAsia"/>
          <w:i w:val="0"/>
          <w:color w:val="auto"/>
          <w:lang w:eastAsia="en-AU"/>
        </w:rPr>
      </w:pPr>
      <w:hyperlink w:anchor="_Toc444528635" w:history="1">
        <w:r w:rsidRPr="00516119">
          <w:rPr>
            <w:rStyle w:val="Hyperlink"/>
          </w:rPr>
          <w:t>6.1.2</w:t>
        </w:r>
        <w:r>
          <w:rPr>
            <w:rFonts w:eastAsiaTheme="minorEastAsia"/>
            <w:i w:val="0"/>
            <w:color w:val="auto"/>
            <w:lang w:eastAsia="en-AU"/>
          </w:rPr>
          <w:tab/>
        </w:r>
        <w:r w:rsidRPr="00516119">
          <w:rPr>
            <w:rStyle w:val="Hyperlink"/>
          </w:rPr>
          <w:t>Scope</w:t>
        </w:r>
        <w:r>
          <w:rPr>
            <w:webHidden/>
          </w:rPr>
          <w:tab/>
        </w:r>
        <w:r>
          <w:rPr>
            <w:webHidden/>
          </w:rPr>
          <w:fldChar w:fldCharType="begin"/>
        </w:r>
        <w:r>
          <w:rPr>
            <w:webHidden/>
          </w:rPr>
          <w:instrText xml:space="preserve"> PAGEREF _Toc444528635 \h </w:instrText>
        </w:r>
        <w:r>
          <w:rPr>
            <w:webHidden/>
          </w:rPr>
        </w:r>
        <w:r>
          <w:rPr>
            <w:webHidden/>
          </w:rPr>
          <w:fldChar w:fldCharType="separate"/>
        </w:r>
        <w:r w:rsidR="0027530C">
          <w:rPr>
            <w:webHidden/>
          </w:rPr>
          <w:t>47</w:t>
        </w:r>
        <w:r>
          <w:rPr>
            <w:webHidden/>
          </w:rPr>
          <w:fldChar w:fldCharType="end"/>
        </w:r>
      </w:hyperlink>
    </w:p>
    <w:p w:rsidR="00FE788C" w:rsidRDefault="00FE788C">
      <w:pPr>
        <w:pStyle w:val="TOC3"/>
        <w:rPr>
          <w:rFonts w:eastAsiaTheme="minorEastAsia"/>
          <w:i w:val="0"/>
          <w:color w:val="auto"/>
          <w:lang w:eastAsia="en-AU"/>
        </w:rPr>
      </w:pPr>
      <w:hyperlink w:anchor="_Toc444528636" w:history="1">
        <w:r w:rsidRPr="00516119">
          <w:rPr>
            <w:rStyle w:val="Hyperlink"/>
          </w:rPr>
          <w:t>6.1.3</w:t>
        </w:r>
        <w:r>
          <w:rPr>
            <w:rFonts w:eastAsiaTheme="minorEastAsia"/>
            <w:i w:val="0"/>
            <w:color w:val="auto"/>
            <w:lang w:eastAsia="en-AU"/>
          </w:rPr>
          <w:tab/>
        </w:r>
        <w:r w:rsidRPr="00516119">
          <w:rPr>
            <w:rStyle w:val="Hyperlink"/>
          </w:rPr>
          <w:t>Classification</w:t>
        </w:r>
        <w:r>
          <w:rPr>
            <w:webHidden/>
          </w:rPr>
          <w:tab/>
        </w:r>
        <w:r>
          <w:rPr>
            <w:webHidden/>
          </w:rPr>
          <w:fldChar w:fldCharType="begin"/>
        </w:r>
        <w:r>
          <w:rPr>
            <w:webHidden/>
          </w:rPr>
          <w:instrText xml:space="preserve"> PAGEREF _Toc444528636 \h </w:instrText>
        </w:r>
        <w:r>
          <w:rPr>
            <w:webHidden/>
          </w:rPr>
        </w:r>
        <w:r>
          <w:rPr>
            <w:webHidden/>
          </w:rPr>
          <w:fldChar w:fldCharType="separate"/>
        </w:r>
        <w:r w:rsidR="0027530C">
          <w:rPr>
            <w:webHidden/>
          </w:rPr>
          <w:t>47</w:t>
        </w:r>
        <w:r>
          <w:rPr>
            <w:webHidden/>
          </w:rPr>
          <w:fldChar w:fldCharType="end"/>
        </w:r>
      </w:hyperlink>
    </w:p>
    <w:p w:rsidR="00FE788C" w:rsidRDefault="00FE788C">
      <w:pPr>
        <w:pStyle w:val="TOC2"/>
        <w:rPr>
          <w:rFonts w:eastAsiaTheme="minorEastAsia"/>
          <w:color w:val="auto"/>
          <w:lang w:eastAsia="en-AU"/>
        </w:rPr>
      </w:pPr>
      <w:hyperlink w:anchor="_Toc444528637" w:history="1">
        <w:r w:rsidRPr="00516119">
          <w:rPr>
            <w:rStyle w:val="Hyperlink"/>
          </w:rPr>
          <w:t>6.2</w:t>
        </w:r>
        <w:r>
          <w:rPr>
            <w:rFonts w:eastAsiaTheme="minorEastAsia"/>
            <w:color w:val="auto"/>
            <w:lang w:eastAsia="en-AU"/>
          </w:rPr>
          <w:tab/>
        </w:r>
        <w:r w:rsidRPr="00516119">
          <w:rPr>
            <w:rStyle w:val="Hyperlink"/>
          </w:rPr>
          <w:t>Analysis of costs to derive NWAU for non-admitted outpatient care</w:t>
        </w:r>
        <w:r>
          <w:rPr>
            <w:webHidden/>
          </w:rPr>
          <w:tab/>
        </w:r>
        <w:r>
          <w:rPr>
            <w:webHidden/>
          </w:rPr>
          <w:fldChar w:fldCharType="begin"/>
        </w:r>
        <w:r>
          <w:rPr>
            <w:webHidden/>
          </w:rPr>
          <w:instrText xml:space="preserve"> PAGEREF _Toc444528637 \h </w:instrText>
        </w:r>
        <w:r>
          <w:rPr>
            <w:webHidden/>
          </w:rPr>
        </w:r>
        <w:r>
          <w:rPr>
            <w:webHidden/>
          </w:rPr>
          <w:fldChar w:fldCharType="separate"/>
        </w:r>
        <w:r w:rsidR="0027530C">
          <w:rPr>
            <w:webHidden/>
          </w:rPr>
          <w:t>47</w:t>
        </w:r>
        <w:r>
          <w:rPr>
            <w:webHidden/>
          </w:rPr>
          <w:fldChar w:fldCharType="end"/>
        </w:r>
      </w:hyperlink>
    </w:p>
    <w:p w:rsidR="00FE788C" w:rsidRDefault="00FE788C">
      <w:pPr>
        <w:pStyle w:val="TOC3"/>
        <w:rPr>
          <w:rFonts w:eastAsiaTheme="minorEastAsia"/>
          <w:i w:val="0"/>
          <w:color w:val="auto"/>
          <w:lang w:eastAsia="en-AU"/>
        </w:rPr>
      </w:pPr>
      <w:hyperlink w:anchor="_Toc444528638" w:history="1">
        <w:r w:rsidRPr="00516119">
          <w:rPr>
            <w:rStyle w:val="Hyperlink"/>
          </w:rPr>
          <w:t>6.2.1</w:t>
        </w:r>
        <w:r>
          <w:rPr>
            <w:rFonts w:eastAsiaTheme="minorEastAsia"/>
            <w:i w:val="0"/>
            <w:color w:val="auto"/>
            <w:lang w:eastAsia="en-AU"/>
          </w:rPr>
          <w:tab/>
        </w:r>
        <w:r w:rsidRPr="00516119">
          <w:rPr>
            <w:rStyle w:val="Hyperlink"/>
          </w:rPr>
          <w:t>Data preparation</w:t>
        </w:r>
        <w:r>
          <w:rPr>
            <w:webHidden/>
          </w:rPr>
          <w:tab/>
        </w:r>
        <w:r>
          <w:rPr>
            <w:webHidden/>
          </w:rPr>
          <w:fldChar w:fldCharType="begin"/>
        </w:r>
        <w:r>
          <w:rPr>
            <w:webHidden/>
          </w:rPr>
          <w:instrText xml:space="preserve"> PAGEREF _Toc444528638 \h </w:instrText>
        </w:r>
        <w:r>
          <w:rPr>
            <w:webHidden/>
          </w:rPr>
        </w:r>
        <w:r>
          <w:rPr>
            <w:webHidden/>
          </w:rPr>
          <w:fldChar w:fldCharType="separate"/>
        </w:r>
        <w:r w:rsidR="0027530C">
          <w:rPr>
            <w:webHidden/>
          </w:rPr>
          <w:t>47</w:t>
        </w:r>
        <w:r>
          <w:rPr>
            <w:webHidden/>
          </w:rPr>
          <w:fldChar w:fldCharType="end"/>
        </w:r>
      </w:hyperlink>
    </w:p>
    <w:p w:rsidR="00FE788C" w:rsidRDefault="00FE788C">
      <w:pPr>
        <w:pStyle w:val="TOC3"/>
        <w:rPr>
          <w:rFonts w:eastAsiaTheme="minorEastAsia"/>
          <w:i w:val="0"/>
          <w:color w:val="auto"/>
          <w:lang w:eastAsia="en-AU"/>
        </w:rPr>
      </w:pPr>
      <w:hyperlink w:anchor="_Toc444528639" w:history="1">
        <w:r w:rsidRPr="00516119">
          <w:rPr>
            <w:rStyle w:val="Hyperlink"/>
          </w:rPr>
          <w:t>6.2.2</w:t>
        </w:r>
        <w:r>
          <w:rPr>
            <w:rFonts w:eastAsiaTheme="minorEastAsia"/>
            <w:i w:val="0"/>
            <w:color w:val="auto"/>
            <w:lang w:eastAsia="en-AU"/>
          </w:rPr>
          <w:tab/>
        </w:r>
        <w:r w:rsidRPr="00516119">
          <w:rPr>
            <w:rStyle w:val="Hyperlink"/>
          </w:rPr>
          <w:t>Sample weights</w:t>
        </w:r>
        <w:r>
          <w:rPr>
            <w:webHidden/>
          </w:rPr>
          <w:tab/>
        </w:r>
        <w:r>
          <w:rPr>
            <w:webHidden/>
          </w:rPr>
          <w:fldChar w:fldCharType="begin"/>
        </w:r>
        <w:r>
          <w:rPr>
            <w:webHidden/>
          </w:rPr>
          <w:instrText xml:space="preserve"> PAGEREF _Toc444528639 \h </w:instrText>
        </w:r>
        <w:r>
          <w:rPr>
            <w:webHidden/>
          </w:rPr>
        </w:r>
        <w:r>
          <w:rPr>
            <w:webHidden/>
          </w:rPr>
          <w:fldChar w:fldCharType="separate"/>
        </w:r>
        <w:r w:rsidR="0027530C">
          <w:rPr>
            <w:webHidden/>
          </w:rPr>
          <w:t>48</w:t>
        </w:r>
        <w:r>
          <w:rPr>
            <w:webHidden/>
          </w:rPr>
          <w:fldChar w:fldCharType="end"/>
        </w:r>
      </w:hyperlink>
    </w:p>
    <w:p w:rsidR="00FE788C" w:rsidRDefault="00FE788C">
      <w:pPr>
        <w:pStyle w:val="TOC3"/>
        <w:rPr>
          <w:rFonts w:eastAsiaTheme="minorEastAsia"/>
          <w:i w:val="0"/>
          <w:color w:val="auto"/>
          <w:lang w:eastAsia="en-AU"/>
        </w:rPr>
      </w:pPr>
      <w:hyperlink w:anchor="_Toc444528640" w:history="1">
        <w:r w:rsidRPr="00516119">
          <w:rPr>
            <w:rStyle w:val="Hyperlink"/>
          </w:rPr>
          <w:t>6.2.3</w:t>
        </w:r>
        <w:r>
          <w:rPr>
            <w:rFonts w:eastAsiaTheme="minorEastAsia"/>
            <w:i w:val="0"/>
            <w:color w:val="auto"/>
            <w:lang w:eastAsia="en-AU"/>
          </w:rPr>
          <w:tab/>
        </w:r>
        <w:r w:rsidRPr="00516119">
          <w:rPr>
            <w:rStyle w:val="Hyperlink"/>
          </w:rPr>
          <w:t>Cost parameters and adjustments</w:t>
        </w:r>
        <w:r>
          <w:rPr>
            <w:webHidden/>
          </w:rPr>
          <w:tab/>
        </w:r>
        <w:r>
          <w:rPr>
            <w:webHidden/>
          </w:rPr>
          <w:fldChar w:fldCharType="begin"/>
        </w:r>
        <w:r>
          <w:rPr>
            <w:webHidden/>
          </w:rPr>
          <w:instrText xml:space="preserve"> PAGEREF _Toc444528640 \h </w:instrText>
        </w:r>
        <w:r>
          <w:rPr>
            <w:webHidden/>
          </w:rPr>
        </w:r>
        <w:r>
          <w:rPr>
            <w:webHidden/>
          </w:rPr>
          <w:fldChar w:fldCharType="separate"/>
        </w:r>
        <w:r w:rsidR="0027530C">
          <w:rPr>
            <w:webHidden/>
          </w:rPr>
          <w:t>48</w:t>
        </w:r>
        <w:r>
          <w:rPr>
            <w:webHidden/>
          </w:rPr>
          <w:fldChar w:fldCharType="end"/>
        </w:r>
      </w:hyperlink>
    </w:p>
    <w:p w:rsidR="00FE788C" w:rsidRDefault="00FE788C">
      <w:pPr>
        <w:pStyle w:val="TOC3"/>
        <w:rPr>
          <w:rFonts w:eastAsiaTheme="minorEastAsia"/>
          <w:i w:val="0"/>
          <w:color w:val="auto"/>
          <w:lang w:eastAsia="en-AU"/>
        </w:rPr>
      </w:pPr>
      <w:hyperlink w:anchor="_Toc444528641" w:history="1">
        <w:r w:rsidRPr="00516119">
          <w:rPr>
            <w:rStyle w:val="Hyperlink"/>
          </w:rPr>
          <w:t>6.2.4</w:t>
        </w:r>
        <w:r>
          <w:rPr>
            <w:rFonts w:eastAsiaTheme="minorEastAsia"/>
            <w:i w:val="0"/>
            <w:color w:val="auto"/>
            <w:lang w:eastAsia="en-AU"/>
          </w:rPr>
          <w:tab/>
        </w:r>
        <w:r w:rsidRPr="00516119">
          <w:rPr>
            <w:rStyle w:val="Hyperlink"/>
          </w:rPr>
          <w:t>Price weights and NWAU</w:t>
        </w:r>
        <w:r>
          <w:rPr>
            <w:webHidden/>
          </w:rPr>
          <w:tab/>
        </w:r>
        <w:r>
          <w:rPr>
            <w:webHidden/>
          </w:rPr>
          <w:fldChar w:fldCharType="begin"/>
        </w:r>
        <w:r>
          <w:rPr>
            <w:webHidden/>
          </w:rPr>
          <w:instrText xml:space="preserve"> PAGEREF _Toc444528641 \h </w:instrText>
        </w:r>
        <w:r>
          <w:rPr>
            <w:webHidden/>
          </w:rPr>
        </w:r>
        <w:r>
          <w:rPr>
            <w:webHidden/>
          </w:rPr>
          <w:fldChar w:fldCharType="separate"/>
        </w:r>
        <w:r w:rsidR="0027530C">
          <w:rPr>
            <w:webHidden/>
          </w:rPr>
          <w:t>49</w:t>
        </w:r>
        <w:r>
          <w:rPr>
            <w:webHidden/>
          </w:rPr>
          <w:fldChar w:fldCharType="end"/>
        </w:r>
      </w:hyperlink>
    </w:p>
    <w:p w:rsidR="00FE788C" w:rsidRDefault="00FE788C">
      <w:pPr>
        <w:pStyle w:val="TOC2"/>
        <w:rPr>
          <w:rFonts w:eastAsiaTheme="minorEastAsia"/>
          <w:color w:val="auto"/>
          <w:lang w:eastAsia="en-AU"/>
        </w:rPr>
      </w:pPr>
      <w:hyperlink w:anchor="_Toc444528642" w:history="1">
        <w:r w:rsidRPr="00516119">
          <w:rPr>
            <w:rStyle w:val="Hyperlink"/>
          </w:rPr>
          <w:t>6.3</w:t>
        </w:r>
        <w:r>
          <w:rPr>
            <w:rFonts w:eastAsiaTheme="minorEastAsia"/>
            <w:color w:val="auto"/>
            <w:lang w:eastAsia="en-AU"/>
          </w:rPr>
          <w:tab/>
        </w:r>
        <w:r w:rsidRPr="00516119">
          <w:rPr>
            <w:rStyle w:val="Hyperlink"/>
          </w:rPr>
          <w:t>Assigning NWAU for non-admitted care</w:t>
        </w:r>
        <w:r>
          <w:rPr>
            <w:webHidden/>
          </w:rPr>
          <w:tab/>
        </w:r>
        <w:r>
          <w:rPr>
            <w:webHidden/>
          </w:rPr>
          <w:fldChar w:fldCharType="begin"/>
        </w:r>
        <w:r>
          <w:rPr>
            <w:webHidden/>
          </w:rPr>
          <w:instrText xml:space="preserve"> PAGEREF _Toc444528642 \h </w:instrText>
        </w:r>
        <w:r>
          <w:rPr>
            <w:webHidden/>
          </w:rPr>
        </w:r>
        <w:r>
          <w:rPr>
            <w:webHidden/>
          </w:rPr>
          <w:fldChar w:fldCharType="separate"/>
        </w:r>
        <w:r w:rsidR="0027530C">
          <w:rPr>
            <w:webHidden/>
          </w:rPr>
          <w:t>50</w:t>
        </w:r>
        <w:r>
          <w:rPr>
            <w:webHidden/>
          </w:rPr>
          <w:fldChar w:fldCharType="end"/>
        </w:r>
      </w:hyperlink>
    </w:p>
    <w:p w:rsidR="00FE788C" w:rsidRDefault="00FE788C">
      <w:pPr>
        <w:pStyle w:val="TOC3"/>
        <w:rPr>
          <w:rFonts w:eastAsiaTheme="minorEastAsia"/>
          <w:i w:val="0"/>
          <w:color w:val="auto"/>
          <w:lang w:eastAsia="en-AU"/>
        </w:rPr>
      </w:pPr>
      <w:hyperlink w:anchor="_Toc444528643" w:history="1">
        <w:r w:rsidRPr="00516119">
          <w:rPr>
            <w:rStyle w:val="Hyperlink"/>
          </w:rPr>
          <w:t>6.3.1</w:t>
        </w:r>
        <w:r>
          <w:rPr>
            <w:rFonts w:eastAsiaTheme="minorEastAsia"/>
            <w:i w:val="0"/>
            <w:color w:val="auto"/>
            <w:lang w:eastAsia="en-AU"/>
          </w:rPr>
          <w:tab/>
        </w:r>
        <w:r w:rsidRPr="00516119">
          <w:rPr>
            <w:rStyle w:val="Hyperlink"/>
          </w:rPr>
          <w:t>Data preparation and calculation of NWAU</w:t>
        </w:r>
        <w:r>
          <w:rPr>
            <w:webHidden/>
          </w:rPr>
          <w:tab/>
        </w:r>
        <w:r>
          <w:rPr>
            <w:webHidden/>
          </w:rPr>
          <w:fldChar w:fldCharType="begin"/>
        </w:r>
        <w:r>
          <w:rPr>
            <w:webHidden/>
          </w:rPr>
          <w:instrText xml:space="preserve"> PAGEREF _Toc444528643 \h </w:instrText>
        </w:r>
        <w:r>
          <w:rPr>
            <w:webHidden/>
          </w:rPr>
        </w:r>
        <w:r>
          <w:rPr>
            <w:webHidden/>
          </w:rPr>
          <w:fldChar w:fldCharType="separate"/>
        </w:r>
        <w:r w:rsidR="0027530C">
          <w:rPr>
            <w:webHidden/>
          </w:rPr>
          <w:t>50</w:t>
        </w:r>
        <w:r>
          <w:rPr>
            <w:webHidden/>
          </w:rPr>
          <w:fldChar w:fldCharType="end"/>
        </w:r>
      </w:hyperlink>
    </w:p>
    <w:p w:rsidR="00FE788C" w:rsidRDefault="00FE788C">
      <w:pPr>
        <w:pStyle w:val="TOC1"/>
        <w:rPr>
          <w:rFonts w:eastAsiaTheme="minorEastAsia"/>
          <w:b w:val="0"/>
          <w:sz w:val="22"/>
          <w:lang w:eastAsia="en-AU"/>
        </w:rPr>
      </w:pPr>
      <w:hyperlink w:anchor="_Toc444528644" w:history="1">
        <w:r w:rsidRPr="00516119">
          <w:rPr>
            <w:rStyle w:val="Hyperlink"/>
          </w:rPr>
          <w:t>7</w:t>
        </w:r>
        <w:r>
          <w:rPr>
            <w:rFonts w:eastAsiaTheme="minorEastAsia"/>
            <w:b w:val="0"/>
            <w:sz w:val="22"/>
            <w:lang w:eastAsia="en-AU"/>
          </w:rPr>
          <w:tab/>
        </w:r>
        <w:r w:rsidRPr="00516119">
          <w:rPr>
            <w:rStyle w:val="Hyperlink"/>
          </w:rPr>
          <w:t>Cost model for block funded hospitals</w:t>
        </w:r>
        <w:r>
          <w:rPr>
            <w:webHidden/>
          </w:rPr>
          <w:tab/>
        </w:r>
        <w:r>
          <w:rPr>
            <w:webHidden/>
          </w:rPr>
          <w:fldChar w:fldCharType="begin"/>
        </w:r>
        <w:r>
          <w:rPr>
            <w:webHidden/>
          </w:rPr>
          <w:instrText xml:space="preserve"> PAGEREF _Toc444528644 \h </w:instrText>
        </w:r>
        <w:r>
          <w:rPr>
            <w:webHidden/>
          </w:rPr>
        </w:r>
        <w:r>
          <w:rPr>
            <w:webHidden/>
          </w:rPr>
          <w:fldChar w:fldCharType="separate"/>
        </w:r>
        <w:r w:rsidR="0027530C">
          <w:rPr>
            <w:webHidden/>
          </w:rPr>
          <w:t>52</w:t>
        </w:r>
        <w:r>
          <w:rPr>
            <w:webHidden/>
          </w:rPr>
          <w:fldChar w:fldCharType="end"/>
        </w:r>
      </w:hyperlink>
    </w:p>
    <w:p w:rsidR="00FE788C" w:rsidRDefault="00FE788C">
      <w:pPr>
        <w:pStyle w:val="TOC2"/>
        <w:rPr>
          <w:rFonts w:eastAsiaTheme="minorEastAsia"/>
          <w:color w:val="auto"/>
          <w:lang w:eastAsia="en-AU"/>
        </w:rPr>
      </w:pPr>
      <w:hyperlink w:anchor="_Toc444528645" w:history="1">
        <w:r w:rsidRPr="00516119">
          <w:rPr>
            <w:rStyle w:val="Hyperlink"/>
          </w:rPr>
          <w:t>7.1</w:t>
        </w:r>
        <w:r>
          <w:rPr>
            <w:rFonts w:eastAsiaTheme="minorEastAsia"/>
            <w:color w:val="auto"/>
            <w:lang w:eastAsia="en-AU"/>
          </w:rPr>
          <w:tab/>
        </w:r>
        <w:r w:rsidRPr="00516119">
          <w:rPr>
            <w:rStyle w:val="Hyperlink"/>
          </w:rPr>
          <w:t>General issues</w:t>
        </w:r>
        <w:r>
          <w:rPr>
            <w:webHidden/>
          </w:rPr>
          <w:tab/>
        </w:r>
        <w:r>
          <w:rPr>
            <w:webHidden/>
          </w:rPr>
          <w:fldChar w:fldCharType="begin"/>
        </w:r>
        <w:r>
          <w:rPr>
            <w:webHidden/>
          </w:rPr>
          <w:instrText xml:space="preserve"> PAGEREF _Toc444528645 \h </w:instrText>
        </w:r>
        <w:r>
          <w:rPr>
            <w:webHidden/>
          </w:rPr>
        </w:r>
        <w:r>
          <w:rPr>
            <w:webHidden/>
          </w:rPr>
          <w:fldChar w:fldCharType="separate"/>
        </w:r>
        <w:r w:rsidR="0027530C">
          <w:rPr>
            <w:webHidden/>
          </w:rPr>
          <w:t>52</w:t>
        </w:r>
        <w:r>
          <w:rPr>
            <w:webHidden/>
          </w:rPr>
          <w:fldChar w:fldCharType="end"/>
        </w:r>
      </w:hyperlink>
    </w:p>
    <w:p w:rsidR="00FE788C" w:rsidRDefault="00FE788C">
      <w:pPr>
        <w:pStyle w:val="TOC3"/>
        <w:rPr>
          <w:rFonts w:eastAsiaTheme="minorEastAsia"/>
          <w:i w:val="0"/>
          <w:color w:val="auto"/>
          <w:lang w:eastAsia="en-AU"/>
        </w:rPr>
      </w:pPr>
      <w:hyperlink w:anchor="_Toc444528646" w:history="1">
        <w:r w:rsidRPr="00516119">
          <w:rPr>
            <w:rStyle w:val="Hyperlink"/>
          </w:rPr>
          <w:t>7.1.1</w:t>
        </w:r>
        <w:r>
          <w:rPr>
            <w:rFonts w:eastAsiaTheme="minorEastAsia"/>
            <w:i w:val="0"/>
            <w:color w:val="auto"/>
            <w:lang w:eastAsia="en-AU"/>
          </w:rPr>
          <w:tab/>
        </w:r>
        <w:r w:rsidRPr="00516119">
          <w:rPr>
            <w:rStyle w:val="Hyperlink"/>
          </w:rPr>
          <w:t>Cost unit</w:t>
        </w:r>
        <w:r>
          <w:rPr>
            <w:webHidden/>
          </w:rPr>
          <w:tab/>
        </w:r>
        <w:r>
          <w:rPr>
            <w:webHidden/>
          </w:rPr>
          <w:fldChar w:fldCharType="begin"/>
        </w:r>
        <w:r>
          <w:rPr>
            <w:webHidden/>
          </w:rPr>
          <w:instrText xml:space="preserve"> PAGEREF _Toc444528646 \h </w:instrText>
        </w:r>
        <w:r>
          <w:rPr>
            <w:webHidden/>
          </w:rPr>
        </w:r>
        <w:r>
          <w:rPr>
            <w:webHidden/>
          </w:rPr>
          <w:fldChar w:fldCharType="separate"/>
        </w:r>
        <w:r w:rsidR="0027530C">
          <w:rPr>
            <w:webHidden/>
          </w:rPr>
          <w:t>52</w:t>
        </w:r>
        <w:r>
          <w:rPr>
            <w:webHidden/>
          </w:rPr>
          <w:fldChar w:fldCharType="end"/>
        </w:r>
      </w:hyperlink>
    </w:p>
    <w:p w:rsidR="00FE788C" w:rsidRDefault="00FE788C">
      <w:pPr>
        <w:pStyle w:val="TOC3"/>
        <w:rPr>
          <w:rFonts w:eastAsiaTheme="minorEastAsia"/>
          <w:i w:val="0"/>
          <w:color w:val="auto"/>
          <w:lang w:eastAsia="en-AU"/>
        </w:rPr>
      </w:pPr>
      <w:hyperlink w:anchor="_Toc444528647" w:history="1">
        <w:r w:rsidRPr="00516119">
          <w:rPr>
            <w:rStyle w:val="Hyperlink"/>
          </w:rPr>
          <w:t>7.1.2</w:t>
        </w:r>
        <w:r>
          <w:rPr>
            <w:rFonts w:eastAsiaTheme="minorEastAsia"/>
            <w:i w:val="0"/>
            <w:color w:val="auto"/>
            <w:lang w:eastAsia="en-AU"/>
          </w:rPr>
          <w:tab/>
        </w:r>
        <w:r w:rsidRPr="00516119">
          <w:rPr>
            <w:rStyle w:val="Hyperlink"/>
          </w:rPr>
          <w:t>Scope</w:t>
        </w:r>
        <w:r>
          <w:rPr>
            <w:webHidden/>
          </w:rPr>
          <w:tab/>
        </w:r>
        <w:r>
          <w:rPr>
            <w:webHidden/>
          </w:rPr>
          <w:fldChar w:fldCharType="begin"/>
        </w:r>
        <w:r>
          <w:rPr>
            <w:webHidden/>
          </w:rPr>
          <w:instrText xml:space="preserve"> PAGEREF _Toc444528647 \h </w:instrText>
        </w:r>
        <w:r>
          <w:rPr>
            <w:webHidden/>
          </w:rPr>
        </w:r>
        <w:r>
          <w:rPr>
            <w:webHidden/>
          </w:rPr>
          <w:fldChar w:fldCharType="separate"/>
        </w:r>
        <w:r w:rsidR="0027530C">
          <w:rPr>
            <w:webHidden/>
          </w:rPr>
          <w:t>52</w:t>
        </w:r>
        <w:r>
          <w:rPr>
            <w:webHidden/>
          </w:rPr>
          <w:fldChar w:fldCharType="end"/>
        </w:r>
      </w:hyperlink>
    </w:p>
    <w:p w:rsidR="00FE788C" w:rsidRDefault="00FE788C">
      <w:pPr>
        <w:pStyle w:val="TOC3"/>
        <w:rPr>
          <w:rFonts w:eastAsiaTheme="minorEastAsia"/>
          <w:i w:val="0"/>
          <w:color w:val="auto"/>
          <w:lang w:eastAsia="en-AU"/>
        </w:rPr>
      </w:pPr>
      <w:hyperlink w:anchor="_Toc444528648" w:history="1">
        <w:r w:rsidRPr="00516119">
          <w:rPr>
            <w:rStyle w:val="Hyperlink"/>
          </w:rPr>
          <w:t>7.1.3</w:t>
        </w:r>
        <w:r>
          <w:rPr>
            <w:rFonts w:eastAsiaTheme="minorEastAsia"/>
            <w:i w:val="0"/>
            <w:color w:val="auto"/>
            <w:lang w:eastAsia="en-AU"/>
          </w:rPr>
          <w:tab/>
        </w:r>
        <w:r w:rsidRPr="00516119">
          <w:rPr>
            <w:rStyle w:val="Hyperlink"/>
          </w:rPr>
          <w:t>Classification</w:t>
        </w:r>
        <w:r>
          <w:rPr>
            <w:webHidden/>
          </w:rPr>
          <w:tab/>
        </w:r>
        <w:r>
          <w:rPr>
            <w:webHidden/>
          </w:rPr>
          <w:fldChar w:fldCharType="begin"/>
        </w:r>
        <w:r>
          <w:rPr>
            <w:webHidden/>
          </w:rPr>
          <w:instrText xml:space="preserve"> PAGEREF _Toc444528648 \h </w:instrText>
        </w:r>
        <w:r>
          <w:rPr>
            <w:webHidden/>
          </w:rPr>
        </w:r>
        <w:r>
          <w:rPr>
            <w:webHidden/>
          </w:rPr>
          <w:fldChar w:fldCharType="separate"/>
        </w:r>
        <w:r w:rsidR="0027530C">
          <w:rPr>
            <w:webHidden/>
          </w:rPr>
          <w:t>52</w:t>
        </w:r>
        <w:r>
          <w:rPr>
            <w:webHidden/>
          </w:rPr>
          <w:fldChar w:fldCharType="end"/>
        </w:r>
      </w:hyperlink>
    </w:p>
    <w:p w:rsidR="00FE788C" w:rsidRDefault="00FE788C">
      <w:pPr>
        <w:pStyle w:val="TOC2"/>
        <w:rPr>
          <w:rFonts w:eastAsiaTheme="minorEastAsia"/>
          <w:color w:val="auto"/>
          <w:lang w:eastAsia="en-AU"/>
        </w:rPr>
      </w:pPr>
      <w:hyperlink w:anchor="_Toc444528649" w:history="1">
        <w:r w:rsidRPr="00516119">
          <w:rPr>
            <w:rStyle w:val="Hyperlink"/>
          </w:rPr>
          <w:t>7.2</w:t>
        </w:r>
        <w:r>
          <w:rPr>
            <w:rFonts w:eastAsiaTheme="minorEastAsia"/>
            <w:color w:val="auto"/>
            <w:lang w:eastAsia="en-AU"/>
          </w:rPr>
          <w:tab/>
        </w:r>
        <w:r w:rsidRPr="00516119">
          <w:rPr>
            <w:rStyle w:val="Hyperlink"/>
          </w:rPr>
          <w:t>Analysis of costs</w:t>
        </w:r>
        <w:r>
          <w:rPr>
            <w:webHidden/>
          </w:rPr>
          <w:tab/>
        </w:r>
        <w:r>
          <w:rPr>
            <w:webHidden/>
          </w:rPr>
          <w:fldChar w:fldCharType="begin"/>
        </w:r>
        <w:r>
          <w:rPr>
            <w:webHidden/>
          </w:rPr>
          <w:instrText xml:space="preserve"> PAGEREF _Toc444528649 \h </w:instrText>
        </w:r>
        <w:r>
          <w:rPr>
            <w:webHidden/>
          </w:rPr>
        </w:r>
        <w:r>
          <w:rPr>
            <w:webHidden/>
          </w:rPr>
          <w:fldChar w:fldCharType="separate"/>
        </w:r>
        <w:r w:rsidR="0027530C">
          <w:rPr>
            <w:webHidden/>
          </w:rPr>
          <w:t>53</w:t>
        </w:r>
        <w:r>
          <w:rPr>
            <w:webHidden/>
          </w:rPr>
          <w:fldChar w:fldCharType="end"/>
        </w:r>
      </w:hyperlink>
    </w:p>
    <w:p w:rsidR="00FE788C" w:rsidRDefault="00FE788C">
      <w:pPr>
        <w:pStyle w:val="TOC3"/>
        <w:rPr>
          <w:rFonts w:eastAsiaTheme="minorEastAsia"/>
          <w:i w:val="0"/>
          <w:color w:val="auto"/>
          <w:lang w:eastAsia="en-AU"/>
        </w:rPr>
      </w:pPr>
      <w:hyperlink w:anchor="_Toc444528650" w:history="1">
        <w:r w:rsidRPr="00516119">
          <w:rPr>
            <w:rStyle w:val="Hyperlink"/>
          </w:rPr>
          <w:t>7.2.1</w:t>
        </w:r>
        <w:r>
          <w:rPr>
            <w:rFonts w:eastAsiaTheme="minorEastAsia"/>
            <w:i w:val="0"/>
            <w:color w:val="auto"/>
            <w:lang w:eastAsia="en-AU"/>
          </w:rPr>
          <w:tab/>
        </w:r>
        <w:r w:rsidRPr="00516119">
          <w:rPr>
            <w:rStyle w:val="Hyperlink"/>
          </w:rPr>
          <w:t>Data preparation</w:t>
        </w:r>
        <w:r>
          <w:rPr>
            <w:webHidden/>
          </w:rPr>
          <w:tab/>
        </w:r>
        <w:r>
          <w:rPr>
            <w:webHidden/>
          </w:rPr>
          <w:fldChar w:fldCharType="begin"/>
        </w:r>
        <w:r>
          <w:rPr>
            <w:webHidden/>
          </w:rPr>
          <w:instrText xml:space="preserve"> PAGEREF _Toc444528650 \h </w:instrText>
        </w:r>
        <w:r>
          <w:rPr>
            <w:webHidden/>
          </w:rPr>
        </w:r>
        <w:r>
          <w:rPr>
            <w:webHidden/>
          </w:rPr>
          <w:fldChar w:fldCharType="separate"/>
        </w:r>
        <w:r w:rsidR="0027530C">
          <w:rPr>
            <w:webHidden/>
          </w:rPr>
          <w:t>53</w:t>
        </w:r>
        <w:r>
          <w:rPr>
            <w:webHidden/>
          </w:rPr>
          <w:fldChar w:fldCharType="end"/>
        </w:r>
      </w:hyperlink>
    </w:p>
    <w:p w:rsidR="00FE788C" w:rsidRDefault="00FE788C">
      <w:pPr>
        <w:pStyle w:val="TOC3"/>
        <w:rPr>
          <w:rFonts w:eastAsiaTheme="minorEastAsia"/>
          <w:i w:val="0"/>
          <w:color w:val="auto"/>
          <w:lang w:eastAsia="en-AU"/>
        </w:rPr>
      </w:pPr>
      <w:hyperlink w:anchor="_Toc444528651" w:history="1">
        <w:r w:rsidRPr="00516119">
          <w:rPr>
            <w:rStyle w:val="Hyperlink"/>
          </w:rPr>
          <w:t>7.2.2</w:t>
        </w:r>
        <w:r>
          <w:rPr>
            <w:rFonts w:eastAsiaTheme="minorEastAsia"/>
            <w:i w:val="0"/>
            <w:color w:val="auto"/>
            <w:lang w:eastAsia="en-AU"/>
          </w:rPr>
          <w:tab/>
        </w:r>
        <w:r w:rsidRPr="00516119">
          <w:rPr>
            <w:rStyle w:val="Hyperlink"/>
          </w:rPr>
          <w:t>Calculation of cost parameters</w:t>
        </w:r>
        <w:r>
          <w:rPr>
            <w:webHidden/>
          </w:rPr>
          <w:tab/>
        </w:r>
        <w:r>
          <w:rPr>
            <w:webHidden/>
          </w:rPr>
          <w:fldChar w:fldCharType="begin"/>
        </w:r>
        <w:r>
          <w:rPr>
            <w:webHidden/>
          </w:rPr>
          <w:instrText xml:space="preserve"> PAGEREF _Toc444528651 \h </w:instrText>
        </w:r>
        <w:r>
          <w:rPr>
            <w:webHidden/>
          </w:rPr>
        </w:r>
        <w:r>
          <w:rPr>
            <w:webHidden/>
          </w:rPr>
          <w:fldChar w:fldCharType="separate"/>
        </w:r>
        <w:r w:rsidR="0027530C">
          <w:rPr>
            <w:webHidden/>
          </w:rPr>
          <w:t>54</w:t>
        </w:r>
        <w:r>
          <w:rPr>
            <w:webHidden/>
          </w:rPr>
          <w:fldChar w:fldCharType="end"/>
        </w:r>
      </w:hyperlink>
    </w:p>
    <w:p w:rsidR="00FE788C" w:rsidRDefault="00FE788C">
      <w:pPr>
        <w:pStyle w:val="TOC2"/>
        <w:rPr>
          <w:rFonts w:eastAsiaTheme="minorEastAsia"/>
          <w:color w:val="auto"/>
          <w:lang w:eastAsia="en-AU"/>
        </w:rPr>
      </w:pPr>
      <w:hyperlink w:anchor="_Toc444528652" w:history="1">
        <w:r w:rsidRPr="00516119">
          <w:rPr>
            <w:rStyle w:val="Hyperlink"/>
          </w:rPr>
          <w:t>7.3</w:t>
        </w:r>
        <w:r>
          <w:rPr>
            <w:rFonts w:eastAsiaTheme="minorEastAsia"/>
            <w:color w:val="auto"/>
            <w:lang w:eastAsia="en-AU"/>
          </w:rPr>
          <w:tab/>
        </w:r>
        <w:r w:rsidRPr="00516119">
          <w:rPr>
            <w:rStyle w:val="Hyperlink"/>
          </w:rPr>
          <w:t>Calculation of National Efficient Cost</w:t>
        </w:r>
        <w:r>
          <w:rPr>
            <w:webHidden/>
          </w:rPr>
          <w:tab/>
        </w:r>
        <w:r>
          <w:rPr>
            <w:webHidden/>
          </w:rPr>
          <w:fldChar w:fldCharType="begin"/>
        </w:r>
        <w:r>
          <w:rPr>
            <w:webHidden/>
          </w:rPr>
          <w:instrText xml:space="preserve"> PAGEREF _Toc444528652 \h </w:instrText>
        </w:r>
        <w:r>
          <w:rPr>
            <w:webHidden/>
          </w:rPr>
        </w:r>
        <w:r>
          <w:rPr>
            <w:webHidden/>
          </w:rPr>
          <w:fldChar w:fldCharType="separate"/>
        </w:r>
        <w:r w:rsidR="0027530C">
          <w:rPr>
            <w:webHidden/>
          </w:rPr>
          <w:t>55</w:t>
        </w:r>
        <w:r>
          <w:rPr>
            <w:webHidden/>
          </w:rPr>
          <w:fldChar w:fldCharType="end"/>
        </w:r>
      </w:hyperlink>
    </w:p>
    <w:p w:rsidR="00FE788C" w:rsidRDefault="00FE788C">
      <w:pPr>
        <w:pStyle w:val="TOC3"/>
        <w:rPr>
          <w:rFonts w:eastAsiaTheme="minorEastAsia"/>
          <w:i w:val="0"/>
          <w:color w:val="auto"/>
          <w:lang w:eastAsia="en-AU"/>
        </w:rPr>
      </w:pPr>
      <w:hyperlink w:anchor="_Toc444528653" w:history="1">
        <w:r w:rsidRPr="00516119">
          <w:rPr>
            <w:rStyle w:val="Hyperlink"/>
          </w:rPr>
          <w:t>7.3.1</w:t>
        </w:r>
        <w:r>
          <w:rPr>
            <w:rFonts w:eastAsiaTheme="minorEastAsia"/>
            <w:i w:val="0"/>
            <w:color w:val="auto"/>
            <w:lang w:eastAsia="en-AU"/>
          </w:rPr>
          <w:tab/>
        </w:r>
        <w:r w:rsidRPr="00516119">
          <w:rPr>
            <w:rStyle w:val="Hyperlink"/>
          </w:rPr>
          <w:t>Calculation of the efficient cost for a particular hospital</w:t>
        </w:r>
        <w:r>
          <w:rPr>
            <w:webHidden/>
          </w:rPr>
          <w:tab/>
        </w:r>
        <w:r>
          <w:rPr>
            <w:webHidden/>
          </w:rPr>
          <w:fldChar w:fldCharType="begin"/>
        </w:r>
        <w:r>
          <w:rPr>
            <w:webHidden/>
          </w:rPr>
          <w:instrText xml:space="preserve"> PAGEREF _Toc444528653 \h </w:instrText>
        </w:r>
        <w:r>
          <w:rPr>
            <w:webHidden/>
          </w:rPr>
        </w:r>
        <w:r>
          <w:rPr>
            <w:webHidden/>
          </w:rPr>
          <w:fldChar w:fldCharType="separate"/>
        </w:r>
        <w:r w:rsidR="0027530C">
          <w:rPr>
            <w:webHidden/>
          </w:rPr>
          <w:t>55</w:t>
        </w:r>
        <w:r>
          <w:rPr>
            <w:webHidden/>
          </w:rPr>
          <w:fldChar w:fldCharType="end"/>
        </w:r>
      </w:hyperlink>
    </w:p>
    <w:p w:rsidR="00FE788C" w:rsidRDefault="00FE788C">
      <w:pPr>
        <w:pStyle w:val="TOC3"/>
        <w:rPr>
          <w:rFonts w:eastAsiaTheme="minorEastAsia"/>
          <w:i w:val="0"/>
          <w:color w:val="auto"/>
          <w:lang w:eastAsia="en-AU"/>
        </w:rPr>
      </w:pPr>
      <w:hyperlink w:anchor="_Toc444528654" w:history="1">
        <w:r w:rsidRPr="00516119">
          <w:rPr>
            <w:rStyle w:val="Hyperlink"/>
          </w:rPr>
          <w:t>7.3.2</w:t>
        </w:r>
        <w:r>
          <w:rPr>
            <w:rFonts w:eastAsiaTheme="minorEastAsia"/>
            <w:i w:val="0"/>
            <w:color w:val="auto"/>
            <w:lang w:eastAsia="en-AU"/>
          </w:rPr>
          <w:tab/>
        </w:r>
        <w:r w:rsidRPr="00516119">
          <w:rPr>
            <w:rStyle w:val="Hyperlink"/>
          </w:rPr>
          <w:t>Calculation of the efficient cost of specialist psychiatric and major city hospitals</w:t>
        </w:r>
        <w:r>
          <w:rPr>
            <w:webHidden/>
          </w:rPr>
          <w:tab/>
        </w:r>
        <w:r>
          <w:rPr>
            <w:webHidden/>
          </w:rPr>
          <w:fldChar w:fldCharType="begin"/>
        </w:r>
        <w:r>
          <w:rPr>
            <w:webHidden/>
          </w:rPr>
          <w:instrText xml:space="preserve"> PAGEREF _Toc444528654 \h </w:instrText>
        </w:r>
        <w:r>
          <w:rPr>
            <w:webHidden/>
          </w:rPr>
        </w:r>
        <w:r>
          <w:rPr>
            <w:webHidden/>
          </w:rPr>
          <w:fldChar w:fldCharType="separate"/>
        </w:r>
        <w:r w:rsidR="0027530C">
          <w:rPr>
            <w:webHidden/>
          </w:rPr>
          <w:t>56</w:t>
        </w:r>
        <w:r>
          <w:rPr>
            <w:webHidden/>
          </w:rPr>
          <w:fldChar w:fldCharType="end"/>
        </w:r>
      </w:hyperlink>
    </w:p>
    <w:p w:rsidR="00FE788C" w:rsidRDefault="00FE788C">
      <w:pPr>
        <w:pStyle w:val="TOC2"/>
        <w:rPr>
          <w:rFonts w:eastAsiaTheme="minorEastAsia"/>
          <w:color w:val="auto"/>
          <w:lang w:eastAsia="en-AU"/>
        </w:rPr>
      </w:pPr>
      <w:hyperlink w:anchor="_Toc444528655" w:history="1">
        <w:r w:rsidRPr="00516119">
          <w:rPr>
            <w:rStyle w:val="Hyperlink"/>
          </w:rPr>
          <w:t>7.4</w:t>
        </w:r>
        <w:r>
          <w:rPr>
            <w:rFonts w:eastAsiaTheme="minorEastAsia"/>
            <w:color w:val="auto"/>
            <w:lang w:eastAsia="en-AU"/>
          </w:rPr>
          <w:tab/>
        </w:r>
        <w:r w:rsidRPr="00516119">
          <w:rPr>
            <w:rStyle w:val="Hyperlink"/>
          </w:rPr>
          <w:t>Indexation of the 2013-14 Model</w:t>
        </w:r>
        <w:r>
          <w:rPr>
            <w:webHidden/>
          </w:rPr>
          <w:tab/>
        </w:r>
        <w:r>
          <w:rPr>
            <w:webHidden/>
          </w:rPr>
          <w:fldChar w:fldCharType="begin"/>
        </w:r>
        <w:r>
          <w:rPr>
            <w:webHidden/>
          </w:rPr>
          <w:instrText xml:space="preserve"> PAGEREF _Toc444528655 \h </w:instrText>
        </w:r>
        <w:r>
          <w:rPr>
            <w:webHidden/>
          </w:rPr>
        </w:r>
        <w:r>
          <w:rPr>
            <w:webHidden/>
          </w:rPr>
          <w:fldChar w:fldCharType="separate"/>
        </w:r>
        <w:r w:rsidR="0027530C">
          <w:rPr>
            <w:webHidden/>
          </w:rPr>
          <w:t>56</w:t>
        </w:r>
        <w:r>
          <w:rPr>
            <w:webHidden/>
          </w:rPr>
          <w:fldChar w:fldCharType="end"/>
        </w:r>
      </w:hyperlink>
    </w:p>
    <w:p w:rsidR="00FE788C" w:rsidRDefault="00FE788C">
      <w:pPr>
        <w:pStyle w:val="TOC2"/>
        <w:rPr>
          <w:rFonts w:eastAsiaTheme="minorEastAsia"/>
          <w:color w:val="auto"/>
          <w:lang w:eastAsia="en-AU"/>
        </w:rPr>
      </w:pPr>
      <w:hyperlink w:anchor="_Toc444528656" w:history="1">
        <w:r w:rsidRPr="00516119">
          <w:rPr>
            <w:rStyle w:val="Hyperlink"/>
          </w:rPr>
          <w:t>7.5</w:t>
        </w:r>
        <w:r>
          <w:rPr>
            <w:rFonts w:eastAsiaTheme="minorEastAsia"/>
            <w:color w:val="auto"/>
            <w:lang w:eastAsia="en-AU"/>
          </w:rPr>
          <w:tab/>
        </w:r>
        <w:r w:rsidRPr="00516119">
          <w:rPr>
            <w:rStyle w:val="Hyperlink"/>
          </w:rPr>
          <w:t>Backcasting</w:t>
        </w:r>
        <w:r>
          <w:rPr>
            <w:webHidden/>
          </w:rPr>
          <w:tab/>
        </w:r>
        <w:r>
          <w:rPr>
            <w:webHidden/>
          </w:rPr>
          <w:fldChar w:fldCharType="begin"/>
        </w:r>
        <w:r>
          <w:rPr>
            <w:webHidden/>
          </w:rPr>
          <w:instrText xml:space="preserve"> PAGEREF _Toc444528656 \h </w:instrText>
        </w:r>
        <w:r>
          <w:rPr>
            <w:webHidden/>
          </w:rPr>
        </w:r>
        <w:r>
          <w:rPr>
            <w:webHidden/>
          </w:rPr>
          <w:fldChar w:fldCharType="separate"/>
        </w:r>
        <w:r w:rsidR="0027530C">
          <w:rPr>
            <w:webHidden/>
          </w:rPr>
          <w:t>57</w:t>
        </w:r>
        <w:r>
          <w:rPr>
            <w:webHidden/>
          </w:rPr>
          <w:fldChar w:fldCharType="end"/>
        </w:r>
      </w:hyperlink>
    </w:p>
    <w:p w:rsidR="00FE788C" w:rsidRDefault="00FE788C">
      <w:pPr>
        <w:pStyle w:val="TOC1"/>
        <w:rPr>
          <w:rFonts w:eastAsiaTheme="minorEastAsia"/>
          <w:b w:val="0"/>
          <w:sz w:val="22"/>
          <w:lang w:eastAsia="en-AU"/>
        </w:rPr>
      </w:pPr>
      <w:hyperlink w:anchor="_Toc444528657" w:history="1">
        <w:r w:rsidRPr="00516119">
          <w:rPr>
            <w:rStyle w:val="Hyperlink"/>
          </w:rPr>
          <w:t>Attachment A – Summary of 2013-14 input data</w:t>
        </w:r>
        <w:r>
          <w:rPr>
            <w:webHidden/>
          </w:rPr>
          <w:tab/>
        </w:r>
        <w:r>
          <w:rPr>
            <w:webHidden/>
          </w:rPr>
          <w:fldChar w:fldCharType="begin"/>
        </w:r>
        <w:r>
          <w:rPr>
            <w:webHidden/>
          </w:rPr>
          <w:instrText xml:space="preserve"> PAGEREF _Toc444528657 \h </w:instrText>
        </w:r>
        <w:r>
          <w:rPr>
            <w:webHidden/>
          </w:rPr>
        </w:r>
        <w:r>
          <w:rPr>
            <w:webHidden/>
          </w:rPr>
          <w:fldChar w:fldCharType="separate"/>
        </w:r>
        <w:r w:rsidR="0027530C">
          <w:rPr>
            <w:webHidden/>
          </w:rPr>
          <w:t>59</w:t>
        </w:r>
        <w:r>
          <w:rPr>
            <w:webHidden/>
          </w:rPr>
          <w:fldChar w:fldCharType="end"/>
        </w:r>
      </w:hyperlink>
    </w:p>
    <w:p w:rsidR="00FE788C" w:rsidRDefault="00FE788C">
      <w:pPr>
        <w:pStyle w:val="TOC1"/>
        <w:rPr>
          <w:rFonts w:eastAsiaTheme="minorEastAsia"/>
          <w:b w:val="0"/>
          <w:sz w:val="22"/>
          <w:lang w:eastAsia="en-AU"/>
        </w:rPr>
      </w:pPr>
      <w:hyperlink w:anchor="_Toc444528658" w:history="1">
        <w:r w:rsidRPr="00516119">
          <w:rPr>
            <w:rStyle w:val="Hyperlink"/>
          </w:rPr>
          <w:t>Attachment B – Development of the National Pricing Model</w:t>
        </w:r>
        <w:r>
          <w:rPr>
            <w:webHidden/>
          </w:rPr>
          <w:tab/>
        </w:r>
        <w:r>
          <w:rPr>
            <w:webHidden/>
          </w:rPr>
          <w:fldChar w:fldCharType="begin"/>
        </w:r>
        <w:r>
          <w:rPr>
            <w:webHidden/>
          </w:rPr>
          <w:instrText xml:space="preserve"> PAGEREF _Toc444528658 \h </w:instrText>
        </w:r>
        <w:r>
          <w:rPr>
            <w:webHidden/>
          </w:rPr>
        </w:r>
        <w:r>
          <w:rPr>
            <w:webHidden/>
          </w:rPr>
          <w:fldChar w:fldCharType="separate"/>
        </w:r>
        <w:r w:rsidR="0027530C">
          <w:rPr>
            <w:webHidden/>
          </w:rPr>
          <w:t>60</w:t>
        </w:r>
        <w:r>
          <w:rPr>
            <w:webHidden/>
          </w:rPr>
          <w:fldChar w:fldCharType="end"/>
        </w:r>
      </w:hyperlink>
    </w:p>
    <w:p w:rsidR="00FE788C" w:rsidRDefault="00FE788C">
      <w:pPr>
        <w:pStyle w:val="TOC1"/>
        <w:rPr>
          <w:rFonts w:eastAsiaTheme="minorEastAsia"/>
          <w:b w:val="0"/>
          <w:sz w:val="22"/>
          <w:lang w:eastAsia="en-AU"/>
        </w:rPr>
      </w:pPr>
      <w:hyperlink w:anchor="_Toc444528659" w:history="1">
        <w:r w:rsidRPr="00516119">
          <w:rPr>
            <w:rStyle w:val="Hyperlink"/>
          </w:rPr>
          <w:t>Attachment C – List of the 21 DRGs using L1.5 H1.5</w:t>
        </w:r>
        <w:r>
          <w:rPr>
            <w:webHidden/>
          </w:rPr>
          <w:tab/>
        </w:r>
        <w:r>
          <w:rPr>
            <w:webHidden/>
          </w:rPr>
          <w:fldChar w:fldCharType="begin"/>
        </w:r>
        <w:r>
          <w:rPr>
            <w:webHidden/>
          </w:rPr>
          <w:instrText xml:space="preserve"> PAGEREF _Toc444528659 \h </w:instrText>
        </w:r>
        <w:r>
          <w:rPr>
            <w:webHidden/>
          </w:rPr>
        </w:r>
        <w:r>
          <w:rPr>
            <w:webHidden/>
          </w:rPr>
          <w:fldChar w:fldCharType="separate"/>
        </w:r>
        <w:r w:rsidR="0027530C">
          <w:rPr>
            <w:webHidden/>
          </w:rPr>
          <w:t>69</w:t>
        </w:r>
        <w:r>
          <w:rPr>
            <w:webHidden/>
          </w:rPr>
          <w:fldChar w:fldCharType="end"/>
        </w:r>
      </w:hyperlink>
    </w:p>
    <w:p w:rsidR="00FE788C" w:rsidRDefault="00FE788C">
      <w:pPr>
        <w:pStyle w:val="TOC1"/>
        <w:rPr>
          <w:rFonts w:eastAsiaTheme="minorEastAsia"/>
          <w:b w:val="0"/>
          <w:sz w:val="22"/>
          <w:lang w:eastAsia="en-AU"/>
        </w:rPr>
      </w:pPr>
      <w:hyperlink w:anchor="_Toc444528660" w:history="1">
        <w:r w:rsidRPr="00516119">
          <w:rPr>
            <w:rStyle w:val="Hyperlink"/>
          </w:rPr>
          <w:t>Attachment D – NEC16 Data Preparation</w:t>
        </w:r>
        <w:r>
          <w:rPr>
            <w:webHidden/>
          </w:rPr>
          <w:tab/>
        </w:r>
        <w:r>
          <w:rPr>
            <w:webHidden/>
          </w:rPr>
          <w:fldChar w:fldCharType="begin"/>
        </w:r>
        <w:r>
          <w:rPr>
            <w:webHidden/>
          </w:rPr>
          <w:instrText xml:space="preserve"> PAGEREF _Toc444528660 \h </w:instrText>
        </w:r>
        <w:r>
          <w:rPr>
            <w:webHidden/>
          </w:rPr>
        </w:r>
        <w:r>
          <w:rPr>
            <w:webHidden/>
          </w:rPr>
          <w:fldChar w:fldCharType="separate"/>
        </w:r>
        <w:r w:rsidR="0027530C">
          <w:rPr>
            <w:webHidden/>
          </w:rPr>
          <w:t>70</w:t>
        </w:r>
        <w:r>
          <w:rPr>
            <w:webHidden/>
          </w:rPr>
          <w:fldChar w:fldCharType="end"/>
        </w:r>
      </w:hyperlink>
    </w:p>
    <w:p w:rsidR="00460371" w:rsidRPr="009225AC" w:rsidRDefault="00460371" w:rsidP="00AE3B9F">
      <w:pPr>
        <w:pStyle w:val="Heading1"/>
        <w:tabs>
          <w:tab w:val="clear" w:pos="1492"/>
        </w:tabs>
      </w:pPr>
      <w:r>
        <w:fldChar w:fldCharType="end"/>
      </w:r>
      <w:bookmarkStart w:id="2" w:name="_Toc309214184"/>
      <w:r>
        <w:br w:type="page"/>
      </w:r>
      <w:bookmarkStart w:id="3" w:name="_Toc444528566"/>
      <w:r w:rsidRPr="004E0CB6">
        <w:t>Table</w:t>
      </w:r>
      <w:r w:rsidRPr="009225AC">
        <w:t xml:space="preserve"> of acronyms</w:t>
      </w:r>
      <w:bookmarkStart w:id="4" w:name="_GoBack"/>
      <w:bookmarkEnd w:id="4"/>
      <w:r w:rsidRPr="009225AC">
        <w:t xml:space="preserve"> and abbreviations</w:t>
      </w:r>
      <w:bookmarkEnd w:id="3"/>
    </w:p>
    <w:p w:rsidR="00460371" w:rsidRPr="00CC72A4" w:rsidRDefault="00460371" w:rsidP="00AD4FFC">
      <w:pPr>
        <w:tabs>
          <w:tab w:val="left" w:pos="2495"/>
        </w:tabs>
        <w:rPr>
          <w:rFonts w:cs="Arial"/>
          <w:b/>
          <w:szCs w:val="20"/>
        </w:rPr>
      </w:pPr>
      <w:r w:rsidRPr="00CC72A4">
        <w:rPr>
          <w:rFonts w:cs="Arial"/>
          <w:b/>
          <w:szCs w:val="20"/>
        </w:rPr>
        <w:t>Acronym/ abbreviation</w:t>
      </w:r>
      <w:r w:rsidRPr="00CC72A4">
        <w:rPr>
          <w:rFonts w:cs="Arial"/>
          <w:b/>
          <w:szCs w:val="20"/>
        </w:rPr>
        <w:tab/>
        <w:t>Description</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ABF</w:t>
      </w:r>
      <w:r w:rsidRPr="00474424">
        <w:rPr>
          <w:rFonts w:ascii="Arial" w:hAnsi="Arial" w:cs="Arial"/>
          <w:sz w:val="20"/>
          <w:szCs w:val="20"/>
        </w:rPr>
        <w:tab/>
        <w:t xml:space="preserve">Activity </w:t>
      </w:r>
      <w:r>
        <w:rPr>
          <w:rFonts w:ascii="Arial" w:hAnsi="Arial" w:cs="Arial"/>
          <w:sz w:val="20"/>
          <w:szCs w:val="20"/>
        </w:rPr>
        <w:t>B</w:t>
      </w:r>
      <w:r w:rsidRPr="00474424">
        <w:rPr>
          <w:rFonts w:ascii="Arial" w:hAnsi="Arial" w:cs="Arial"/>
          <w:sz w:val="20"/>
          <w:szCs w:val="20"/>
        </w:rPr>
        <w:t xml:space="preserve">ased </w:t>
      </w:r>
      <w:r>
        <w:rPr>
          <w:rFonts w:ascii="Arial" w:hAnsi="Arial" w:cs="Arial"/>
          <w:sz w:val="20"/>
          <w:szCs w:val="20"/>
        </w:rPr>
        <w:t>F</w:t>
      </w:r>
      <w:r w:rsidRPr="00474424">
        <w:rPr>
          <w:rFonts w:ascii="Arial" w:hAnsi="Arial" w:cs="Arial"/>
          <w:sz w:val="20"/>
          <w:szCs w:val="20"/>
        </w:rPr>
        <w:t>unding</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ALOS</w:t>
      </w:r>
      <w:r w:rsidRPr="00474424">
        <w:rPr>
          <w:rFonts w:ascii="Arial" w:hAnsi="Arial" w:cs="Arial"/>
          <w:sz w:val="20"/>
          <w:szCs w:val="20"/>
        </w:rPr>
        <w:tab/>
        <w:t>Average length of stay</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AN-SNAP</w:t>
      </w:r>
      <w:r w:rsidRPr="00474424">
        <w:rPr>
          <w:rFonts w:ascii="Arial" w:hAnsi="Arial" w:cs="Arial"/>
          <w:sz w:val="20"/>
          <w:szCs w:val="20"/>
        </w:rPr>
        <w:tab/>
        <w:t>Australian National Subacute and Non Acute Patient Classification</w:t>
      </w:r>
    </w:p>
    <w:p w:rsidR="00460371" w:rsidRPr="00474424"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APC</w:t>
      </w:r>
      <w:r w:rsidRPr="00474424">
        <w:rPr>
          <w:rFonts w:ascii="Arial" w:hAnsi="Arial" w:cs="Arial"/>
          <w:sz w:val="20"/>
          <w:szCs w:val="20"/>
        </w:rPr>
        <w:tab/>
      </w:r>
      <w:r>
        <w:rPr>
          <w:rFonts w:ascii="Arial" w:hAnsi="Arial" w:cs="Arial"/>
          <w:sz w:val="20"/>
          <w:szCs w:val="20"/>
        </w:rPr>
        <w:t>Admitted Patient Care</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AR</w:t>
      </w:r>
      <w:r w:rsidRPr="00474424">
        <w:rPr>
          <w:rFonts w:ascii="Cambria Math" w:hAnsi="Cambria Math" w:cs="Cambria Math"/>
          <w:sz w:val="20"/>
          <w:szCs w:val="20"/>
        </w:rPr>
        <w:t>‐</w:t>
      </w:r>
      <w:r w:rsidRPr="00474424">
        <w:rPr>
          <w:rFonts w:ascii="Arial" w:hAnsi="Arial" w:cs="Arial"/>
          <w:sz w:val="20"/>
          <w:szCs w:val="20"/>
        </w:rPr>
        <w:t>DRG</w:t>
      </w:r>
      <w:r w:rsidRPr="00474424">
        <w:rPr>
          <w:rFonts w:ascii="Arial" w:hAnsi="Arial" w:cs="Arial"/>
          <w:sz w:val="20"/>
          <w:szCs w:val="20"/>
        </w:rPr>
        <w:tab/>
        <w:t xml:space="preserve">Australian </w:t>
      </w:r>
      <w:r w:rsidR="003D32BD">
        <w:rPr>
          <w:rFonts w:ascii="Arial" w:hAnsi="Arial" w:cs="Arial"/>
          <w:sz w:val="20"/>
          <w:szCs w:val="20"/>
        </w:rPr>
        <w:t>Refined Diagnosis Related Group</w:t>
      </w:r>
    </w:p>
    <w:p w:rsidR="00460371" w:rsidRPr="00474424"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ASGS</w:t>
      </w:r>
      <w:r w:rsidRPr="00474424">
        <w:rPr>
          <w:rFonts w:ascii="Arial" w:hAnsi="Arial" w:cs="Arial"/>
          <w:sz w:val="20"/>
          <w:szCs w:val="20"/>
        </w:rPr>
        <w:tab/>
      </w:r>
      <w:r>
        <w:rPr>
          <w:rFonts w:ascii="Arial" w:hAnsi="Arial" w:cs="Arial"/>
          <w:sz w:val="20"/>
          <w:szCs w:val="20"/>
        </w:rPr>
        <w:t>Australian Statistical Geography Standard</w:t>
      </w:r>
    </w:p>
    <w:p w:rsidR="00460371"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ASNC</w:t>
      </w:r>
      <w:r>
        <w:rPr>
          <w:rFonts w:ascii="Arial" w:hAnsi="Arial" w:cs="Arial"/>
          <w:sz w:val="20"/>
          <w:szCs w:val="20"/>
        </w:rPr>
        <w:tab/>
        <w:t>Admitted Subacute and Non-acute Care</w:t>
      </w:r>
    </w:p>
    <w:p w:rsidR="006200DE" w:rsidRDefault="006200DE" w:rsidP="00AD4FFC">
      <w:pPr>
        <w:pStyle w:val="NoSpacing"/>
        <w:tabs>
          <w:tab w:val="left" w:pos="2495"/>
        </w:tabs>
        <w:spacing w:before="40" w:after="40"/>
        <w:rPr>
          <w:rFonts w:ascii="Arial" w:hAnsi="Arial" w:cs="Arial"/>
          <w:sz w:val="20"/>
          <w:szCs w:val="20"/>
        </w:rPr>
      </w:pPr>
      <w:r>
        <w:rPr>
          <w:rFonts w:ascii="Arial" w:hAnsi="Arial" w:cs="Arial"/>
          <w:sz w:val="20"/>
          <w:szCs w:val="20"/>
        </w:rPr>
        <w:t>COAG</w:t>
      </w:r>
      <w:r>
        <w:rPr>
          <w:rFonts w:ascii="Arial" w:hAnsi="Arial" w:cs="Arial"/>
          <w:sz w:val="20"/>
          <w:szCs w:val="20"/>
        </w:rPr>
        <w:tab/>
        <w:t>Council of Australian Governments</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CSO</w:t>
      </w:r>
      <w:r w:rsidRPr="00474424">
        <w:rPr>
          <w:rFonts w:ascii="Arial" w:hAnsi="Arial" w:cs="Arial"/>
          <w:sz w:val="20"/>
          <w:szCs w:val="20"/>
        </w:rPr>
        <w:tab/>
        <w:t>Community Service Obligation</w:t>
      </w:r>
    </w:p>
    <w:p w:rsidR="00460371" w:rsidRPr="00474424" w:rsidRDefault="00460371" w:rsidP="00AD4FFC">
      <w:pPr>
        <w:pStyle w:val="NoSpacing"/>
        <w:tabs>
          <w:tab w:val="left" w:pos="2495"/>
        </w:tabs>
        <w:spacing w:before="40" w:after="40"/>
        <w:rPr>
          <w:rFonts w:ascii="Arial" w:hAnsi="Arial" w:cs="Arial"/>
          <w:sz w:val="20"/>
          <w:szCs w:val="20"/>
        </w:rPr>
      </w:pPr>
      <w:proofErr w:type="spellStart"/>
      <w:r w:rsidRPr="00DC28A2">
        <w:rPr>
          <w:rFonts w:ascii="Arial" w:hAnsi="Arial" w:cs="Arial"/>
          <w:sz w:val="20"/>
          <w:szCs w:val="20"/>
        </w:rPr>
        <w:t>DoH</w:t>
      </w:r>
      <w:proofErr w:type="spellEnd"/>
      <w:r w:rsidRPr="00DC28A2">
        <w:rPr>
          <w:rFonts w:ascii="Arial" w:hAnsi="Arial" w:cs="Arial"/>
          <w:sz w:val="20"/>
          <w:szCs w:val="20"/>
        </w:rPr>
        <w:tab/>
      </w:r>
      <w:r w:rsidRPr="00DC28A2">
        <w:rPr>
          <w:rFonts w:ascii="Arial" w:hAnsi="Arial" w:cs="Arial"/>
          <w:color w:val="000000"/>
          <w:sz w:val="20"/>
          <w:szCs w:val="20"/>
        </w:rPr>
        <w:t xml:space="preserve">Department </w:t>
      </w:r>
      <w:r w:rsidRPr="00DC28A2">
        <w:rPr>
          <w:rFonts w:ascii="Arial" w:hAnsi="Arial" w:cs="Arial"/>
          <w:color w:val="000000"/>
          <w:spacing w:val="-1"/>
          <w:sz w:val="20"/>
          <w:szCs w:val="20"/>
        </w:rPr>
        <w:t>o</w:t>
      </w:r>
      <w:r w:rsidRPr="00DC28A2">
        <w:rPr>
          <w:rFonts w:ascii="Arial" w:hAnsi="Arial" w:cs="Arial"/>
          <w:color w:val="000000"/>
          <w:sz w:val="20"/>
          <w:szCs w:val="20"/>
        </w:rPr>
        <w:t>f He</w:t>
      </w:r>
      <w:r w:rsidRPr="00DC28A2">
        <w:rPr>
          <w:rFonts w:ascii="Arial" w:hAnsi="Arial" w:cs="Arial"/>
          <w:color w:val="000000"/>
          <w:spacing w:val="-1"/>
          <w:sz w:val="20"/>
          <w:szCs w:val="20"/>
        </w:rPr>
        <w:t>a</w:t>
      </w:r>
      <w:r w:rsidRPr="00DC28A2">
        <w:rPr>
          <w:rFonts w:ascii="Arial" w:hAnsi="Arial" w:cs="Arial"/>
          <w:color w:val="000000"/>
          <w:sz w:val="20"/>
          <w:szCs w:val="20"/>
        </w:rPr>
        <w:t xml:space="preserve">lth </w:t>
      </w:r>
    </w:p>
    <w:p w:rsidR="00460371" w:rsidRPr="00474424" w:rsidRDefault="00460371" w:rsidP="00AD4FFC">
      <w:pPr>
        <w:pStyle w:val="NoSpacing"/>
        <w:tabs>
          <w:tab w:val="left" w:pos="2495"/>
        </w:tabs>
        <w:spacing w:before="40" w:after="40"/>
        <w:rPr>
          <w:rFonts w:ascii="Arial" w:hAnsi="Arial" w:cs="Arial"/>
          <w:color w:val="000000"/>
          <w:sz w:val="20"/>
          <w:szCs w:val="20"/>
        </w:rPr>
      </w:pPr>
      <w:r>
        <w:rPr>
          <w:rFonts w:ascii="Arial" w:hAnsi="Arial" w:cs="Arial"/>
          <w:sz w:val="20"/>
          <w:szCs w:val="20"/>
        </w:rPr>
        <w:t>DSS</w:t>
      </w:r>
      <w:r w:rsidRPr="00474424">
        <w:rPr>
          <w:rFonts w:ascii="Arial" w:hAnsi="Arial" w:cs="Arial"/>
          <w:sz w:val="20"/>
          <w:szCs w:val="20"/>
        </w:rPr>
        <w:tab/>
      </w:r>
      <w:r>
        <w:rPr>
          <w:rFonts w:ascii="Arial" w:hAnsi="Arial" w:cs="Arial"/>
          <w:color w:val="000000"/>
          <w:sz w:val="20"/>
          <w:szCs w:val="20"/>
        </w:rPr>
        <w:t>Data Set Specification</w:t>
      </w:r>
    </w:p>
    <w:p w:rsidR="00460371" w:rsidRPr="00474424" w:rsidRDefault="00460371" w:rsidP="00AD4FFC">
      <w:pPr>
        <w:pStyle w:val="NoSpacing"/>
        <w:tabs>
          <w:tab w:val="left" w:pos="2495"/>
        </w:tabs>
        <w:spacing w:before="40" w:after="40"/>
        <w:rPr>
          <w:rFonts w:ascii="Arial" w:hAnsi="Arial" w:cs="Arial"/>
          <w:color w:val="000000"/>
          <w:sz w:val="20"/>
          <w:szCs w:val="20"/>
        </w:rPr>
      </w:pPr>
      <w:r w:rsidRPr="00474424">
        <w:rPr>
          <w:rFonts w:ascii="Arial" w:hAnsi="Arial" w:cs="Arial"/>
          <w:color w:val="000000"/>
          <w:sz w:val="20"/>
          <w:szCs w:val="20"/>
        </w:rPr>
        <w:t>DVA</w:t>
      </w:r>
      <w:r w:rsidRPr="00474424">
        <w:rPr>
          <w:rFonts w:ascii="Arial" w:hAnsi="Arial" w:cs="Arial"/>
          <w:color w:val="000000"/>
          <w:sz w:val="20"/>
          <w:szCs w:val="20"/>
        </w:rPr>
        <w:tab/>
        <w:t>Department of Veterans’ Affairs</w:t>
      </w:r>
    </w:p>
    <w:p w:rsidR="00460371"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ED</w:t>
      </w:r>
      <w:r w:rsidRPr="00474424">
        <w:rPr>
          <w:rFonts w:ascii="Arial" w:hAnsi="Arial" w:cs="Arial"/>
          <w:sz w:val="20"/>
          <w:szCs w:val="20"/>
        </w:rPr>
        <w:tab/>
        <w:t>Emergency Department</w:t>
      </w:r>
    </w:p>
    <w:p w:rsidR="005E309F" w:rsidRPr="00474424" w:rsidRDefault="005E309F" w:rsidP="00AD4FFC">
      <w:pPr>
        <w:pStyle w:val="NoSpacing"/>
        <w:tabs>
          <w:tab w:val="left" w:pos="2495"/>
        </w:tabs>
        <w:spacing w:before="40" w:after="40"/>
        <w:rPr>
          <w:rFonts w:ascii="Arial" w:hAnsi="Arial" w:cs="Arial"/>
          <w:sz w:val="20"/>
          <w:szCs w:val="20"/>
        </w:rPr>
      </w:pPr>
      <w:r>
        <w:rPr>
          <w:rFonts w:ascii="Arial" w:hAnsi="Arial" w:cs="Arial"/>
          <w:sz w:val="20"/>
          <w:szCs w:val="20"/>
        </w:rPr>
        <w:t>HEN</w:t>
      </w:r>
      <w:r>
        <w:rPr>
          <w:rFonts w:ascii="Arial" w:hAnsi="Arial" w:cs="Arial"/>
          <w:sz w:val="20"/>
          <w:szCs w:val="20"/>
        </w:rPr>
        <w:tab/>
        <w:t>Home Enteral Nutrition</w:t>
      </w:r>
    </w:p>
    <w:p w:rsidR="00460371"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HCP</w:t>
      </w:r>
      <w:r>
        <w:rPr>
          <w:rFonts w:ascii="Arial" w:hAnsi="Arial" w:cs="Arial"/>
          <w:sz w:val="20"/>
          <w:szCs w:val="20"/>
        </w:rPr>
        <w:tab/>
        <w:t xml:space="preserve">Hospital </w:t>
      </w:r>
      <w:proofErr w:type="spellStart"/>
      <w:r>
        <w:rPr>
          <w:rFonts w:ascii="Arial" w:hAnsi="Arial" w:cs="Arial"/>
          <w:sz w:val="20"/>
          <w:szCs w:val="20"/>
        </w:rPr>
        <w:t>Casemix</w:t>
      </w:r>
      <w:proofErr w:type="spellEnd"/>
      <w:r>
        <w:rPr>
          <w:rFonts w:ascii="Arial" w:hAnsi="Arial" w:cs="Arial"/>
          <w:sz w:val="20"/>
          <w:szCs w:val="20"/>
        </w:rPr>
        <w:t xml:space="preserve"> Protocol</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ICU</w:t>
      </w:r>
      <w:r w:rsidRPr="00474424">
        <w:rPr>
          <w:rFonts w:ascii="Arial" w:hAnsi="Arial" w:cs="Arial"/>
          <w:sz w:val="20"/>
          <w:szCs w:val="20"/>
        </w:rPr>
        <w:tab/>
        <w:t>Intensive Care Unit</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IHPA</w:t>
      </w:r>
      <w:r w:rsidRPr="00474424">
        <w:rPr>
          <w:rFonts w:ascii="Arial" w:hAnsi="Arial" w:cs="Arial"/>
          <w:sz w:val="20"/>
          <w:szCs w:val="20"/>
        </w:rPr>
        <w:tab/>
        <w:t>Independent Hospital Pricing Authority</w:t>
      </w:r>
    </w:p>
    <w:p w:rsidR="00460371"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LHN</w:t>
      </w:r>
      <w:r>
        <w:rPr>
          <w:rFonts w:ascii="Arial" w:hAnsi="Arial" w:cs="Arial"/>
          <w:sz w:val="20"/>
          <w:szCs w:val="20"/>
        </w:rPr>
        <w:tab/>
        <w:t>Local Hospital Network</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LOS</w:t>
      </w:r>
      <w:r w:rsidRPr="00474424">
        <w:rPr>
          <w:rFonts w:ascii="Arial" w:hAnsi="Arial" w:cs="Arial"/>
          <w:sz w:val="20"/>
          <w:szCs w:val="20"/>
        </w:rPr>
        <w:tab/>
        <w:t>Length of Stay</w:t>
      </w:r>
    </w:p>
    <w:p w:rsidR="00460371" w:rsidRDefault="00460371" w:rsidP="00AD4FFC">
      <w:pPr>
        <w:pStyle w:val="NoSpacing"/>
        <w:tabs>
          <w:tab w:val="left" w:pos="2495"/>
        </w:tabs>
        <w:spacing w:before="40" w:after="40"/>
        <w:rPr>
          <w:rFonts w:ascii="Arial" w:hAnsi="Arial" w:cs="Arial"/>
          <w:sz w:val="20"/>
          <w:szCs w:val="20"/>
        </w:rPr>
      </w:pPr>
      <w:r w:rsidRPr="00B25937">
        <w:rPr>
          <w:rFonts w:ascii="Arial" w:hAnsi="Arial" w:cs="Arial"/>
          <w:sz w:val="20"/>
          <w:szCs w:val="20"/>
        </w:rPr>
        <w:t>MAPE</w:t>
      </w:r>
      <w:r w:rsidRPr="00B25937">
        <w:rPr>
          <w:rFonts w:ascii="Arial" w:hAnsi="Arial" w:cs="Arial"/>
          <w:sz w:val="20"/>
          <w:szCs w:val="20"/>
        </w:rPr>
        <w:tab/>
        <w:t>Mean Absolute Percentage Error</w:t>
      </w:r>
    </w:p>
    <w:p w:rsidR="00460371"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MBS</w:t>
      </w:r>
      <w:r>
        <w:rPr>
          <w:rFonts w:ascii="Arial" w:hAnsi="Arial" w:cs="Arial"/>
          <w:sz w:val="20"/>
          <w:szCs w:val="20"/>
        </w:rPr>
        <w:tab/>
        <w:t>Medicare Benefits Schedule</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MDB</w:t>
      </w:r>
      <w:r w:rsidRPr="00474424">
        <w:rPr>
          <w:rFonts w:ascii="Arial" w:hAnsi="Arial" w:cs="Arial"/>
          <w:sz w:val="20"/>
          <w:szCs w:val="20"/>
        </w:rPr>
        <w:tab/>
        <w:t>Major Diagnostic Block, used in Urgency Related Groups</w:t>
      </w:r>
    </w:p>
    <w:p w:rsidR="00460371" w:rsidRPr="00474424"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MDC</w:t>
      </w:r>
      <w:r w:rsidRPr="00474424">
        <w:rPr>
          <w:rFonts w:ascii="Arial" w:hAnsi="Arial" w:cs="Arial"/>
          <w:sz w:val="20"/>
          <w:szCs w:val="20"/>
        </w:rPr>
        <w:tab/>
      </w:r>
      <w:r w:rsidRPr="00407A8B">
        <w:rPr>
          <w:rFonts w:ascii="Arial" w:hAnsi="Arial" w:cs="Arial"/>
          <w:sz w:val="20"/>
          <w:szCs w:val="20"/>
        </w:rPr>
        <w:t>Major Diagnostic Category, used in AR-DRGs</w:t>
      </w:r>
    </w:p>
    <w:p w:rsidR="00460371"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MPS</w:t>
      </w:r>
      <w:r>
        <w:rPr>
          <w:rFonts w:ascii="Arial" w:hAnsi="Arial" w:cs="Arial"/>
          <w:sz w:val="20"/>
          <w:szCs w:val="20"/>
        </w:rPr>
        <w:tab/>
        <w:t>Multipurpose Service</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NAPED</w:t>
      </w:r>
      <w:r w:rsidRPr="00474424">
        <w:rPr>
          <w:rFonts w:ascii="Arial" w:hAnsi="Arial" w:cs="Arial"/>
          <w:sz w:val="20"/>
          <w:szCs w:val="20"/>
        </w:rPr>
        <w:tab/>
        <w:t>Non Admitted Patients Emergency Department</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NEC</w:t>
      </w:r>
      <w:r w:rsidRPr="00474424">
        <w:rPr>
          <w:rFonts w:ascii="Arial" w:hAnsi="Arial" w:cs="Arial"/>
          <w:sz w:val="20"/>
          <w:szCs w:val="20"/>
        </w:rPr>
        <w:tab/>
        <w:t>National Efficient Cost</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NEP</w:t>
      </w:r>
      <w:r w:rsidRPr="00474424">
        <w:rPr>
          <w:rFonts w:ascii="Arial" w:hAnsi="Arial" w:cs="Arial"/>
          <w:sz w:val="20"/>
          <w:szCs w:val="20"/>
        </w:rPr>
        <w:tab/>
        <w:t>National Efficient Price</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NHCDC</w:t>
      </w:r>
      <w:r w:rsidRPr="00474424">
        <w:rPr>
          <w:rFonts w:ascii="Arial" w:hAnsi="Arial" w:cs="Arial"/>
          <w:sz w:val="20"/>
          <w:szCs w:val="20"/>
        </w:rPr>
        <w:tab/>
        <w:t>National Hospital Cost Data Collection</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NHRA</w:t>
      </w:r>
      <w:r w:rsidRPr="00474424">
        <w:rPr>
          <w:rFonts w:ascii="Arial" w:hAnsi="Arial" w:cs="Arial"/>
          <w:sz w:val="20"/>
          <w:szCs w:val="20"/>
        </w:rPr>
        <w:tab/>
        <w:t>National Health Reform Agreement</w:t>
      </w:r>
    </w:p>
    <w:p w:rsidR="00460371"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NMDS</w:t>
      </w:r>
      <w:r>
        <w:rPr>
          <w:rFonts w:ascii="Arial" w:hAnsi="Arial" w:cs="Arial"/>
          <w:sz w:val="20"/>
          <w:szCs w:val="20"/>
        </w:rPr>
        <w:tab/>
        <w:t>National Minimum Data Set</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NPHED</w:t>
      </w:r>
      <w:r w:rsidRPr="00474424">
        <w:rPr>
          <w:rFonts w:ascii="Arial" w:hAnsi="Arial" w:cs="Arial"/>
          <w:sz w:val="20"/>
          <w:szCs w:val="20"/>
        </w:rPr>
        <w:tab/>
        <w:t>National Public Hospital Establishment Data</w:t>
      </w:r>
      <w:r>
        <w:rPr>
          <w:rFonts w:ascii="Arial" w:hAnsi="Arial" w:cs="Arial"/>
          <w:sz w:val="20"/>
          <w:szCs w:val="20"/>
        </w:rPr>
        <w:t>base</w:t>
      </w:r>
    </w:p>
    <w:p w:rsidR="0011303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NWAU</w:t>
      </w:r>
      <w:r w:rsidRPr="00474424">
        <w:rPr>
          <w:rFonts w:ascii="Arial" w:hAnsi="Arial" w:cs="Arial"/>
          <w:sz w:val="20"/>
          <w:szCs w:val="20"/>
        </w:rPr>
        <w:tab/>
        <w:t>National Weighted Activity Unit</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PHI</w:t>
      </w:r>
      <w:r w:rsidRPr="00474424">
        <w:rPr>
          <w:rFonts w:ascii="Arial" w:hAnsi="Arial" w:cs="Arial"/>
          <w:sz w:val="20"/>
          <w:szCs w:val="20"/>
        </w:rPr>
        <w:tab/>
        <w:t xml:space="preserve">Private </w:t>
      </w:r>
      <w:r>
        <w:rPr>
          <w:rFonts w:ascii="Arial" w:hAnsi="Arial" w:cs="Arial"/>
          <w:sz w:val="20"/>
          <w:szCs w:val="20"/>
        </w:rPr>
        <w:t>H</w:t>
      </w:r>
      <w:r w:rsidRPr="00474424">
        <w:rPr>
          <w:rFonts w:ascii="Arial" w:hAnsi="Arial" w:cs="Arial"/>
          <w:sz w:val="20"/>
          <w:szCs w:val="20"/>
        </w:rPr>
        <w:t xml:space="preserve">ealth </w:t>
      </w:r>
      <w:r>
        <w:rPr>
          <w:rFonts w:ascii="Arial" w:hAnsi="Arial" w:cs="Arial"/>
          <w:sz w:val="20"/>
          <w:szCs w:val="20"/>
        </w:rPr>
        <w:t>I</w:t>
      </w:r>
      <w:r w:rsidRPr="00474424">
        <w:rPr>
          <w:rFonts w:ascii="Arial" w:hAnsi="Arial" w:cs="Arial"/>
          <w:sz w:val="20"/>
          <w:szCs w:val="20"/>
        </w:rPr>
        <w:t>nsurance</w:t>
      </w:r>
    </w:p>
    <w:p w:rsidR="00460371"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PICU</w:t>
      </w:r>
      <w:r>
        <w:rPr>
          <w:rFonts w:ascii="Arial" w:hAnsi="Arial" w:cs="Arial"/>
          <w:sz w:val="20"/>
          <w:szCs w:val="20"/>
        </w:rPr>
        <w:tab/>
        <w:t>Paediatric Intensive Care Unit</w:t>
      </w:r>
    </w:p>
    <w:p w:rsidR="00460371" w:rsidRPr="00474424"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SLA</w:t>
      </w:r>
      <w:r w:rsidRPr="00474424">
        <w:rPr>
          <w:rFonts w:ascii="Arial" w:hAnsi="Arial" w:cs="Arial"/>
          <w:sz w:val="20"/>
          <w:szCs w:val="20"/>
        </w:rPr>
        <w:tab/>
      </w:r>
      <w:r>
        <w:rPr>
          <w:rFonts w:ascii="Arial" w:hAnsi="Arial" w:cs="Arial"/>
          <w:sz w:val="20"/>
          <w:szCs w:val="20"/>
        </w:rPr>
        <w:t>Statistical Local Area</w:t>
      </w:r>
    </w:p>
    <w:p w:rsidR="00460371" w:rsidRDefault="00460371" w:rsidP="00AD4FFC">
      <w:pPr>
        <w:pStyle w:val="NoSpacing"/>
        <w:tabs>
          <w:tab w:val="left" w:pos="2495"/>
        </w:tabs>
        <w:spacing w:before="40" w:after="40"/>
        <w:rPr>
          <w:rFonts w:ascii="Arial" w:hAnsi="Arial" w:cs="Arial"/>
          <w:sz w:val="20"/>
          <w:szCs w:val="20"/>
        </w:rPr>
      </w:pPr>
      <w:r>
        <w:rPr>
          <w:rFonts w:ascii="Arial" w:hAnsi="Arial" w:cs="Arial"/>
          <w:sz w:val="20"/>
          <w:szCs w:val="20"/>
        </w:rPr>
        <w:t>TAC</w:t>
      </w:r>
      <w:r>
        <w:rPr>
          <w:rFonts w:ascii="Arial" w:hAnsi="Arial" w:cs="Arial"/>
          <w:sz w:val="20"/>
          <w:szCs w:val="20"/>
        </w:rPr>
        <w:tab/>
        <w:t>Technical Advisory Committee</w:t>
      </w:r>
    </w:p>
    <w:p w:rsidR="005E309F" w:rsidRDefault="005E309F" w:rsidP="00AD4FFC">
      <w:pPr>
        <w:pStyle w:val="NoSpacing"/>
        <w:tabs>
          <w:tab w:val="left" w:pos="2495"/>
        </w:tabs>
        <w:spacing w:before="40" w:after="40"/>
        <w:rPr>
          <w:rFonts w:ascii="Arial" w:hAnsi="Arial" w:cs="Arial"/>
          <w:sz w:val="20"/>
          <w:szCs w:val="20"/>
        </w:rPr>
      </w:pPr>
      <w:r>
        <w:rPr>
          <w:rFonts w:ascii="Arial" w:hAnsi="Arial" w:cs="Arial"/>
          <w:sz w:val="20"/>
          <w:szCs w:val="20"/>
        </w:rPr>
        <w:t>TPN</w:t>
      </w:r>
      <w:r>
        <w:rPr>
          <w:rFonts w:ascii="Arial" w:hAnsi="Arial" w:cs="Arial"/>
          <w:sz w:val="20"/>
          <w:szCs w:val="20"/>
        </w:rPr>
        <w:tab/>
        <w:t>Total Parenteral Nutrition</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TTR</w:t>
      </w:r>
      <w:r w:rsidRPr="00474424">
        <w:rPr>
          <w:rFonts w:ascii="Arial" w:hAnsi="Arial" w:cs="Arial"/>
          <w:sz w:val="20"/>
          <w:szCs w:val="20"/>
        </w:rPr>
        <w:tab/>
        <w:t>Teaching, Training and Research</w:t>
      </w:r>
    </w:p>
    <w:p w:rsidR="00460371" w:rsidRPr="00474424"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UDG</w:t>
      </w:r>
      <w:r w:rsidRPr="00474424">
        <w:rPr>
          <w:rFonts w:ascii="Arial" w:hAnsi="Arial" w:cs="Arial"/>
          <w:sz w:val="20"/>
          <w:szCs w:val="20"/>
        </w:rPr>
        <w:tab/>
        <w:t>Urgency Disposition Groups</w:t>
      </w:r>
    </w:p>
    <w:p w:rsidR="00460371" w:rsidRDefault="00460371" w:rsidP="00AD4FFC">
      <w:pPr>
        <w:pStyle w:val="NoSpacing"/>
        <w:tabs>
          <w:tab w:val="left" w:pos="2495"/>
        </w:tabs>
        <w:spacing w:before="40" w:after="40"/>
        <w:rPr>
          <w:rFonts w:ascii="Arial" w:hAnsi="Arial" w:cs="Arial"/>
          <w:sz w:val="20"/>
          <w:szCs w:val="20"/>
        </w:rPr>
      </w:pPr>
      <w:proofErr w:type="spellStart"/>
      <w:r>
        <w:rPr>
          <w:rFonts w:ascii="Arial" w:hAnsi="Arial" w:cs="Arial"/>
          <w:sz w:val="20"/>
          <w:szCs w:val="20"/>
        </w:rPr>
        <w:t>UoW</w:t>
      </w:r>
      <w:proofErr w:type="spellEnd"/>
      <w:r>
        <w:rPr>
          <w:rFonts w:ascii="Arial" w:hAnsi="Arial" w:cs="Arial"/>
          <w:sz w:val="20"/>
          <w:szCs w:val="20"/>
        </w:rPr>
        <w:tab/>
        <w:t>University of Wollongong</w:t>
      </w:r>
    </w:p>
    <w:p w:rsidR="00460371" w:rsidRDefault="00460371" w:rsidP="00AD4FFC">
      <w:pPr>
        <w:pStyle w:val="NoSpacing"/>
        <w:tabs>
          <w:tab w:val="left" w:pos="2495"/>
        </w:tabs>
        <w:spacing w:before="40" w:after="40"/>
        <w:rPr>
          <w:rFonts w:ascii="Arial" w:hAnsi="Arial" w:cs="Arial"/>
          <w:sz w:val="20"/>
          <w:szCs w:val="20"/>
        </w:rPr>
      </w:pPr>
      <w:r w:rsidRPr="00474424">
        <w:rPr>
          <w:rFonts w:ascii="Arial" w:hAnsi="Arial" w:cs="Arial"/>
          <w:sz w:val="20"/>
          <w:szCs w:val="20"/>
        </w:rPr>
        <w:t>URG</w:t>
      </w:r>
      <w:r w:rsidRPr="00474424">
        <w:rPr>
          <w:rFonts w:ascii="Arial" w:hAnsi="Arial" w:cs="Arial"/>
          <w:sz w:val="20"/>
          <w:szCs w:val="20"/>
        </w:rPr>
        <w:tab/>
        <w:t>Urgency Related Groups</w:t>
      </w:r>
    </w:p>
    <w:p w:rsidR="00B55A7A" w:rsidRPr="00474424" w:rsidRDefault="00B55A7A" w:rsidP="00AD4FFC">
      <w:pPr>
        <w:pStyle w:val="NoSpacing"/>
        <w:tabs>
          <w:tab w:val="left" w:pos="2495"/>
        </w:tabs>
        <w:spacing w:before="40" w:after="40"/>
        <w:rPr>
          <w:rFonts w:ascii="Arial" w:hAnsi="Arial" w:cs="Arial"/>
          <w:sz w:val="20"/>
          <w:szCs w:val="20"/>
        </w:rPr>
      </w:pPr>
      <w:r>
        <w:rPr>
          <w:rFonts w:ascii="Arial" w:hAnsi="Arial" w:cs="Arial"/>
          <w:sz w:val="20"/>
          <w:szCs w:val="20"/>
        </w:rPr>
        <w:t>WAU</w:t>
      </w:r>
      <w:r>
        <w:rPr>
          <w:rFonts w:ascii="Arial" w:hAnsi="Arial" w:cs="Arial"/>
          <w:sz w:val="20"/>
          <w:szCs w:val="20"/>
        </w:rPr>
        <w:tab/>
        <w:t xml:space="preserve">Weighted Activity Unit </w:t>
      </w:r>
    </w:p>
    <w:bookmarkEnd w:id="2"/>
    <w:p w:rsidR="00460371" w:rsidRDefault="00460371" w:rsidP="00AD4FFC">
      <w:pPr>
        <w:spacing w:after="0"/>
        <w:rPr>
          <w:rFonts w:cs="Arial"/>
          <w:b/>
          <w:bCs/>
          <w:color w:val="7F7F7F"/>
          <w:kern w:val="32"/>
          <w:sz w:val="32"/>
          <w:szCs w:val="32"/>
        </w:rPr>
      </w:pPr>
      <w:r>
        <w:rPr>
          <w:rFonts w:cs="Arial"/>
          <w:b/>
          <w:bCs/>
          <w:color w:val="7F7F7F"/>
          <w:kern w:val="32"/>
          <w:sz w:val="32"/>
          <w:szCs w:val="32"/>
        </w:rPr>
        <w:br w:type="page"/>
      </w:r>
    </w:p>
    <w:p w:rsidR="00460371" w:rsidRDefault="00460371" w:rsidP="00AD4FFC">
      <w:pPr>
        <w:pStyle w:val="Heading1"/>
        <w:pageBreakBefore/>
        <w:numPr>
          <w:ilvl w:val="0"/>
          <w:numId w:val="35"/>
        </w:numPr>
        <w:spacing w:before="100" w:beforeAutospacing="1" w:after="100" w:afterAutospacing="1"/>
      </w:pPr>
      <w:bookmarkStart w:id="5" w:name="_Toc380754688"/>
      <w:bookmarkStart w:id="6" w:name="_Toc444528567"/>
      <w:r w:rsidRPr="00B90C7C">
        <w:t>Overview of process</w:t>
      </w:r>
      <w:bookmarkEnd w:id="5"/>
      <w:bookmarkEnd w:id="6"/>
    </w:p>
    <w:p w:rsidR="00460371" w:rsidRDefault="00460371" w:rsidP="00AD4FFC">
      <w:pPr>
        <w:tabs>
          <w:tab w:val="left" w:pos="1162"/>
        </w:tabs>
        <w:rPr>
          <w:rFonts w:cs="Arial"/>
          <w:szCs w:val="20"/>
        </w:rPr>
      </w:pPr>
      <w:r w:rsidRPr="002265FE">
        <w:rPr>
          <w:rFonts w:cs="Arial"/>
          <w:szCs w:val="20"/>
        </w:rPr>
        <w:t xml:space="preserve">The National Health Reform Agreement (NHRA) sets out the intention of the Australian Government and state and territory governments to work in partnership to improve health outcomes for all Australians. One of the ways in which the </w:t>
      </w:r>
      <w:r>
        <w:rPr>
          <w:rFonts w:cs="Arial"/>
          <w:szCs w:val="20"/>
        </w:rPr>
        <w:t>NHRA</w:t>
      </w:r>
      <w:r w:rsidRPr="002265FE">
        <w:rPr>
          <w:rFonts w:cs="Arial"/>
          <w:szCs w:val="20"/>
        </w:rPr>
        <w:t xml:space="preserve"> aims to achieve this is through the implementation of national Activity Based Funding (ABF). The NHRA specifies that the central component of ABF is an independe</w:t>
      </w:r>
      <w:r>
        <w:rPr>
          <w:rFonts w:cs="Arial"/>
          <w:szCs w:val="20"/>
        </w:rPr>
        <w:t>ntly determined</w:t>
      </w:r>
      <w:r w:rsidRPr="002265FE">
        <w:rPr>
          <w:rFonts w:cs="Arial"/>
          <w:szCs w:val="20"/>
        </w:rPr>
        <w:t xml:space="preserve"> National Efficient Price (NEP)</w:t>
      </w:r>
      <w:r>
        <w:rPr>
          <w:rFonts w:cs="Arial"/>
          <w:szCs w:val="20"/>
        </w:rPr>
        <w:t xml:space="preserve"> and National Efficient Cost (NEC)</w:t>
      </w:r>
      <w:r w:rsidRPr="002265FE">
        <w:rPr>
          <w:rFonts w:cs="Arial"/>
          <w:szCs w:val="20"/>
        </w:rPr>
        <w:t xml:space="preserve">, </w:t>
      </w:r>
      <w:r>
        <w:rPr>
          <w:rFonts w:cs="Arial"/>
          <w:szCs w:val="20"/>
        </w:rPr>
        <w:t>to be</w:t>
      </w:r>
      <w:r w:rsidRPr="002265FE">
        <w:rPr>
          <w:rFonts w:cs="Arial"/>
          <w:szCs w:val="20"/>
        </w:rPr>
        <w:t xml:space="preserve"> used as </w:t>
      </w:r>
      <w:r>
        <w:rPr>
          <w:rFonts w:cs="Arial"/>
          <w:szCs w:val="20"/>
        </w:rPr>
        <w:t>a</w:t>
      </w:r>
      <w:r w:rsidRPr="002265FE">
        <w:rPr>
          <w:rFonts w:cs="Arial"/>
          <w:szCs w:val="20"/>
        </w:rPr>
        <w:t xml:space="preserve"> reference for the Commonwealth to determine its funding contribution</w:t>
      </w:r>
      <w:r>
        <w:rPr>
          <w:rFonts w:cs="Arial"/>
          <w:szCs w:val="20"/>
        </w:rPr>
        <w:t xml:space="preserve"> for Australian public hospital services. </w:t>
      </w:r>
    </w:p>
    <w:p w:rsidR="00460371" w:rsidRPr="002265FE" w:rsidRDefault="00460371" w:rsidP="00AD4FFC">
      <w:pPr>
        <w:tabs>
          <w:tab w:val="left" w:pos="1162"/>
        </w:tabs>
        <w:rPr>
          <w:rFonts w:cs="Arial"/>
          <w:szCs w:val="20"/>
        </w:rPr>
      </w:pPr>
      <w:r w:rsidRPr="00C6741D">
        <w:rPr>
          <w:rFonts w:cs="Arial"/>
          <w:szCs w:val="20"/>
        </w:rPr>
        <w:t xml:space="preserve">The Independent Hospital Pricing Authority (IHPA) </w:t>
      </w:r>
      <w:r>
        <w:rPr>
          <w:rFonts w:cs="Arial"/>
          <w:szCs w:val="20"/>
        </w:rPr>
        <w:t>is a key element of the NHRA, responsible for the national implementation of an ABF system and in determining the annual NEP and NEC determinations. IHPA was established as an</w:t>
      </w:r>
      <w:r w:rsidRPr="00C6741D">
        <w:rPr>
          <w:rFonts w:cs="Arial"/>
          <w:szCs w:val="20"/>
        </w:rPr>
        <w:t xml:space="preserve"> independent government agency under Commonwealth legislation on 15</w:t>
      </w:r>
      <w:r>
        <w:rPr>
          <w:rFonts w:cs="Arial"/>
          <w:szCs w:val="20"/>
        </w:rPr>
        <w:t> </w:t>
      </w:r>
      <w:r w:rsidRPr="00C6741D">
        <w:rPr>
          <w:rFonts w:cs="Arial"/>
          <w:szCs w:val="20"/>
        </w:rPr>
        <w:t>December 201</w:t>
      </w:r>
      <w:r w:rsidR="00913D0D">
        <w:rPr>
          <w:rFonts w:cs="Arial"/>
          <w:szCs w:val="20"/>
        </w:rPr>
        <w:t xml:space="preserve">1. It has </w:t>
      </w:r>
      <w:r w:rsidRPr="002265FE">
        <w:rPr>
          <w:rFonts w:cs="Arial"/>
          <w:szCs w:val="20"/>
        </w:rPr>
        <w:t xml:space="preserve">issued </w:t>
      </w:r>
      <w:r w:rsidR="00384C96">
        <w:rPr>
          <w:rFonts w:cs="Arial"/>
          <w:szCs w:val="20"/>
        </w:rPr>
        <w:t>four</w:t>
      </w:r>
      <w:r w:rsidR="00384C96" w:rsidRPr="002265FE">
        <w:rPr>
          <w:rFonts w:cs="Arial"/>
          <w:szCs w:val="20"/>
        </w:rPr>
        <w:t xml:space="preserve"> </w:t>
      </w:r>
      <w:r w:rsidRPr="000B33D2">
        <w:rPr>
          <w:rFonts w:cs="Arial"/>
          <w:szCs w:val="20"/>
        </w:rPr>
        <w:t>NEP</w:t>
      </w:r>
      <w:r w:rsidR="00913D0D" w:rsidRPr="000B33D2">
        <w:rPr>
          <w:rFonts w:cs="Arial"/>
          <w:szCs w:val="20"/>
        </w:rPr>
        <w:t> </w:t>
      </w:r>
      <w:r w:rsidRPr="000B33D2">
        <w:rPr>
          <w:rFonts w:cs="Arial"/>
          <w:szCs w:val="20"/>
        </w:rPr>
        <w:t>Determinations</w:t>
      </w:r>
      <w:r w:rsidRPr="002265FE">
        <w:rPr>
          <w:rFonts w:cs="Arial"/>
          <w:i/>
          <w:szCs w:val="20"/>
        </w:rPr>
        <w:t xml:space="preserve"> </w:t>
      </w:r>
      <w:r w:rsidRPr="00B25937">
        <w:rPr>
          <w:rFonts w:cs="Arial"/>
          <w:szCs w:val="20"/>
        </w:rPr>
        <w:t>for 2012</w:t>
      </w:r>
      <w:r>
        <w:rPr>
          <w:rFonts w:cs="Arial"/>
          <w:szCs w:val="20"/>
        </w:rPr>
        <w:noBreakHyphen/>
      </w:r>
      <w:r w:rsidRPr="00B25937">
        <w:rPr>
          <w:rFonts w:cs="Arial"/>
          <w:szCs w:val="20"/>
        </w:rPr>
        <w:t>13</w:t>
      </w:r>
      <w:r w:rsidRPr="002265FE">
        <w:rPr>
          <w:rFonts w:cs="Arial"/>
          <w:i/>
          <w:szCs w:val="20"/>
        </w:rPr>
        <w:t xml:space="preserve"> </w:t>
      </w:r>
      <w:r w:rsidRPr="00474424">
        <w:rPr>
          <w:rFonts w:cs="Arial"/>
          <w:szCs w:val="20"/>
        </w:rPr>
        <w:t>(</w:t>
      </w:r>
      <w:r w:rsidRPr="002265FE">
        <w:rPr>
          <w:rFonts w:cs="Arial"/>
          <w:szCs w:val="20"/>
        </w:rPr>
        <w:t>NEP12</w:t>
      </w:r>
      <w:r w:rsidRPr="00474424">
        <w:rPr>
          <w:rFonts w:cs="Arial"/>
          <w:szCs w:val="20"/>
        </w:rPr>
        <w:t>)</w:t>
      </w:r>
      <w:r w:rsidR="00B94FB5">
        <w:rPr>
          <w:rFonts w:cs="Arial"/>
          <w:szCs w:val="20"/>
        </w:rPr>
        <w:t xml:space="preserve">, </w:t>
      </w:r>
      <w:r>
        <w:rPr>
          <w:rFonts w:cs="Arial"/>
          <w:szCs w:val="20"/>
        </w:rPr>
        <w:t>2013</w:t>
      </w:r>
      <w:r>
        <w:rPr>
          <w:rFonts w:cs="Arial"/>
          <w:szCs w:val="20"/>
        </w:rPr>
        <w:noBreakHyphen/>
        <w:t xml:space="preserve">14 (NEP13 and </w:t>
      </w:r>
      <w:r w:rsidR="00913D0D">
        <w:rPr>
          <w:rFonts w:cs="Arial"/>
          <w:szCs w:val="20"/>
        </w:rPr>
        <w:t>NEC13</w:t>
      </w:r>
      <w:r>
        <w:rPr>
          <w:rFonts w:cs="Arial"/>
          <w:szCs w:val="20"/>
        </w:rPr>
        <w:t>)</w:t>
      </w:r>
      <w:r w:rsidR="00B94FB5">
        <w:rPr>
          <w:rFonts w:cs="Arial"/>
          <w:szCs w:val="20"/>
        </w:rPr>
        <w:t>, 20</w:t>
      </w:r>
      <w:r w:rsidR="00913D0D">
        <w:rPr>
          <w:rFonts w:cs="Arial"/>
          <w:szCs w:val="20"/>
        </w:rPr>
        <w:t xml:space="preserve">14-15 </w:t>
      </w:r>
      <w:r w:rsidR="00B94FB5">
        <w:rPr>
          <w:rFonts w:cs="Arial"/>
          <w:szCs w:val="20"/>
        </w:rPr>
        <w:t>(</w:t>
      </w:r>
      <w:r w:rsidR="00913D0D">
        <w:rPr>
          <w:rFonts w:cs="Arial"/>
          <w:szCs w:val="20"/>
        </w:rPr>
        <w:t>NEP14</w:t>
      </w:r>
      <w:r w:rsidR="00B94FB5">
        <w:rPr>
          <w:rFonts w:cs="Arial"/>
          <w:szCs w:val="20"/>
        </w:rPr>
        <w:t xml:space="preserve"> and NEC1</w:t>
      </w:r>
      <w:r w:rsidR="00913D0D">
        <w:rPr>
          <w:rFonts w:cs="Arial"/>
          <w:szCs w:val="20"/>
        </w:rPr>
        <w:t>4</w:t>
      </w:r>
      <w:r w:rsidR="00B94FB5">
        <w:rPr>
          <w:rFonts w:cs="Arial"/>
          <w:szCs w:val="20"/>
        </w:rPr>
        <w:t>)</w:t>
      </w:r>
      <w:r w:rsidR="00384C96">
        <w:rPr>
          <w:rFonts w:cs="Arial"/>
          <w:szCs w:val="20"/>
        </w:rPr>
        <w:t>, and 2015-16 (NEP15 and NEC15)</w:t>
      </w:r>
      <w:r w:rsidRPr="002265FE">
        <w:rPr>
          <w:rFonts w:cs="Arial"/>
          <w:szCs w:val="20"/>
        </w:rPr>
        <w:t>.</w:t>
      </w:r>
    </w:p>
    <w:p w:rsidR="00460371" w:rsidRPr="002265FE" w:rsidRDefault="00460371" w:rsidP="00AD4FFC">
      <w:pPr>
        <w:tabs>
          <w:tab w:val="left" w:pos="1162"/>
        </w:tabs>
        <w:rPr>
          <w:rFonts w:cs="Arial"/>
          <w:szCs w:val="20"/>
        </w:rPr>
      </w:pPr>
      <w:r w:rsidRPr="002265FE">
        <w:rPr>
          <w:rFonts w:cs="Arial"/>
          <w:szCs w:val="20"/>
        </w:rPr>
        <w:t xml:space="preserve">IHPA has now published its </w:t>
      </w:r>
      <w:r w:rsidR="00384C96">
        <w:rPr>
          <w:rFonts w:cs="Arial"/>
          <w:szCs w:val="20"/>
        </w:rPr>
        <w:t>fifth</w:t>
      </w:r>
      <w:r w:rsidR="00384C96" w:rsidRPr="002265FE">
        <w:rPr>
          <w:rFonts w:cs="Arial"/>
          <w:szCs w:val="20"/>
        </w:rPr>
        <w:t xml:space="preserve"> </w:t>
      </w:r>
      <w:r w:rsidRPr="002265FE">
        <w:rPr>
          <w:rFonts w:cs="Arial"/>
          <w:szCs w:val="20"/>
        </w:rPr>
        <w:t xml:space="preserve">NEP </w:t>
      </w:r>
      <w:r>
        <w:rPr>
          <w:rFonts w:cs="Arial"/>
          <w:szCs w:val="20"/>
        </w:rPr>
        <w:t>and NEC,</w:t>
      </w:r>
      <w:r w:rsidRPr="002265FE">
        <w:rPr>
          <w:rFonts w:cs="Arial"/>
          <w:szCs w:val="20"/>
        </w:rPr>
        <w:t xml:space="preserve"> which sets out the determinations for </w:t>
      </w:r>
      <w:r w:rsidR="000C75BC">
        <w:rPr>
          <w:rFonts w:cs="Arial"/>
          <w:szCs w:val="20"/>
        </w:rPr>
        <w:t>2016-17</w:t>
      </w:r>
      <w:r w:rsidRPr="002265FE">
        <w:rPr>
          <w:rFonts w:cs="Arial"/>
          <w:szCs w:val="20"/>
        </w:rPr>
        <w:t xml:space="preserve"> in relation to each of its legislative functions, namely:</w:t>
      </w:r>
    </w:p>
    <w:p w:rsidR="00460371" w:rsidRPr="002265FE" w:rsidRDefault="00460371" w:rsidP="00AD4FFC">
      <w:pPr>
        <w:pStyle w:val="ListParagraph"/>
        <w:numPr>
          <w:ilvl w:val="0"/>
          <w:numId w:val="15"/>
        </w:numPr>
        <w:tabs>
          <w:tab w:val="left" w:pos="1162"/>
        </w:tabs>
        <w:spacing w:before="120"/>
        <w:ind w:left="426" w:hanging="426"/>
        <w:rPr>
          <w:rFonts w:cs="Arial"/>
          <w:szCs w:val="20"/>
        </w:rPr>
      </w:pPr>
      <w:r>
        <w:rPr>
          <w:rFonts w:cs="Arial"/>
          <w:szCs w:val="20"/>
        </w:rPr>
        <w:t>T</w:t>
      </w:r>
      <w:r w:rsidRPr="002265FE">
        <w:rPr>
          <w:rFonts w:cs="Arial"/>
          <w:szCs w:val="20"/>
        </w:rPr>
        <w:t xml:space="preserve">he </w:t>
      </w:r>
      <w:r w:rsidR="000C75BC">
        <w:rPr>
          <w:rFonts w:cs="Arial"/>
          <w:szCs w:val="20"/>
        </w:rPr>
        <w:t>2016-17</w:t>
      </w:r>
      <w:r w:rsidRPr="002265FE">
        <w:rPr>
          <w:rFonts w:cs="Arial"/>
          <w:szCs w:val="20"/>
        </w:rPr>
        <w:t xml:space="preserve"> </w:t>
      </w:r>
      <w:r>
        <w:rPr>
          <w:rFonts w:cs="Arial"/>
          <w:szCs w:val="20"/>
        </w:rPr>
        <w:t>NEP</w:t>
      </w:r>
      <w:r w:rsidRPr="002265FE">
        <w:rPr>
          <w:rFonts w:cs="Arial"/>
          <w:szCs w:val="20"/>
        </w:rPr>
        <w:t xml:space="preserve"> (</w:t>
      </w:r>
      <w:r w:rsidR="00B94FB5">
        <w:rPr>
          <w:rFonts w:cs="Arial"/>
          <w:szCs w:val="20"/>
        </w:rPr>
        <w:t>NEP</w:t>
      </w:r>
      <w:r w:rsidR="009070AB">
        <w:rPr>
          <w:rFonts w:cs="Arial"/>
          <w:szCs w:val="20"/>
        </w:rPr>
        <w:t>16</w:t>
      </w:r>
      <w:r w:rsidRPr="002265FE">
        <w:rPr>
          <w:rFonts w:cs="Arial"/>
          <w:szCs w:val="20"/>
        </w:rPr>
        <w:t>) for health care services provided by public hospitals where the services are funded on an activity basis</w:t>
      </w:r>
      <w:r>
        <w:rPr>
          <w:rFonts w:cs="Arial"/>
          <w:szCs w:val="20"/>
        </w:rPr>
        <w:t>;</w:t>
      </w:r>
    </w:p>
    <w:p w:rsidR="00460371" w:rsidRPr="002265FE" w:rsidRDefault="00460371" w:rsidP="00AD4FFC">
      <w:pPr>
        <w:pStyle w:val="ListParagraph"/>
        <w:numPr>
          <w:ilvl w:val="0"/>
          <w:numId w:val="15"/>
        </w:numPr>
        <w:tabs>
          <w:tab w:val="left" w:pos="1162"/>
        </w:tabs>
        <w:spacing w:before="120"/>
        <w:ind w:left="426" w:hanging="426"/>
        <w:rPr>
          <w:rFonts w:cs="Arial"/>
          <w:szCs w:val="20"/>
        </w:rPr>
      </w:pPr>
      <w:r>
        <w:rPr>
          <w:rFonts w:cs="Arial"/>
          <w:szCs w:val="20"/>
        </w:rPr>
        <w:t>T</w:t>
      </w:r>
      <w:r w:rsidRPr="002265FE">
        <w:rPr>
          <w:rFonts w:cs="Arial"/>
          <w:szCs w:val="20"/>
        </w:rPr>
        <w:t xml:space="preserve">he </w:t>
      </w:r>
      <w:r w:rsidR="000C75BC">
        <w:rPr>
          <w:rFonts w:cs="Arial"/>
          <w:szCs w:val="20"/>
        </w:rPr>
        <w:t>2016-17</w:t>
      </w:r>
      <w:r w:rsidRPr="002265FE">
        <w:rPr>
          <w:rFonts w:cs="Arial"/>
          <w:szCs w:val="20"/>
        </w:rPr>
        <w:t xml:space="preserve"> </w:t>
      </w:r>
      <w:r>
        <w:rPr>
          <w:rFonts w:cs="Arial"/>
          <w:szCs w:val="20"/>
        </w:rPr>
        <w:t>NEC</w:t>
      </w:r>
      <w:r w:rsidRPr="002265FE">
        <w:rPr>
          <w:rFonts w:cs="Arial"/>
          <w:szCs w:val="20"/>
        </w:rPr>
        <w:t xml:space="preserve"> (</w:t>
      </w:r>
      <w:r w:rsidR="00B94FB5">
        <w:rPr>
          <w:rFonts w:cs="Arial"/>
          <w:szCs w:val="20"/>
        </w:rPr>
        <w:t>NEC</w:t>
      </w:r>
      <w:r w:rsidR="009070AB">
        <w:rPr>
          <w:rFonts w:cs="Arial"/>
          <w:szCs w:val="20"/>
        </w:rPr>
        <w:t>16</w:t>
      </w:r>
      <w:r w:rsidRPr="002265FE">
        <w:rPr>
          <w:rFonts w:cs="Arial"/>
          <w:szCs w:val="20"/>
        </w:rPr>
        <w:t xml:space="preserve">) for health care services provided by public hospitals where the services are funded on a </w:t>
      </w:r>
      <w:r>
        <w:rPr>
          <w:rFonts w:cs="Arial"/>
          <w:szCs w:val="20"/>
        </w:rPr>
        <w:t>block fund</w:t>
      </w:r>
      <w:r w:rsidRPr="002265FE">
        <w:rPr>
          <w:rFonts w:cs="Arial"/>
          <w:szCs w:val="20"/>
        </w:rPr>
        <w:t>ed basis</w:t>
      </w:r>
      <w:r>
        <w:rPr>
          <w:rFonts w:cs="Arial"/>
          <w:szCs w:val="20"/>
        </w:rPr>
        <w:t>;</w:t>
      </w:r>
    </w:p>
    <w:p w:rsidR="00460371" w:rsidRPr="002265FE" w:rsidRDefault="00460371" w:rsidP="00AD4FFC">
      <w:pPr>
        <w:pStyle w:val="ListParagraph"/>
        <w:numPr>
          <w:ilvl w:val="0"/>
          <w:numId w:val="15"/>
        </w:numPr>
        <w:tabs>
          <w:tab w:val="left" w:pos="1162"/>
        </w:tabs>
        <w:spacing w:before="120"/>
        <w:ind w:left="426" w:hanging="426"/>
        <w:rPr>
          <w:rFonts w:cs="Arial"/>
          <w:szCs w:val="20"/>
        </w:rPr>
      </w:pPr>
      <w:r>
        <w:rPr>
          <w:rFonts w:cs="Arial"/>
          <w:szCs w:val="20"/>
        </w:rPr>
        <w:t>D</w:t>
      </w:r>
      <w:r w:rsidRPr="002265FE">
        <w:rPr>
          <w:rFonts w:cs="Arial"/>
          <w:szCs w:val="20"/>
        </w:rPr>
        <w:t>evelopment and specification of classification systems for health care and other services provided by public hospitals</w:t>
      </w:r>
      <w:r>
        <w:rPr>
          <w:rFonts w:cs="Arial"/>
          <w:szCs w:val="20"/>
        </w:rPr>
        <w:t>;</w:t>
      </w:r>
    </w:p>
    <w:p w:rsidR="00460371" w:rsidRPr="002265FE" w:rsidRDefault="00460371" w:rsidP="00AD4FFC">
      <w:pPr>
        <w:pStyle w:val="ListParagraph"/>
        <w:numPr>
          <w:ilvl w:val="0"/>
          <w:numId w:val="15"/>
        </w:numPr>
        <w:tabs>
          <w:tab w:val="left" w:pos="1162"/>
        </w:tabs>
        <w:spacing w:before="120"/>
        <w:ind w:left="426" w:hanging="426"/>
        <w:rPr>
          <w:rFonts w:cs="Arial"/>
          <w:szCs w:val="20"/>
        </w:rPr>
      </w:pPr>
      <w:r>
        <w:rPr>
          <w:rFonts w:cs="Arial"/>
          <w:szCs w:val="20"/>
        </w:rPr>
        <w:t>A</w:t>
      </w:r>
      <w:r w:rsidRPr="002265FE">
        <w:rPr>
          <w:rFonts w:cs="Arial"/>
          <w:szCs w:val="20"/>
        </w:rPr>
        <w:t>djustments to the NEP to reflect legitimate and unavoidable variations in the costs of delivering health care services</w:t>
      </w:r>
      <w:r>
        <w:rPr>
          <w:rFonts w:cs="Arial"/>
          <w:szCs w:val="20"/>
        </w:rPr>
        <w:t>;</w:t>
      </w:r>
    </w:p>
    <w:p w:rsidR="00460371" w:rsidRPr="002265FE" w:rsidRDefault="00460371" w:rsidP="00AD4FFC">
      <w:pPr>
        <w:pStyle w:val="ListParagraph"/>
        <w:numPr>
          <w:ilvl w:val="0"/>
          <w:numId w:val="15"/>
        </w:numPr>
        <w:tabs>
          <w:tab w:val="left" w:pos="1162"/>
        </w:tabs>
        <w:spacing w:before="120"/>
        <w:ind w:left="426" w:hanging="426"/>
        <w:rPr>
          <w:rFonts w:cs="Arial"/>
          <w:szCs w:val="20"/>
        </w:rPr>
      </w:pPr>
      <w:r>
        <w:rPr>
          <w:rFonts w:cs="Arial"/>
          <w:szCs w:val="20"/>
        </w:rPr>
        <w:t>E</w:t>
      </w:r>
      <w:r w:rsidRPr="002265FE">
        <w:rPr>
          <w:rFonts w:cs="Arial"/>
          <w:szCs w:val="20"/>
        </w:rPr>
        <w:t xml:space="preserve">xcept where otherwise agreed between the Commonwealth and a state or a territory – the public hospital functions that are to be </w:t>
      </w:r>
      <w:r w:rsidR="0036552B">
        <w:rPr>
          <w:rFonts w:cs="Arial"/>
          <w:szCs w:val="20"/>
        </w:rPr>
        <w:t xml:space="preserve">part </w:t>
      </w:r>
      <w:r w:rsidRPr="002265FE">
        <w:rPr>
          <w:rFonts w:cs="Arial"/>
          <w:szCs w:val="20"/>
        </w:rPr>
        <w:t>funded in that state or territory by the Commonwealth</w:t>
      </w:r>
      <w:r>
        <w:rPr>
          <w:rFonts w:cs="Arial"/>
          <w:szCs w:val="20"/>
        </w:rPr>
        <w:t>; and</w:t>
      </w:r>
    </w:p>
    <w:p w:rsidR="00460371" w:rsidRPr="002265FE" w:rsidRDefault="00460371" w:rsidP="00AD4FFC">
      <w:pPr>
        <w:pStyle w:val="ListParagraph"/>
        <w:numPr>
          <w:ilvl w:val="0"/>
          <w:numId w:val="15"/>
        </w:numPr>
        <w:tabs>
          <w:tab w:val="left" w:pos="1162"/>
        </w:tabs>
        <w:spacing w:before="120"/>
        <w:ind w:left="426" w:hanging="426"/>
        <w:rPr>
          <w:rFonts w:cs="Arial"/>
          <w:szCs w:val="20"/>
        </w:rPr>
      </w:pPr>
      <w:r>
        <w:rPr>
          <w:rFonts w:cs="Arial"/>
          <w:szCs w:val="20"/>
        </w:rPr>
        <w:t>P</w:t>
      </w:r>
      <w:r w:rsidRPr="002265FE">
        <w:rPr>
          <w:rFonts w:cs="Arial"/>
          <w:szCs w:val="20"/>
        </w:rPr>
        <w:t>ublication of a report setting out the NEP and NEC for the coming year and any other information that would support the efficient funding of public hospitals.</w:t>
      </w:r>
    </w:p>
    <w:p w:rsidR="00460371" w:rsidRDefault="00460371" w:rsidP="00AD4FFC">
      <w:pPr>
        <w:tabs>
          <w:tab w:val="left" w:pos="1162"/>
        </w:tabs>
        <w:rPr>
          <w:rFonts w:cs="Arial"/>
          <w:szCs w:val="20"/>
        </w:rPr>
      </w:pPr>
      <w:r w:rsidRPr="002265FE">
        <w:rPr>
          <w:rFonts w:cs="Arial"/>
          <w:szCs w:val="20"/>
        </w:rPr>
        <w:t xml:space="preserve">This document has been produced as an accompaniment to the </w:t>
      </w:r>
      <w:r w:rsidR="00B94FB5" w:rsidRPr="000B33D2">
        <w:rPr>
          <w:rFonts w:cs="Arial"/>
          <w:szCs w:val="20"/>
        </w:rPr>
        <w:t>NEP</w:t>
      </w:r>
      <w:r w:rsidR="009070AB">
        <w:rPr>
          <w:rFonts w:cs="Arial"/>
          <w:szCs w:val="20"/>
        </w:rPr>
        <w:t>16</w:t>
      </w:r>
      <w:r w:rsidRPr="000B33D2">
        <w:rPr>
          <w:rFonts w:cs="Arial"/>
          <w:szCs w:val="20"/>
        </w:rPr>
        <w:t xml:space="preserve"> and </w:t>
      </w:r>
      <w:r w:rsidR="00B94FB5" w:rsidRPr="000B33D2">
        <w:rPr>
          <w:rFonts w:cs="Arial"/>
          <w:szCs w:val="20"/>
        </w:rPr>
        <w:t>NEC</w:t>
      </w:r>
      <w:r w:rsidR="009070AB">
        <w:rPr>
          <w:rFonts w:cs="Arial"/>
          <w:szCs w:val="20"/>
        </w:rPr>
        <w:t>16</w:t>
      </w:r>
      <w:r w:rsidRPr="000B33D2">
        <w:rPr>
          <w:rFonts w:cs="Arial"/>
          <w:szCs w:val="20"/>
        </w:rPr>
        <w:t xml:space="preserve"> Determinations</w:t>
      </w:r>
      <w:r>
        <w:rPr>
          <w:rFonts w:cs="Arial"/>
          <w:szCs w:val="20"/>
        </w:rPr>
        <w:t xml:space="preserve">. </w:t>
      </w:r>
      <w:r w:rsidRPr="002265FE">
        <w:rPr>
          <w:rFonts w:cs="Arial"/>
          <w:szCs w:val="20"/>
        </w:rPr>
        <w:t xml:space="preserve">It provides the technical specifications for how IHPA developed the ABF models for the service streams to be funded on this basis from 1 July </w:t>
      </w:r>
      <w:r w:rsidR="009070AB" w:rsidRPr="002265FE">
        <w:rPr>
          <w:rFonts w:cs="Arial"/>
          <w:szCs w:val="20"/>
        </w:rPr>
        <w:t>20</w:t>
      </w:r>
      <w:r w:rsidR="009070AB">
        <w:rPr>
          <w:rFonts w:cs="Arial"/>
          <w:szCs w:val="20"/>
        </w:rPr>
        <w:t>16</w:t>
      </w:r>
      <w:r>
        <w:rPr>
          <w:rFonts w:cs="Arial"/>
          <w:szCs w:val="20"/>
        </w:rPr>
        <w:t xml:space="preserve">, </w:t>
      </w:r>
      <w:r w:rsidRPr="002265FE">
        <w:rPr>
          <w:rFonts w:cs="Arial"/>
          <w:szCs w:val="20"/>
        </w:rPr>
        <w:t xml:space="preserve">and provides guidance to hospitals, Local Health Networks </w:t>
      </w:r>
      <w:r>
        <w:rPr>
          <w:rFonts w:cs="Arial"/>
          <w:szCs w:val="20"/>
        </w:rPr>
        <w:t xml:space="preserve">(LHN) </w:t>
      </w:r>
      <w:r w:rsidRPr="002265FE">
        <w:rPr>
          <w:rFonts w:cs="Arial"/>
          <w:szCs w:val="20"/>
        </w:rPr>
        <w:t xml:space="preserve">and state and territory health authorities on how to apply these to hospital activity. It also shows how the </w:t>
      </w:r>
      <w:r>
        <w:rPr>
          <w:rFonts w:cs="Arial"/>
          <w:szCs w:val="20"/>
        </w:rPr>
        <w:t>NEC is determined for hospitals (such as small rural hospitals) funded on a block funded basis</w:t>
      </w:r>
      <w:r w:rsidRPr="002265FE">
        <w:rPr>
          <w:rFonts w:cs="Arial"/>
          <w:szCs w:val="20"/>
        </w:rPr>
        <w:t>.</w:t>
      </w:r>
    </w:p>
    <w:p w:rsidR="00DD7D45" w:rsidRDefault="00460371" w:rsidP="00AD4FFC">
      <w:pPr>
        <w:tabs>
          <w:tab w:val="left" w:pos="1162"/>
        </w:tabs>
        <w:rPr>
          <w:rFonts w:cs="Arial"/>
          <w:szCs w:val="20"/>
        </w:rPr>
      </w:pPr>
      <w:r w:rsidRPr="002265FE">
        <w:rPr>
          <w:rFonts w:cs="Arial"/>
          <w:szCs w:val="20"/>
        </w:rPr>
        <w:t xml:space="preserve">Systems for classifying outputs have been applied separately to different ABF service streams. In addition, under the current national application of ABF, a common unit has been developed across all ABF service streams known as a </w:t>
      </w:r>
      <w:r>
        <w:rPr>
          <w:rFonts w:cs="Arial"/>
          <w:szCs w:val="20"/>
        </w:rPr>
        <w:t>N</w:t>
      </w:r>
      <w:r w:rsidRPr="002265FE">
        <w:rPr>
          <w:rFonts w:cs="Arial"/>
          <w:szCs w:val="20"/>
        </w:rPr>
        <w:t xml:space="preserve">ational </w:t>
      </w:r>
      <w:r>
        <w:rPr>
          <w:rFonts w:cs="Arial"/>
          <w:szCs w:val="20"/>
        </w:rPr>
        <w:t>W</w:t>
      </w:r>
      <w:r w:rsidRPr="002265FE">
        <w:rPr>
          <w:rFonts w:cs="Arial"/>
          <w:szCs w:val="20"/>
        </w:rPr>
        <w:t xml:space="preserve">eighted </w:t>
      </w:r>
      <w:r>
        <w:rPr>
          <w:rFonts w:cs="Arial"/>
          <w:szCs w:val="20"/>
        </w:rPr>
        <w:t>A</w:t>
      </w:r>
      <w:r w:rsidRPr="002265FE">
        <w:rPr>
          <w:rFonts w:cs="Arial"/>
          <w:szCs w:val="20"/>
        </w:rPr>
        <w:t xml:space="preserve">ctivity </w:t>
      </w:r>
      <w:r>
        <w:rPr>
          <w:rFonts w:cs="Arial"/>
          <w:szCs w:val="20"/>
        </w:rPr>
        <w:t>U</w:t>
      </w:r>
      <w:r w:rsidRPr="002265FE">
        <w:rPr>
          <w:rFonts w:cs="Arial"/>
          <w:szCs w:val="20"/>
        </w:rPr>
        <w:t xml:space="preserve">nit </w:t>
      </w:r>
      <w:r>
        <w:rPr>
          <w:rFonts w:cs="Arial"/>
          <w:szCs w:val="20"/>
        </w:rPr>
        <w:t>(</w:t>
      </w:r>
      <w:r w:rsidRPr="002265FE">
        <w:rPr>
          <w:rFonts w:cs="Arial"/>
          <w:szCs w:val="20"/>
        </w:rPr>
        <w:t>NWAU</w:t>
      </w:r>
      <w:r>
        <w:rPr>
          <w:rFonts w:cs="Arial"/>
          <w:szCs w:val="20"/>
        </w:rPr>
        <w:t xml:space="preserve">). </w:t>
      </w:r>
    </w:p>
    <w:p w:rsidR="00460371" w:rsidRPr="002265FE" w:rsidRDefault="00460371" w:rsidP="00AD4FFC">
      <w:pPr>
        <w:tabs>
          <w:tab w:val="left" w:pos="1162"/>
        </w:tabs>
        <w:rPr>
          <w:rFonts w:cs="Arial"/>
          <w:szCs w:val="20"/>
        </w:rPr>
      </w:pPr>
      <w:r>
        <w:rPr>
          <w:rFonts w:cs="Arial"/>
          <w:szCs w:val="20"/>
        </w:rPr>
        <w:t>To develop NWAU</w:t>
      </w:r>
      <w:r w:rsidRPr="002265FE">
        <w:rPr>
          <w:rFonts w:cs="Arial"/>
          <w:szCs w:val="20"/>
        </w:rPr>
        <w:t xml:space="preserve"> and to determine the </w:t>
      </w:r>
      <w:r w:rsidR="009070AB">
        <w:rPr>
          <w:rFonts w:cs="Arial"/>
          <w:szCs w:val="20"/>
        </w:rPr>
        <w:t>NEP16</w:t>
      </w:r>
      <w:r w:rsidRPr="002265FE">
        <w:rPr>
          <w:rFonts w:cs="Arial"/>
          <w:szCs w:val="20"/>
        </w:rPr>
        <w:t xml:space="preserve">, IHPA </w:t>
      </w:r>
      <w:r>
        <w:rPr>
          <w:rFonts w:cs="Arial"/>
          <w:szCs w:val="20"/>
        </w:rPr>
        <w:t xml:space="preserve">has </w:t>
      </w:r>
      <w:r w:rsidRPr="002265FE">
        <w:rPr>
          <w:rFonts w:cs="Arial"/>
          <w:szCs w:val="20"/>
        </w:rPr>
        <w:t>collated activity and cost data for each of the ABF service streams to be funded on an activity basis in</w:t>
      </w:r>
      <w:r>
        <w:rPr>
          <w:rFonts w:cs="Arial"/>
          <w:szCs w:val="20"/>
        </w:rPr>
        <w:t xml:space="preserve"> </w:t>
      </w:r>
      <w:r w:rsidR="000C75BC">
        <w:rPr>
          <w:rFonts w:cs="Arial"/>
          <w:szCs w:val="20"/>
        </w:rPr>
        <w:t>2016-17</w:t>
      </w:r>
      <w:r w:rsidRPr="002265FE">
        <w:rPr>
          <w:rFonts w:cs="Arial"/>
          <w:szCs w:val="20"/>
        </w:rPr>
        <w:t>, as follows:</w:t>
      </w:r>
    </w:p>
    <w:p w:rsidR="00460371" w:rsidRDefault="001C6800" w:rsidP="00AD4FFC">
      <w:pPr>
        <w:pStyle w:val="ListParagraph"/>
        <w:numPr>
          <w:ilvl w:val="0"/>
          <w:numId w:val="21"/>
        </w:numPr>
        <w:tabs>
          <w:tab w:val="left" w:pos="1162"/>
        </w:tabs>
        <w:spacing w:before="120"/>
        <w:rPr>
          <w:rFonts w:cs="Arial"/>
          <w:szCs w:val="20"/>
        </w:rPr>
      </w:pPr>
      <w:r>
        <w:rPr>
          <w:rFonts w:cs="Arial"/>
          <w:szCs w:val="20"/>
        </w:rPr>
        <w:t>admitted acute</w:t>
      </w:r>
      <w:r w:rsidR="00460371" w:rsidRPr="002265FE" w:rsidDel="00A31A5F">
        <w:rPr>
          <w:rFonts w:cs="Arial"/>
          <w:szCs w:val="20"/>
        </w:rPr>
        <w:t>;</w:t>
      </w:r>
    </w:p>
    <w:p w:rsidR="006200DE" w:rsidRPr="002265FE" w:rsidDel="00A31A5F" w:rsidRDefault="003F67F1" w:rsidP="00AD4FFC">
      <w:pPr>
        <w:pStyle w:val="ListParagraph"/>
        <w:numPr>
          <w:ilvl w:val="0"/>
          <w:numId w:val="21"/>
        </w:numPr>
        <w:tabs>
          <w:tab w:val="left" w:pos="1162"/>
        </w:tabs>
        <w:spacing w:before="120"/>
        <w:rPr>
          <w:rFonts w:cs="Arial"/>
          <w:szCs w:val="20"/>
        </w:rPr>
      </w:pPr>
      <w:r>
        <w:rPr>
          <w:rFonts w:cs="Arial"/>
          <w:szCs w:val="20"/>
        </w:rPr>
        <w:t xml:space="preserve">admitted </w:t>
      </w:r>
      <w:r w:rsidR="006200DE" w:rsidRPr="002265FE" w:rsidDel="00A31A5F">
        <w:rPr>
          <w:rFonts w:cs="Arial"/>
          <w:szCs w:val="20"/>
        </w:rPr>
        <w:t>mental health</w:t>
      </w:r>
      <w:r>
        <w:rPr>
          <w:rFonts w:cs="Arial"/>
          <w:szCs w:val="20"/>
        </w:rPr>
        <w:t xml:space="preserve"> care</w:t>
      </w:r>
      <w:r w:rsidR="006200DE">
        <w:rPr>
          <w:rFonts w:cs="Arial"/>
          <w:szCs w:val="20"/>
        </w:rPr>
        <w:t>;</w:t>
      </w:r>
    </w:p>
    <w:p w:rsidR="006200DE" w:rsidRDefault="00002CE6" w:rsidP="00AD4FFC">
      <w:pPr>
        <w:pStyle w:val="ListParagraph"/>
        <w:numPr>
          <w:ilvl w:val="0"/>
          <w:numId w:val="21"/>
        </w:numPr>
        <w:tabs>
          <w:tab w:val="left" w:pos="1162"/>
        </w:tabs>
        <w:spacing w:before="120"/>
        <w:rPr>
          <w:rFonts w:cs="Arial"/>
          <w:szCs w:val="20"/>
        </w:rPr>
      </w:pPr>
      <w:r>
        <w:rPr>
          <w:rFonts w:cs="Arial"/>
          <w:szCs w:val="20"/>
        </w:rPr>
        <w:t>admitted subacute and non-acute</w:t>
      </w:r>
      <w:r w:rsidR="006200DE">
        <w:rPr>
          <w:rFonts w:cs="Arial"/>
          <w:szCs w:val="20"/>
        </w:rPr>
        <w:t>;</w:t>
      </w:r>
      <w:r w:rsidR="006200DE" w:rsidRPr="002265FE" w:rsidDel="00A31A5F">
        <w:rPr>
          <w:rFonts w:cs="Arial"/>
          <w:szCs w:val="20"/>
        </w:rPr>
        <w:t xml:space="preserve"> </w:t>
      </w:r>
    </w:p>
    <w:p w:rsidR="00460371" w:rsidRPr="002265FE" w:rsidDel="00A31A5F" w:rsidRDefault="00460371" w:rsidP="00AD4FFC">
      <w:pPr>
        <w:pStyle w:val="ListParagraph"/>
        <w:numPr>
          <w:ilvl w:val="0"/>
          <w:numId w:val="21"/>
        </w:numPr>
        <w:tabs>
          <w:tab w:val="left" w:pos="1162"/>
        </w:tabs>
        <w:spacing w:before="120"/>
        <w:rPr>
          <w:rFonts w:cs="Arial"/>
          <w:szCs w:val="20"/>
        </w:rPr>
      </w:pPr>
      <w:r w:rsidRPr="002265FE" w:rsidDel="00A31A5F">
        <w:rPr>
          <w:rFonts w:cs="Arial"/>
          <w:szCs w:val="20"/>
        </w:rPr>
        <w:t xml:space="preserve">emergency </w:t>
      </w:r>
      <w:r w:rsidR="00024ABA">
        <w:rPr>
          <w:rFonts w:cs="Arial"/>
          <w:szCs w:val="20"/>
        </w:rPr>
        <w:t>care</w:t>
      </w:r>
      <w:r w:rsidR="006200DE">
        <w:rPr>
          <w:rFonts w:cs="Arial"/>
          <w:szCs w:val="20"/>
        </w:rPr>
        <w:t>; and</w:t>
      </w:r>
    </w:p>
    <w:p w:rsidR="00077336" w:rsidRPr="006200DE" w:rsidDel="00A31A5F" w:rsidRDefault="00460371" w:rsidP="00A24E5A">
      <w:pPr>
        <w:pStyle w:val="ListParagraph"/>
        <w:numPr>
          <w:ilvl w:val="0"/>
          <w:numId w:val="21"/>
        </w:numPr>
        <w:tabs>
          <w:tab w:val="left" w:pos="1162"/>
        </w:tabs>
        <w:spacing w:before="120"/>
        <w:contextualSpacing/>
        <w:rPr>
          <w:rFonts w:cs="Arial"/>
          <w:szCs w:val="20"/>
        </w:rPr>
      </w:pPr>
      <w:proofErr w:type="gramStart"/>
      <w:r w:rsidRPr="00113031" w:rsidDel="00A31A5F">
        <w:rPr>
          <w:rFonts w:cs="Arial"/>
          <w:szCs w:val="20"/>
        </w:rPr>
        <w:t>non-admitted</w:t>
      </w:r>
      <w:proofErr w:type="gramEnd"/>
      <w:r w:rsidR="006200DE" w:rsidRPr="00113031">
        <w:rPr>
          <w:rFonts w:cs="Arial"/>
          <w:szCs w:val="20"/>
        </w:rPr>
        <w:t>.</w:t>
      </w:r>
    </w:p>
    <w:p w:rsidR="00077336" w:rsidRDefault="00077336" w:rsidP="00077336">
      <w:pPr>
        <w:tabs>
          <w:tab w:val="left" w:pos="1162"/>
        </w:tabs>
        <w:spacing w:after="0"/>
        <w:rPr>
          <w:rFonts w:cs="Arial"/>
          <w:szCs w:val="20"/>
        </w:rPr>
      </w:pPr>
      <w:r w:rsidRPr="00100C0F">
        <w:rPr>
          <w:rFonts w:cs="Arial"/>
          <w:szCs w:val="20"/>
        </w:rPr>
        <w:t xml:space="preserve">In consultation </w:t>
      </w:r>
      <w:r w:rsidRPr="00956FE6">
        <w:rPr>
          <w:rFonts w:cs="Arial"/>
          <w:szCs w:val="20"/>
        </w:rPr>
        <w:t xml:space="preserve">with jurisdictions, IHPA has identified </w:t>
      </w:r>
      <w:r w:rsidR="00E74C89" w:rsidRPr="00956FE6">
        <w:rPr>
          <w:rFonts w:cs="Arial"/>
          <w:szCs w:val="20"/>
        </w:rPr>
        <w:t xml:space="preserve">286 </w:t>
      </w:r>
      <w:r w:rsidRPr="00956FE6">
        <w:rPr>
          <w:rFonts w:cs="Arial"/>
          <w:szCs w:val="20"/>
        </w:rPr>
        <w:t xml:space="preserve">hospitals to make up the ABF price model and </w:t>
      </w:r>
      <w:r w:rsidR="00731E6E">
        <w:rPr>
          <w:rFonts w:cs="Arial"/>
          <w:szCs w:val="20"/>
        </w:rPr>
        <w:t>412</w:t>
      </w:r>
      <w:r w:rsidR="00E74C89" w:rsidRPr="00956FE6">
        <w:rPr>
          <w:rFonts w:cs="Arial"/>
          <w:szCs w:val="20"/>
        </w:rPr>
        <w:t xml:space="preserve"> </w:t>
      </w:r>
      <w:r w:rsidRPr="00956FE6">
        <w:rPr>
          <w:rFonts w:cs="Arial"/>
          <w:szCs w:val="20"/>
        </w:rPr>
        <w:t xml:space="preserve">hospitals designated for block funding, 16 of these </w:t>
      </w:r>
      <w:r w:rsidR="00CF0006">
        <w:rPr>
          <w:rFonts w:cs="Arial"/>
          <w:szCs w:val="20"/>
        </w:rPr>
        <w:t xml:space="preserve">block funded </w:t>
      </w:r>
      <w:r w:rsidRPr="00956FE6">
        <w:rPr>
          <w:rFonts w:cs="Arial"/>
          <w:szCs w:val="20"/>
        </w:rPr>
        <w:t>hospitals being treated separately as specialist psychiatric establishments and 12 major city hospitals.</w:t>
      </w:r>
      <w:r w:rsidRPr="00956FE6">
        <w:rPr>
          <w:rStyle w:val="FootnoteReference"/>
          <w:rFonts w:cs="Arial"/>
          <w:szCs w:val="20"/>
        </w:rPr>
        <w:footnoteReference w:id="1"/>
      </w:r>
      <w:r w:rsidRPr="00956FE6">
        <w:rPr>
          <w:rFonts w:cs="Arial"/>
          <w:szCs w:val="20"/>
        </w:rPr>
        <w:t xml:space="preserve"> The </w:t>
      </w:r>
      <w:r w:rsidR="00731E6E" w:rsidRPr="00956FE6">
        <w:rPr>
          <w:rFonts w:cs="Arial"/>
          <w:szCs w:val="20"/>
        </w:rPr>
        <w:t>38</w:t>
      </w:r>
      <w:r w:rsidR="00731E6E">
        <w:rPr>
          <w:rFonts w:cs="Arial"/>
          <w:szCs w:val="20"/>
        </w:rPr>
        <w:t>4</w:t>
      </w:r>
      <w:r w:rsidR="006E3DAD">
        <w:rPr>
          <w:rFonts w:cs="Arial"/>
          <w:szCs w:val="20"/>
        </w:rPr>
        <w:t xml:space="preserve"> remaining</w:t>
      </w:r>
      <w:r w:rsidR="00731E6E" w:rsidRPr="00956FE6">
        <w:rPr>
          <w:rFonts w:cs="Arial"/>
          <w:szCs w:val="20"/>
        </w:rPr>
        <w:t xml:space="preserve"> </w:t>
      </w:r>
      <w:r w:rsidRPr="00956FE6">
        <w:rPr>
          <w:rFonts w:cs="Arial"/>
          <w:szCs w:val="20"/>
        </w:rPr>
        <w:t>block funded hospitals</w:t>
      </w:r>
      <w:r w:rsidR="007F5FD5" w:rsidRPr="00956FE6">
        <w:rPr>
          <w:rFonts w:cs="Arial"/>
          <w:szCs w:val="20"/>
        </w:rPr>
        <w:t xml:space="preserve"> comprise the cost model which </w:t>
      </w:r>
      <w:r w:rsidR="00731E6E">
        <w:rPr>
          <w:rFonts w:cs="Arial"/>
          <w:szCs w:val="20"/>
        </w:rPr>
        <w:t xml:space="preserve">remains largely unchanged from NEC15. </w:t>
      </w:r>
    </w:p>
    <w:p w:rsidR="00077336" w:rsidRDefault="00077336" w:rsidP="00AD4FFC">
      <w:pPr>
        <w:tabs>
          <w:tab w:val="left" w:pos="1162"/>
        </w:tabs>
        <w:spacing w:after="0"/>
        <w:rPr>
          <w:rFonts w:cs="Arial"/>
          <w:szCs w:val="20"/>
        </w:rPr>
      </w:pPr>
    </w:p>
    <w:p w:rsidR="00BA5716" w:rsidRPr="00BA5716" w:rsidRDefault="00460371" w:rsidP="00AD4FFC">
      <w:pPr>
        <w:tabs>
          <w:tab w:val="left" w:pos="1162"/>
        </w:tabs>
        <w:spacing w:after="0"/>
        <w:rPr>
          <w:rFonts w:cs="Arial"/>
          <w:szCs w:val="20"/>
        </w:rPr>
      </w:pPr>
      <w:r>
        <w:rPr>
          <w:rFonts w:cs="Arial"/>
          <w:szCs w:val="20"/>
        </w:rPr>
        <w:t>The</w:t>
      </w:r>
      <w:r w:rsidRPr="002265FE">
        <w:rPr>
          <w:rFonts w:cs="Arial"/>
          <w:szCs w:val="20"/>
        </w:rPr>
        <w:t xml:space="preserve"> </w:t>
      </w:r>
      <w:r>
        <w:rPr>
          <w:rFonts w:cs="Arial"/>
          <w:szCs w:val="20"/>
        </w:rPr>
        <w:t xml:space="preserve">activity and cost </w:t>
      </w:r>
      <w:r w:rsidRPr="002265FE">
        <w:rPr>
          <w:rFonts w:cs="Arial"/>
          <w:szCs w:val="20"/>
        </w:rPr>
        <w:t xml:space="preserve">data </w:t>
      </w:r>
      <w:r>
        <w:rPr>
          <w:rFonts w:cs="Arial"/>
          <w:szCs w:val="20"/>
        </w:rPr>
        <w:t>is</w:t>
      </w:r>
      <w:r w:rsidRPr="002265FE">
        <w:rPr>
          <w:rFonts w:cs="Arial"/>
          <w:szCs w:val="20"/>
        </w:rPr>
        <w:t xml:space="preserve"> sourced </w:t>
      </w:r>
      <w:r>
        <w:rPr>
          <w:rFonts w:cs="Arial"/>
          <w:szCs w:val="20"/>
        </w:rPr>
        <w:t xml:space="preserve">by IHPA </w:t>
      </w:r>
      <w:r w:rsidRPr="002265FE">
        <w:rPr>
          <w:rFonts w:cs="Arial"/>
          <w:szCs w:val="20"/>
        </w:rPr>
        <w:t xml:space="preserve">from various national data collections </w:t>
      </w:r>
      <w:r>
        <w:rPr>
          <w:rFonts w:cs="Arial"/>
          <w:szCs w:val="20"/>
        </w:rPr>
        <w:t xml:space="preserve">and is </w:t>
      </w:r>
      <w:r w:rsidRPr="002265FE">
        <w:rPr>
          <w:rFonts w:cs="Arial"/>
          <w:szCs w:val="20"/>
        </w:rPr>
        <w:t xml:space="preserve">supplemented by </w:t>
      </w:r>
      <w:r>
        <w:rPr>
          <w:rFonts w:cs="Arial"/>
          <w:szCs w:val="20"/>
        </w:rPr>
        <w:t>additional</w:t>
      </w:r>
      <w:r w:rsidRPr="002265FE">
        <w:rPr>
          <w:rFonts w:cs="Arial"/>
          <w:szCs w:val="20"/>
        </w:rPr>
        <w:t xml:space="preserve"> data p</w:t>
      </w:r>
      <w:r>
        <w:rPr>
          <w:rFonts w:cs="Arial"/>
          <w:szCs w:val="20"/>
        </w:rPr>
        <w:t xml:space="preserve">rovided by the states and territories. </w:t>
      </w:r>
      <w:r w:rsidR="00196408">
        <w:rPr>
          <w:rFonts w:cs="Arial"/>
          <w:szCs w:val="20"/>
        </w:rPr>
        <w:t>Table 1</w:t>
      </w:r>
      <w:r>
        <w:rPr>
          <w:rFonts w:cs="Arial"/>
          <w:szCs w:val="20"/>
        </w:rPr>
        <w:t xml:space="preserve"> </w:t>
      </w:r>
      <w:r w:rsidRPr="002265FE">
        <w:rPr>
          <w:rFonts w:cs="Arial"/>
          <w:szCs w:val="20"/>
        </w:rPr>
        <w:t xml:space="preserve">below references relevant sections in </w:t>
      </w:r>
      <w:r w:rsidRPr="000B33D2">
        <w:rPr>
          <w:rFonts w:cs="Arial"/>
          <w:szCs w:val="20"/>
        </w:rPr>
        <w:t xml:space="preserve">the </w:t>
      </w:r>
      <w:r w:rsidR="009070AB" w:rsidRPr="000B33D2">
        <w:rPr>
          <w:rFonts w:cs="Arial"/>
          <w:szCs w:val="20"/>
        </w:rPr>
        <w:t>NEP</w:t>
      </w:r>
      <w:r w:rsidR="009070AB">
        <w:rPr>
          <w:rFonts w:cs="Arial"/>
          <w:szCs w:val="20"/>
        </w:rPr>
        <w:t>16</w:t>
      </w:r>
      <w:r w:rsidR="009070AB" w:rsidRPr="000B33D2">
        <w:rPr>
          <w:rFonts w:cs="Arial"/>
          <w:szCs w:val="20"/>
        </w:rPr>
        <w:t xml:space="preserve"> </w:t>
      </w:r>
      <w:r w:rsidRPr="000B33D2">
        <w:rPr>
          <w:rFonts w:cs="Arial"/>
          <w:szCs w:val="20"/>
        </w:rPr>
        <w:t xml:space="preserve">and </w:t>
      </w:r>
      <w:r w:rsidR="009070AB" w:rsidRPr="000B33D2">
        <w:rPr>
          <w:rFonts w:cs="Arial"/>
          <w:szCs w:val="20"/>
        </w:rPr>
        <w:t>NEC</w:t>
      </w:r>
      <w:r w:rsidR="009070AB">
        <w:rPr>
          <w:rFonts w:cs="Arial"/>
          <w:szCs w:val="20"/>
        </w:rPr>
        <w:t xml:space="preserve">16 </w:t>
      </w:r>
      <w:r w:rsidRPr="000B33D2">
        <w:rPr>
          <w:rFonts w:cs="Arial"/>
          <w:szCs w:val="20"/>
        </w:rPr>
        <w:t>Determinations</w:t>
      </w:r>
      <w:r>
        <w:rPr>
          <w:rFonts w:cs="Arial"/>
          <w:szCs w:val="20"/>
        </w:rPr>
        <w:t>.</w:t>
      </w:r>
      <w:r w:rsidRPr="002265FE">
        <w:rPr>
          <w:rFonts w:cs="Arial"/>
          <w:szCs w:val="20"/>
        </w:rPr>
        <w:t xml:space="preserve"> </w:t>
      </w:r>
      <w:r>
        <w:rPr>
          <w:rFonts w:cs="Arial"/>
          <w:szCs w:val="20"/>
        </w:rPr>
        <w:t>T</w:t>
      </w:r>
      <w:r w:rsidRPr="002265FE">
        <w:rPr>
          <w:rFonts w:cs="Arial"/>
          <w:szCs w:val="20"/>
        </w:rPr>
        <w:t xml:space="preserve">he classification systems </w:t>
      </w:r>
      <w:r>
        <w:rPr>
          <w:rFonts w:cs="Arial"/>
          <w:szCs w:val="20"/>
        </w:rPr>
        <w:t xml:space="preserve">for each service stream and the </w:t>
      </w:r>
      <w:r w:rsidRPr="002265FE">
        <w:rPr>
          <w:rFonts w:cs="Arial"/>
          <w:szCs w:val="20"/>
        </w:rPr>
        <w:t xml:space="preserve">source of </w:t>
      </w:r>
      <w:r>
        <w:rPr>
          <w:rFonts w:cs="Arial"/>
          <w:szCs w:val="20"/>
        </w:rPr>
        <w:t xml:space="preserve">its </w:t>
      </w:r>
      <w:r w:rsidRPr="002265FE">
        <w:rPr>
          <w:rFonts w:cs="Arial"/>
          <w:szCs w:val="20"/>
        </w:rPr>
        <w:t xml:space="preserve">cost and activity data </w:t>
      </w:r>
      <w:r>
        <w:rPr>
          <w:rFonts w:cs="Arial"/>
          <w:szCs w:val="20"/>
        </w:rPr>
        <w:t>are</w:t>
      </w:r>
      <w:r w:rsidRPr="002265FE">
        <w:rPr>
          <w:rFonts w:cs="Arial"/>
          <w:szCs w:val="20"/>
        </w:rPr>
        <w:t xml:space="preserve"> shown in</w:t>
      </w:r>
      <w:r w:rsidR="00196408">
        <w:rPr>
          <w:rFonts w:cs="Arial"/>
          <w:szCs w:val="20"/>
        </w:rPr>
        <w:t xml:space="preserve"> Table 2</w:t>
      </w:r>
      <w:r>
        <w:rPr>
          <w:rFonts w:cs="Arial"/>
          <w:szCs w:val="20"/>
        </w:rPr>
        <w:t xml:space="preserve">. </w:t>
      </w:r>
    </w:p>
    <w:p w:rsidR="00196408" w:rsidRDefault="00196408" w:rsidP="00AD4FFC">
      <w:pPr>
        <w:rPr>
          <w:rFonts w:ascii="Arial" w:eastAsia="Times New Roman" w:hAnsi="Arial" w:cstheme="minorHAnsi"/>
          <w:b/>
          <w:color w:val="000000"/>
          <w:sz w:val="20"/>
          <w:szCs w:val="20"/>
          <w:lang w:eastAsia="en-AU"/>
        </w:rPr>
      </w:pPr>
      <w:bookmarkStart w:id="7" w:name="_Ref342307709"/>
      <w:r>
        <w:br w:type="page"/>
      </w:r>
    </w:p>
    <w:p w:rsidR="00460371" w:rsidRDefault="00460371">
      <w:pPr>
        <w:pStyle w:val="table"/>
      </w:pPr>
      <w:r>
        <w:t xml:space="preserve">Table </w:t>
      </w:r>
      <w:r w:rsidR="00FE788C">
        <w:fldChar w:fldCharType="begin"/>
      </w:r>
      <w:r w:rsidR="00FE788C">
        <w:instrText xml:space="preserve"> SEQ Table \* ARABIC </w:instrText>
      </w:r>
      <w:r w:rsidR="00FE788C">
        <w:fldChar w:fldCharType="separate"/>
      </w:r>
      <w:r w:rsidR="0027530C">
        <w:rPr>
          <w:noProof/>
        </w:rPr>
        <w:t>1</w:t>
      </w:r>
      <w:r w:rsidR="00FE788C">
        <w:rPr>
          <w:noProof/>
        </w:rPr>
        <w:fldChar w:fldCharType="end"/>
      </w:r>
      <w:bookmarkEnd w:id="7"/>
      <w:r>
        <w:t xml:space="preserve">: Sections of the </w:t>
      </w:r>
      <w:r w:rsidR="009070AB">
        <w:t>NEP16</w:t>
      </w:r>
      <w:r w:rsidR="009070AB" w:rsidRPr="00B3571F">
        <w:t xml:space="preserve"> </w:t>
      </w:r>
      <w:r w:rsidRPr="00B3571F">
        <w:t xml:space="preserve">and </w:t>
      </w:r>
      <w:r w:rsidR="009070AB" w:rsidRPr="00B3571F">
        <w:t>NEC</w:t>
      </w:r>
      <w:r w:rsidR="009070AB">
        <w:t>16</w:t>
      </w:r>
      <w:r w:rsidR="009070AB" w:rsidRPr="00B3571F">
        <w:t xml:space="preserve"> </w:t>
      </w:r>
      <w:r w:rsidRPr="00B3571F">
        <w:t>Determinations</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 summary of table 1 is outlined in the text prior to this table. The table consists of two column headings: column one is a list of components and column two provides the relevant section it is found in the NEP15 and NEC15 Determinations. &#10;"/>
      </w:tblPr>
      <w:tblGrid>
        <w:gridCol w:w="7073"/>
        <w:gridCol w:w="2337"/>
      </w:tblGrid>
      <w:tr w:rsidR="00782725" w:rsidRPr="00D34DE3" w:rsidTr="00782725">
        <w:trPr>
          <w:trHeight w:val="350"/>
          <w:tblHeader/>
          <w:jc w:val="center"/>
        </w:trPr>
        <w:tc>
          <w:tcPr>
            <w:tcW w:w="7073" w:type="dxa"/>
            <w:shd w:val="clear" w:color="auto" w:fill="BFBFBF" w:themeFill="background1" w:themeFillShade="BF"/>
            <w:vAlign w:val="center"/>
          </w:tcPr>
          <w:p w:rsidR="00782725" w:rsidRPr="00D34DE3" w:rsidRDefault="00782725" w:rsidP="00EA0636">
            <w:pPr>
              <w:tabs>
                <w:tab w:val="left" w:pos="1162"/>
              </w:tabs>
              <w:spacing w:after="0"/>
              <w:rPr>
                <w:rFonts w:asciiTheme="majorHAnsi" w:hAnsiTheme="majorHAnsi" w:cstheme="majorHAnsi"/>
                <w:b/>
                <w:sz w:val="16"/>
                <w:szCs w:val="16"/>
              </w:rPr>
            </w:pPr>
            <w:r w:rsidRPr="00D34DE3">
              <w:rPr>
                <w:rFonts w:asciiTheme="majorHAnsi" w:hAnsiTheme="majorHAnsi" w:cstheme="majorHAnsi"/>
                <w:b/>
                <w:sz w:val="16"/>
                <w:szCs w:val="16"/>
              </w:rPr>
              <w:t>Component</w:t>
            </w:r>
          </w:p>
        </w:tc>
        <w:tc>
          <w:tcPr>
            <w:tcW w:w="2337" w:type="dxa"/>
            <w:shd w:val="clear" w:color="auto" w:fill="BFBFBF" w:themeFill="background1" w:themeFillShade="BF"/>
            <w:vAlign w:val="center"/>
          </w:tcPr>
          <w:p w:rsidR="00782725" w:rsidRPr="00D34DE3" w:rsidRDefault="00782725" w:rsidP="00EA0636">
            <w:pPr>
              <w:tabs>
                <w:tab w:val="left" w:pos="1162"/>
              </w:tabs>
              <w:spacing w:after="0"/>
              <w:jc w:val="center"/>
              <w:rPr>
                <w:rFonts w:asciiTheme="majorHAnsi" w:hAnsiTheme="majorHAnsi" w:cstheme="majorHAnsi"/>
                <w:b/>
                <w:i/>
                <w:sz w:val="16"/>
                <w:szCs w:val="16"/>
              </w:rPr>
            </w:pPr>
            <w:r w:rsidRPr="00D34DE3">
              <w:rPr>
                <w:rFonts w:asciiTheme="majorHAnsi" w:hAnsiTheme="majorHAnsi" w:cstheme="majorHAnsi"/>
                <w:b/>
                <w:sz w:val="16"/>
                <w:szCs w:val="16"/>
              </w:rPr>
              <w:t xml:space="preserve">Section of </w:t>
            </w:r>
            <w:r w:rsidRPr="00B3571F">
              <w:rPr>
                <w:rFonts w:asciiTheme="majorHAnsi" w:hAnsiTheme="majorHAnsi" w:cstheme="majorHAnsi"/>
                <w:b/>
                <w:sz w:val="16"/>
                <w:szCs w:val="16"/>
              </w:rPr>
              <w:t>Determination</w:t>
            </w:r>
          </w:p>
        </w:tc>
      </w:tr>
      <w:tr w:rsidR="00782725" w:rsidRPr="00D34DE3" w:rsidTr="00E4094C">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National Efficient Price</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Chapter 2</w:t>
            </w:r>
          </w:p>
        </w:tc>
      </w:tr>
      <w:tr w:rsidR="00782725" w:rsidRPr="00D34DE3" w:rsidTr="00E4094C">
        <w:trPr>
          <w:jc w:val="center"/>
        </w:trPr>
        <w:tc>
          <w:tcPr>
            <w:tcW w:w="7073" w:type="dxa"/>
            <w:vAlign w:val="center"/>
          </w:tcPr>
          <w:p w:rsidR="00782725" w:rsidRPr="00D34DE3" w:rsidRDefault="001C6800" w:rsidP="00DE2083">
            <w:pPr>
              <w:tabs>
                <w:tab w:val="left" w:pos="1162"/>
              </w:tabs>
              <w:spacing w:before="60" w:afterLines="60" w:after="144"/>
              <w:rPr>
                <w:rFonts w:asciiTheme="majorHAnsi" w:hAnsiTheme="majorHAnsi" w:cstheme="majorHAnsi"/>
                <w:b/>
                <w:sz w:val="16"/>
                <w:szCs w:val="16"/>
                <w:highlight w:val="yellow"/>
              </w:rPr>
            </w:pPr>
            <w:r>
              <w:rPr>
                <w:rFonts w:asciiTheme="majorHAnsi" w:hAnsiTheme="majorHAnsi" w:cstheme="majorHAnsi"/>
                <w:b/>
                <w:i/>
                <w:sz w:val="16"/>
                <w:szCs w:val="16"/>
              </w:rPr>
              <w:t>Admitted acute</w:t>
            </w:r>
            <w:r w:rsidR="00782725" w:rsidRPr="00D34DE3">
              <w:rPr>
                <w:rFonts w:asciiTheme="majorHAnsi" w:hAnsiTheme="majorHAnsi" w:cstheme="majorHAnsi"/>
                <w:b/>
                <w:i/>
                <w:sz w:val="16"/>
                <w:szCs w:val="16"/>
              </w:rPr>
              <w:t xml:space="preserve"> services - </w:t>
            </w:r>
            <w:r w:rsidR="005C2AB6" w:rsidRPr="00D34DE3">
              <w:rPr>
                <w:rFonts w:asciiTheme="majorHAnsi" w:hAnsiTheme="majorHAnsi" w:cstheme="majorHAnsi"/>
                <w:b/>
                <w:i/>
                <w:sz w:val="16"/>
                <w:szCs w:val="16"/>
              </w:rPr>
              <w:t>NEP</w:t>
            </w:r>
            <w:r w:rsidR="005C2AB6">
              <w:rPr>
                <w:rFonts w:asciiTheme="majorHAnsi" w:hAnsiTheme="majorHAnsi" w:cstheme="majorHAnsi"/>
                <w:b/>
                <w:i/>
                <w:sz w:val="16"/>
                <w:szCs w:val="16"/>
              </w:rPr>
              <w:t>16</w:t>
            </w:r>
          </w:p>
        </w:tc>
        <w:tc>
          <w:tcPr>
            <w:tcW w:w="2337" w:type="dxa"/>
            <w:vAlign w:val="center"/>
          </w:tcPr>
          <w:p w:rsidR="00782725" w:rsidRPr="00F414F9" w:rsidRDefault="00782725" w:rsidP="00EA0636">
            <w:pPr>
              <w:rPr>
                <w:highlight w:val="yellow"/>
              </w:rPr>
            </w:pP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 xml:space="preserve">AR-DRG inlier bounds, flags for designated same-day payment AR-DRG and unbundled ICU AR-DRG, National Weighted Activity Unit (NWAU) weights for same-day payment AR-DRGs, short-stay outliers (base and per diem), inliers, long-stay outliers (per diem), Intensive Care Unit (ICU) rates per hour </w:t>
            </w:r>
          </w:p>
        </w:tc>
        <w:tc>
          <w:tcPr>
            <w:tcW w:w="2337" w:type="dxa"/>
            <w:vAlign w:val="center"/>
          </w:tcPr>
          <w:p w:rsidR="00782725" w:rsidRPr="00D34DE3" w:rsidRDefault="00782725" w:rsidP="00DE2083">
            <w:pPr>
              <w:tabs>
                <w:tab w:val="left" w:pos="1162"/>
              </w:tabs>
              <w:spacing w:before="60" w:afterLines="60" w:after="144"/>
              <w:jc w:val="center"/>
              <w:rPr>
                <w:rFonts w:asciiTheme="majorHAnsi" w:hAnsiTheme="majorHAnsi" w:cstheme="majorHAnsi"/>
                <w:sz w:val="16"/>
                <w:szCs w:val="16"/>
                <w:highlight w:val="yellow"/>
              </w:rPr>
            </w:pPr>
            <w:r w:rsidRPr="0015037E">
              <w:rPr>
                <w:rFonts w:asciiTheme="majorHAnsi" w:hAnsiTheme="majorHAnsi" w:cstheme="majorHAnsi"/>
                <w:sz w:val="16"/>
                <w:szCs w:val="16"/>
              </w:rPr>
              <w:t xml:space="preserve">Appendix </w:t>
            </w:r>
            <w:r w:rsidR="005C2AB6">
              <w:rPr>
                <w:rFonts w:asciiTheme="majorHAnsi" w:hAnsiTheme="majorHAnsi" w:cstheme="majorHAnsi"/>
                <w:sz w:val="16"/>
                <w:szCs w:val="16"/>
              </w:rPr>
              <w:t>H</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Pr>
                <w:rFonts w:asciiTheme="majorHAnsi" w:hAnsiTheme="majorHAnsi" w:cstheme="majorHAnsi"/>
                <w:sz w:val="16"/>
                <w:szCs w:val="16"/>
              </w:rPr>
              <w:t xml:space="preserve">Adjustments to Price Weights </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rPr>
            </w:pPr>
            <w:r w:rsidRPr="00D34DE3">
              <w:rPr>
                <w:rFonts w:asciiTheme="majorHAnsi" w:hAnsiTheme="majorHAnsi" w:cstheme="majorHAnsi"/>
                <w:sz w:val="16"/>
                <w:szCs w:val="16"/>
              </w:rPr>
              <w:t>Chapter 5</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 xml:space="preserve">List of radiotherapy ICD-10-AM 9th edition codes </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rPr>
            </w:pPr>
            <w:r w:rsidRPr="00D34DE3">
              <w:rPr>
                <w:rFonts w:asciiTheme="majorHAnsi" w:hAnsiTheme="majorHAnsi" w:cstheme="majorHAnsi"/>
                <w:sz w:val="16"/>
                <w:szCs w:val="16"/>
              </w:rPr>
              <w:t>Appendix B</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List of dialysis ICD-10-AM 9th edition codes</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rPr>
            </w:pPr>
            <w:r w:rsidRPr="00D34DE3">
              <w:rPr>
                <w:rFonts w:asciiTheme="majorHAnsi" w:hAnsiTheme="majorHAnsi" w:cstheme="majorHAnsi"/>
                <w:sz w:val="16"/>
                <w:szCs w:val="16"/>
              </w:rPr>
              <w:t>Appendix C</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 xml:space="preserve">Specified  ICUs </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Appendix D</w:t>
            </w:r>
          </w:p>
        </w:tc>
      </w:tr>
      <w:tr w:rsidR="00782725" w:rsidRPr="00D34DE3" w:rsidTr="00EA0636">
        <w:trPr>
          <w:jc w:val="center"/>
        </w:trPr>
        <w:tc>
          <w:tcPr>
            <w:tcW w:w="7073" w:type="dxa"/>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Specialised children's hospitals</w:t>
            </w:r>
          </w:p>
        </w:tc>
        <w:tc>
          <w:tcPr>
            <w:tcW w:w="2337" w:type="dxa"/>
          </w:tcPr>
          <w:p w:rsidR="00782725" w:rsidRPr="00D34DE3" w:rsidRDefault="00782725" w:rsidP="00EA0636">
            <w:pPr>
              <w:tabs>
                <w:tab w:val="left" w:pos="1162"/>
              </w:tabs>
              <w:spacing w:before="60" w:afterLines="60" w:after="144"/>
              <w:jc w:val="center"/>
              <w:rPr>
                <w:rFonts w:asciiTheme="majorHAnsi" w:hAnsiTheme="majorHAnsi" w:cstheme="majorHAnsi"/>
                <w:sz w:val="16"/>
                <w:szCs w:val="16"/>
              </w:rPr>
            </w:pPr>
            <w:r w:rsidRPr="00D34DE3">
              <w:rPr>
                <w:rFonts w:asciiTheme="majorHAnsi" w:hAnsiTheme="majorHAnsi" w:cstheme="majorHAnsi"/>
                <w:sz w:val="16"/>
                <w:szCs w:val="16"/>
              </w:rPr>
              <w:t>Appendix E</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Private patient adjustments</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Appendix F</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Provisional weights for very long stay patients</w:t>
            </w:r>
          </w:p>
        </w:tc>
        <w:tc>
          <w:tcPr>
            <w:tcW w:w="2337" w:type="dxa"/>
            <w:shd w:val="clear" w:color="auto" w:fill="auto"/>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Appendix G</w:t>
            </w:r>
          </w:p>
        </w:tc>
      </w:tr>
      <w:tr w:rsidR="00782725" w:rsidRPr="00D34DE3" w:rsidTr="00E4094C">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Definition of an eligible ICU or paediatric ICU (PICU)</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Glossary</w:t>
            </w:r>
          </w:p>
        </w:tc>
      </w:tr>
      <w:tr w:rsidR="00782725" w:rsidRPr="00D34DE3" w:rsidTr="00E4094C">
        <w:trPr>
          <w:jc w:val="center"/>
        </w:trPr>
        <w:tc>
          <w:tcPr>
            <w:tcW w:w="7073" w:type="dxa"/>
            <w:vAlign w:val="center"/>
          </w:tcPr>
          <w:p w:rsidR="00782725" w:rsidRPr="00D34DE3" w:rsidRDefault="00782725" w:rsidP="00DE2083">
            <w:pPr>
              <w:tabs>
                <w:tab w:val="left" w:pos="1162"/>
              </w:tabs>
              <w:spacing w:before="60" w:afterLines="60" w:after="144"/>
              <w:rPr>
                <w:rFonts w:asciiTheme="majorHAnsi" w:hAnsiTheme="majorHAnsi" w:cstheme="majorHAnsi"/>
                <w:b/>
                <w:sz w:val="16"/>
                <w:szCs w:val="16"/>
                <w:highlight w:val="yellow"/>
              </w:rPr>
            </w:pPr>
            <w:r w:rsidRPr="00D34DE3">
              <w:rPr>
                <w:rFonts w:asciiTheme="majorHAnsi" w:hAnsiTheme="majorHAnsi" w:cstheme="majorHAnsi"/>
                <w:b/>
                <w:i/>
                <w:sz w:val="16"/>
                <w:szCs w:val="16"/>
              </w:rPr>
              <w:t xml:space="preserve">Emergency department services - </w:t>
            </w:r>
            <w:r w:rsidR="009070AB" w:rsidRPr="00D34DE3">
              <w:rPr>
                <w:rFonts w:asciiTheme="majorHAnsi" w:hAnsiTheme="majorHAnsi" w:cstheme="majorHAnsi"/>
                <w:b/>
                <w:i/>
                <w:sz w:val="16"/>
                <w:szCs w:val="16"/>
              </w:rPr>
              <w:t>NEP</w:t>
            </w:r>
            <w:r w:rsidR="009070AB">
              <w:rPr>
                <w:rFonts w:asciiTheme="majorHAnsi" w:hAnsiTheme="majorHAnsi" w:cstheme="majorHAnsi"/>
                <w:b/>
                <w:i/>
                <w:sz w:val="16"/>
                <w:szCs w:val="16"/>
              </w:rPr>
              <w:t>16</w:t>
            </w:r>
          </w:p>
        </w:tc>
        <w:tc>
          <w:tcPr>
            <w:tcW w:w="2337" w:type="dxa"/>
            <w:vAlign w:val="center"/>
          </w:tcPr>
          <w:p w:rsidR="00782725" w:rsidRPr="00F414F9" w:rsidRDefault="00782725" w:rsidP="00EA0636">
            <w:pPr>
              <w:rPr>
                <w:highlight w:val="yellow"/>
              </w:rPr>
            </w:pP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Urgency Related Groups v1.4 classification and NWAU weights</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Appendix L</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Urgency Disposition Groups v1.3 classification and NWAU weights</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Appendix M</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Emergency departments in-scope for ABF</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rPr>
            </w:pPr>
            <w:r w:rsidRPr="00D34DE3">
              <w:rPr>
                <w:rFonts w:asciiTheme="majorHAnsi" w:hAnsiTheme="majorHAnsi" w:cstheme="majorHAnsi"/>
                <w:sz w:val="16"/>
                <w:szCs w:val="16"/>
              </w:rPr>
              <w:t>Glossary</w:t>
            </w:r>
          </w:p>
        </w:tc>
      </w:tr>
      <w:tr w:rsidR="00782725" w:rsidRPr="00D34DE3" w:rsidTr="00E4094C">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Definitions of emergency department role levels</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rPr>
            </w:pPr>
            <w:r w:rsidRPr="00D34DE3">
              <w:rPr>
                <w:rFonts w:asciiTheme="majorHAnsi" w:hAnsiTheme="majorHAnsi" w:cstheme="majorHAnsi"/>
                <w:sz w:val="16"/>
                <w:szCs w:val="16"/>
              </w:rPr>
              <w:t>Glossary</w:t>
            </w:r>
          </w:p>
        </w:tc>
      </w:tr>
      <w:tr w:rsidR="00782725" w:rsidRPr="00D34DE3" w:rsidTr="00E4094C">
        <w:trPr>
          <w:jc w:val="center"/>
        </w:trPr>
        <w:tc>
          <w:tcPr>
            <w:tcW w:w="7073" w:type="dxa"/>
            <w:vAlign w:val="center"/>
          </w:tcPr>
          <w:p w:rsidR="00782725" w:rsidRPr="00D34DE3" w:rsidRDefault="00782725" w:rsidP="00DE2083">
            <w:pPr>
              <w:tabs>
                <w:tab w:val="left" w:pos="1162"/>
              </w:tabs>
              <w:spacing w:before="60" w:afterLines="60" w:after="144"/>
              <w:rPr>
                <w:rFonts w:asciiTheme="majorHAnsi" w:hAnsiTheme="majorHAnsi" w:cstheme="majorHAnsi"/>
                <w:sz w:val="16"/>
                <w:szCs w:val="16"/>
                <w:highlight w:val="yellow"/>
              </w:rPr>
            </w:pPr>
            <w:r w:rsidRPr="00D34DE3">
              <w:rPr>
                <w:rFonts w:asciiTheme="majorHAnsi" w:hAnsiTheme="majorHAnsi" w:cstheme="majorHAnsi"/>
                <w:b/>
                <w:i/>
                <w:sz w:val="16"/>
                <w:szCs w:val="16"/>
              </w:rPr>
              <w:t xml:space="preserve">Non-admitted services - </w:t>
            </w:r>
            <w:r w:rsidR="009070AB" w:rsidRPr="00D34DE3">
              <w:rPr>
                <w:rFonts w:asciiTheme="majorHAnsi" w:hAnsiTheme="majorHAnsi" w:cstheme="majorHAnsi"/>
                <w:b/>
                <w:i/>
                <w:sz w:val="16"/>
                <w:szCs w:val="16"/>
              </w:rPr>
              <w:t>NEP</w:t>
            </w:r>
            <w:r w:rsidR="009070AB">
              <w:rPr>
                <w:rFonts w:asciiTheme="majorHAnsi" w:hAnsiTheme="majorHAnsi" w:cstheme="majorHAnsi"/>
                <w:b/>
                <w:i/>
                <w:sz w:val="16"/>
                <w:szCs w:val="16"/>
              </w:rPr>
              <w:t>16</w:t>
            </w:r>
          </w:p>
        </w:tc>
        <w:tc>
          <w:tcPr>
            <w:tcW w:w="2337" w:type="dxa"/>
            <w:vAlign w:val="center"/>
          </w:tcPr>
          <w:p w:rsidR="00782725" w:rsidRPr="00F414F9" w:rsidRDefault="00782725" w:rsidP="00EA0636">
            <w:pPr>
              <w:rPr>
                <w:highlight w:val="yellow"/>
              </w:rPr>
            </w:pPr>
          </w:p>
        </w:tc>
      </w:tr>
      <w:tr w:rsidR="00782725" w:rsidRPr="00D34DE3" w:rsidTr="00EA0636">
        <w:trPr>
          <w:jc w:val="center"/>
        </w:trPr>
        <w:tc>
          <w:tcPr>
            <w:tcW w:w="7073" w:type="dxa"/>
            <w:vAlign w:val="center"/>
          </w:tcPr>
          <w:p w:rsidR="00782725" w:rsidRPr="00D34DE3" w:rsidRDefault="00782725" w:rsidP="00044050">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Tier 2 non-admitted services classification v4.</w:t>
            </w:r>
            <w:r w:rsidR="006048E5">
              <w:rPr>
                <w:rFonts w:asciiTheme="majorHAnsi" w:hAnsiTheme="majorHAnsi" w:cstheme="majorHAnsi"/>
                <w:sz w:val="16"/>
                <w:szCs w:val="16"/>
              </w:rPr>
              <w:t>1</w:t>
            </w:r>
            <w:r w:rsidR="006048E5" w:rsidRPr="00D34DE3">
              <w:rPr>
                <w:rFonts w:asciiTheme="majorHAnsi" w:hAnsiTheme="majorHAnsi" w:cstheme="majorHAnsi"/>
                <w:sz w:val="16"/>
                <w:szCs w:val="16"/>
              </w:rPr>
              <w:t xml:space="preserve"> </w:t>
            </w:r>
            <w:r w:rsidRPr="00D34DE3">
              <w:rPr>
                <w:rFonts w:asciiTheme="majorHAnsi" w:hAnsiTheme="majorHAnsi" w:cstheme="majorHAnsi"/>
                <w:sz w:val="16"/>
                <w:szCs w:val="16"/>
              </w:rPr>
              <w:t>weights</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Appendix K</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Definition of Tier 2 list of non-admitted services classifications v4.</w:t>
            </w:r>
            <w:r w:rsidR="006048E5">
              <w:rPr>
                <w:rFonts w:asciiTheme="majorHAnsi" w:hAnsiTheme="majorHAnsi" w:cstheme="majorHAnsi"/>
                <w:sz w:val="16"/>
                <w:szCs w:val="16"/>
              </w:rPr>
              <w:t>1</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Glossary</w:t>
            </w:r>
          </w:p>
        </w:tc>
      </w:tr>
      <w:tr w:rsidR="00782725" w:rsidRPr="00D34DE3" w:rsidTr="00EA0636">
        <w:trPr>
          <w:jc w:val="center"/>
        </w:trPr>
        <w:tc>
          <w:tcPr>
            <w:tcW w:w="7073" w:type="dxa"/>
            <w:vAlign w:val="center"/>
          </w:tcPr>
          <w:p w:rsidR="00782725" w:rsidRPr="00D34DE3" w:rsidRDefault="00782725" w:rsidP="00DE2083">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b/>
                <w:i/>
                <w:sz w:val="16"/>
                <w:szCs w:val="16"/>
              </w:rPr>
              <w:t xml:space="preserve">Subacute and non-acute services - </w:t>
            </w:r>
            <w:r w:rsidR="009070AB" w:rsidRPr="00D34DE3">
              <w:rPr>
                <w:rFonts w:asciiTheme="majorHAnsi" w:hAnsiTheme="majorHAnsi" w:cstheme="majorHAnsi"/>
                <w:b/>
                <w:i/>
                <w:sz w:val="16"/>
                <w:szCs w:val="16"/>
              </w:rPr>
              <w:t>NEP</w:t>
            </w:r>
            <w:r w:rsidR="009070AB">
              <w:rPr>
                <w:rFonts w:asciiTheme="majorHAnsi" w:hAnsiTheme="majorHAnsi" w:cstheme="majorHAnsi"/>
                <w:b/>
                <w:i/>
                <w:sz w:val="16"/>
                <w:szCs w:val="16"/>
              </w:rPr>
              <w:t>16</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p>
        </w:tc>
      </w:tr>
      <w:tr w:rsidR="00782725" w:rsidRPr="00D34DE3" w:rsidTr="00EA0636">
        <w:trPr>
          <w:jc w:val="center"/>
        </w:trPr>
        <w:tc>
          <w:tcPr>
            <w:tcW w:w="7073" w:type="dxa"/>
            <w:vAlign w:val="center"/>
          </w:tcPr>
          <w:p w:rsidR="00782725" w:rsidRPr="00D34DE3" w:rsidRDefault="00782725" w:rsidP="009070AB">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AN-SNAP v</w:t>
            </w:r>
            <w:r w:rsidR="009070AB">
              <w:rPr>
                <w:rFonts w:asciiTheme="majorHAnsi" w:hAnsiTheme="majorHAnsi" w:cstheme="majorHAnsi"/>
                <w:sz w:val="16"/>
                <w:szCs w:val="16"/>
              </w:rPr>
              <w:t>4</w:t>
            </w:r>
            <w:r w:rsidRPr="00D34DE3">
              <w:rPr>
                <w:rFonts w:asciiTheme="majorHAnsi" w:hAnsiTheme="majorHAnsi" w:cstheme="majorHAnsi"/>
                <w:sz w:val="16"/>
                <w:szCs w:val="16"/>
              </w:rPr>
              <w:t xml:space="preserve"> weights</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Appendix I</w:t>
            </w: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Paediatric per diem price weights</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Appendix J</w:t>
            </w:r>
          </w:p>
        </w:tc>
      </w:tr>
      <w:tr w:rsidR="00782725" w:rsidRPr="00D34DE3" w:rsidTr="00E4094C">
        <w:trPr>
          <w:jc w:val="center"/>
        </w:trPr>
        <w:tc>
          <w:tcPr>
            <w:tcW w:w="7073" w:type="dxa"/>
            <w:vAlign w:val="center"/>
          </w:tcPr>
          <w:p w:rsidR="00782725" w:rsidRPr="00D34DE3" w:rsidRDefault="00782725" w:rsidP="00DE2083">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Definitions of AN-SNAP v</w:t>
            </w:r>
            <w:r w:rsidR="009070AB">
              <w:rPr>
                <w:rFonts w:asciiTheme="majorHAnsi" w:hAnsiTheme="majorHAnsi" w:cstheme="majorHAnsi"/>
                <w:sz w:val="16"/>
                <w:szCs w:val="16"/>
              </w:rPr>
              <w:t>4</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Glossary</w:t>
            </w:r>
          </w:p>
        </w:tc>
      </w:tr>
      <w:tr w:rsidR="00782725" w:rsidRPr="00D34DE3" w:rsidTr="00E4094C">
        <w:trPr>
          <w:jc w:val="center"/>
        </w:trPr>
        <w:tc>
          <w:tcPr>
            <w:tcW w:w="7073" w:type="dxa"/>
            <w:shd w:val="clear" w:color="auto" w:fill="auto"/>
            <w:vAlign w:val="center"/>
          </w:tcPr>
          <w:p w:rsidR="00782725" w:rsidRPr="00225003" w:rsidRDefault="00782725" w:rsidP="00DE2083">
            <w:pPr>
              <w:tabs>
                <w:tab w:val="left" w:pos="1162"/>
              </w:tabs>
              <w:spacing w:before="60" w:afterLines="60" w:after="144"/>
              <w:rPr>
                <w:rFonts w:asciiTheme="majorHAnsi" w:hAnsiTheme="majorHAnsi" w:cstheme="majorHAnsi"/>
                <w:sz w:val="16"/>
                <w:szCs w:val="16"/>
              </w:rPr>
            </w:pPr>
            <w:r w:rsidRPr="00225003">
              <w:rPr>
                <w:rFonts w:asciiTheme="majorHAnsi" w:hAnsiTheme="majorHAnsi" w:cstheme="majorHAnsi"/>
                <w:b/>
                <w:i/>
                <w:sz w:val="16"/>
                <w:szCs w:val="16"/>
              </w:rPr>
              <w:t xml:space="preserve">Mental health services - </w:t>
            </w:r>
            <w:r w:rsidR="009070AB" w:rsidRPr="00225003">
              <w:rPr>
                <w:rFonts w:asciiTheme="majorHAnsi" w:hAnsiTheme="majorHAnsi" w:cstheme="majorHAnsi"/>
                <w:b/>
                <w:i/>
                <w:sz w:val="16"/>
                <w:szCs w:val="16"/>
              </w:rPr>
              <w:t>NEP</w:t>
            </w:r>
            <w:r w:rsidR="009070AB">
              <w:rPr>
                <w:rFonts w:asciiTheme="majorHAnsi" w:hAnsiTheme="majorHAnsi" w:cstheme="majorHAnsi"/>
                <w:b/>
                <w:i/>
                <w:sz w:val="16"/>
                <w:szCs w:val="16"/>
              </w:rPr>
              <w:t>16</w:t>
            </w:r>
          </w:p>
        </w:tc>
        <w:tc>
          <w:tcPr>
            <w:tcW w:w="2337" w:type="dxa"/>
            <w:shd w:val="clear" w:color="auto" w:fill="auto"/>
            <w:vAlign w:val="center"/>
          </w:tcPr>
          <w:p w:rsidR="00782725" w:rsidRPr="00F414F9" w:rsidRDefault="00782725" w:rsidP="00EA0636"/>
        </w:tc>
      </w:tr>
      <w:tr w:rsidR="00782725" w:rsidRPr="00D34DE3" w:rsidTr="00EA0636">
        <w:trPr>
          <w:jc w:val="center"/>
        </w:trPr>
        <w:tc>
          <w:tcPr>
            <w:tcW w:w="7073" w:type="dxa"/>
            <w:shd w:val="clear" w:color="auto" w:fill="auto"/>
            <w:vAlign w:val="center"/>
          </w:tcPr>
          <w:p w:rsidR="00782725" w:rsidRPr="00225003" w:rsidRDefault="00782725" w:rsidP="00EA0636">
            <w:pPr>
              <w:tabs>
                <w:tab w:val="left" w:pos="1162"/>
              </w:tabs>
              <w:spacing w:before="60" w:afterLines="60" w:after="144"/>
              <w:rPr>
                <w:rFonts w:asciiTheme="majorHAnsi" w:hAnsiTheme="majorHAnsi" w:cstheme="majorHAnsi"/>
                <w:sz w:val="16"/>
                <w:szCs w:val="16"/>
              </w:rPr>
            </w:pPr>
            <w:r w:rsidRPr="00225003">
              <w:rPr>
                <w:rFonts w:asciiTheme="majorHAnsi" w:hAnsiTheme="majorHAnsi" w:cstheme="majorHAnsi"/>
                <w:sz w:val="16"/>
                <w:szCs w:val="16"/>
              </w:rPr>
              <w:t>AR-DRG-based inlier bounds, NWAU and adjustment weights</w:t>
            </w:r>
          </w:p>
        </w:tc>
        <w:tc>
          <w:tcPr>
            <w:tcW w:w="2337" w:type="dxa"/>
            <w:shd w:val="clear" w:color="auto" w:fill="auto"/>
            <w:vAlign w:val="center"/>
          </w:tcPr>
          <w:p w:rsidR="00782725" w:rsidRPr="00225003" w:rsidRDefault="00B474C8" w:rsidP="00EA0636">
            <w:pPr>
              <w:tabs>
                <w:tab w:val="left" w:pos="1162"/>
              </w:tabs>
              <w:spacing w:before="60" w:afterLines="60" w:after="144"/>
              <w:jc w:val="center"/>
              <w:rPr>
                <w:rFonts w:asciiTheme="majorHAnsi" w:hAnsiTheme="majorHAnsi" w:cstheme="majorHAnsi"/>
                <w:sz w:val="16"/>
                <w:szCs w:val="16"/>
              </w:rPr>
            </w:pPr>
            <w:r>
              <w:rPr>
                <w:rFonts w:asciiTheme="majorHAnsi" w:hAnsiTheme="majorHAnsi" w:cstheme="majorHAnsi"/>
                <w:sz w:val="16"/>
                <w:szCs w:val="16"/>
              </w:rPr>
              <w:t>Appendix H</w:t>
            </w:r>
          </w:p>
        </w:tc>
      </w:tr>
      <w:tr w:rsidR="00782725" w:rsidRPr="00D34DE3" w:rsidTr="00E4094C">
        <w:trPr>
          <w:jc w:val="center"/>
        </w:trPr>
        <w:tc>
          <w:tcPr>
            <w:tcW w:w="7073" w:type="dxa"/>
            <w:tcBorders>
              <w:bottom w:val="single" w:sz="4" w:space="0" w:color="auto"/>
            </w:tcBorders>
            <w:shd w:val="clear" w:color="auto" w:fill="auto"/>
            <w:vAlign w:val="center"/>
          </w:tcPr>
          <w:p w:rsidR="00782725" w:rsidRPr="00225003" w:rsidRDefault="00B474C8" w:rsidP="00B474C8">
            <w:pPr>
              <w:tabs>
                <w:tab w:val="left" w:pos="1162"/>
              </w:tabs>
              <w:spacing w:before="60" w:afterLines="60" w:after="144"/>
              <w:rPr>
                <w:rFonts w:asciiTheme="majorHAnsi" w:hAnsiTheme="majorHAnsi" w:cstheme="majorHAnsi"/>
                <w:sz w:val="16"/>
                <w:szCs w:val="16"/>
              </w:rPr>
            </w:pPr>
            <w:r>
              <w:rPr>
                <w:rFonts w:asciiTheme="majorHAnsi" w:hAnsiTheme="majorHAnsi" w:cstheme="majorHAnsi"/>
                <w:sz w:val="16"/>
                <w:szCs w:val="16"/>
              </w:rPr>
              <w:t>M</w:t>
            </w:r>
            <w:r w:rsidR="00782725" w:rsidRPr="00225003">
              <w:rPr>
                <w:rFonts w:asciiTheme="majorHAnsi" w:hAnsiTheme="majorHAnsi" w:cstheme="majorHAnsi"/>
                <w:sz w:val="16"/>
                <w:szCs w:val="16"/>
              </w:rPr>
              <w:t xml:space="preserve">ental health </w:t>
            </w:r>
            <w:r>
              <w:rPr>
                <w:rFonts w:asciiTheme="majorHAnsi" w:hAnsiTheme="majorHAnsi" w:cstheme="majorHAnsi"/>
                <w:sz w:val="16"/>
                <w:szCs w:val="16"/>
              </w:rPr>
              <w:t>age adjustments</w:t>
            </w:r>
          </w:p>
        </w:tc>
        <w:tc>
          <w:tcPr>
            <w:tcW w:w="2337" w:type="dxa"/>
            <w:tcBorders>
              <w:bottom w:val="single" w:sz="4" w:space="0" w:color="auto"/>
            </w:tcBorders>
            <w:shd w:val="clear" w:color="auto" w:fill="auto"/>
            <w:vAlign w:val="center"/>
          </w:tcPr>
          <w:p w:rsidR="00782725" w:rsidRPr="00225003" w:rsidRDefault="00782725" w:rsidP="00EA0636">
            <w:pPr>
              <w:tabs>
                <w:tab w:val="left" w:pos="1162"/>
              </w:tabs>
              <w:spacing w:before="60" w:afterLines="60" w:after="144"/>
              <w:jc w:val="center"/>
              <w:rPr>
                <w:rFonts w:asciiTheme="majorHAnsi" w:hAnsiTheme="majorHAnsi" w:cstheme="majorHAnsi"/>
                <w:sz w:val="16"/>
                <w:szCs w:val="16"/>
              </w:rPr>
            </w:pPr>
            <w:r w:rsidRPr="00225003">
              <w:rPr>
                <w:rFonts w:asciiTheme="majorHAnsi" w:hAnsiTheme="majorHAnsi" w:cstheme="majorHAnsi"/>
                <w:sz w:val="16"/>
                <w:szCs w:val="16"/>
              </w:rPr>
              <w:t>Chapter 5</w:t>
            </w:r>
          </w:p>
        </w:tc>
      </w:tr>
      <w:tr w:rsidR="00E4094C" w:rsidRPr="00D34DE3" w:rsidTr="00E4094C">
        <w:trPr>
          <w:jc w:val="center"/>
        </w:trPr>
        <w:tc>
          <w:tcPr>
            <w:tcW w:w="7073" w:type="dxa"/>
            <w:tcBorders>
              <w:right w:val="nil"/>
            </w:tcBorders>
            <w:vAlign w:val="center"/>
          </w:tcPr>
          <w:p w:rsidR="00E4094C" w:rsidRPr="00D34DE3" w:rsidRDefault="00E4094C" w:rsidP="00DE2083">
            <w:pPr>
              <w:tabs>
                <w:tab w:val="left" w:pos="1162"/>
              </w:tabs>
              <w:spacing w:before="60" w:afterLines="60" w:after="144"/>
              <w:rPr>
                <w:rFonts w:asciiTheme="majorHAnsi" w:hAnsiTheme="majorHAnsi" w:cstheme="majorHAnsi"/>
                <w:b/>
                <w:sz w:val="16"/>
                <w:szCs w:val="16"/>
                <w:highlight w:val="yellow"/>
              </w:rPr>
            </w:pPr>
            <w:r w:rsidRPr="00D34DE3">
              <w:rPr>
                <w:rFonts w:asciiTheme="majorHAnsi" w:hAnsiTheme="majorHAnsi" w:cstheme="majorHAnsi"/>
                <w:b/>
                <w:i/>
                <w:sz w:val="16"/>
                <w:szCs w:val="16"/>
              </w:rPr>
              <w:t xml:space="preserve">Block funded hospital services - </w:t>
            </w:r>
            <w:r w:rsidR="009070AB" w:rsidRPr="00D34DE3">
              <w:rPr>
                <w:rFonts w:asciiTheme="majorHAnsi" w:hAnsiTheme="majorHAnsi" w:cstheme="majorHAnsi"/>
                <w:b/>
                <w:i/>
                <w:sz w:val="16"/>
                <w:szCs w:val="16"/>
              </w:rPr>
              <w:t>NEC</w:t>
            </w:r>
            <w:r w:rsidR="009070AB">
              <w:rPr>
                <w:rFonts w:asciiTheme="majorHAnsi" w:hAnsiTheme="majorHAnsi" w:cstheme="majorHAnsi"/>
                <w:b/>
                <w:i/>
                <w:sz w:val="16"/>
                <w:szCs w:val="16"/>
              </w:rPr>
              <w:t>16</w:t>
            </w:r>
          </w:p>
        </w:tc>
        <w:tc>
          <w:tcPr>
            <w:tcW w:w="2337" w:type="dxa"/>
            <w:tcBorders>
              <w:left w:val="nil"/>
            </w:tcBorders>
            <w:vAlign w:val="center"/>
          </w:tcPr>
          <w:p w:rsidR="00E4094C" w:rsidRPr="00F414F9" w:rsidRDefault="00E4094C" w:rsidP="00EA0636">
            <w:pPr>
              <w:rPr>
                <w:highlight w:val="yellow"/>
              </w:rPr>
            </w:pPr>
          </w:p>
        </w:tc>
      </w:tr>
      <w:tr w:rsidR="00782725" w:rsidRPr="00D34DE3" w:rsidTr="00EA0636">
        <w:trPr>
          <w:jc w:val="center"/>
        </w:trPr>
        <w:tc>
          <w:tcPr>
            <w:tcW w:w="7073" w:type="dxa"/>
            <w:vAlign w:val="center"/>
          </w:tcPr>
          <w:p w:rsidR="00782725" w:rsidRPr="00D34DE3" w:rsidRDefault="00782725" w:rsidP="00EA0636">
            <w:pPr>
              <w:tabs>
                <w:tab w:val="left" w:pos="1162"/>
              </w:tabs>
              <w:spacing w:before="60" w:afterLines="60" w:after="144"/>
              <w:rPr>
                <w:rFonts w:asciiTheme="majorHAnsi" w:hAnsiTheme="majorHAnsi" w:cstheme="majorHAnsi"/>
                <w:sz w:val="16"/>
                <w:szCs w:val="16"/>
              </w:rPr>
            </w:pPr>
            <w:r w:rsidRPr="00D34DE3">
              <w:rPr>
                <w:rFonts w:asciiTheme="majorHAnsi" w:hAnsiTheme="majorHAnsi" w:cstheme="majorHAnsi"/>
                <w:sz w:val="16"/>
                <w:szCs w:val="16"/>
              </w:rPr>
              <w:t>NEC weights, Efficient costs for each block funded hospital</w:t>
            </w:r>
          </w:p>
        </w:tc>
        <w:tc>
          <w:tcPr>
            <w:tcW w:w="2337" w:type="dxa"/>
            <w:vAlign w:val="center"/>
          </w:tcPr>
          <w:p w:rsidR="00782725" w:rsidRPr="00D34DE3" w:rsidRDefault="00782725" w:rsidP="00EA0636">
            <w:pPr>
              <w:tabs>
                <w:tab w:val="left" w:pos="1162"/>
              </w:tabs>
              <w:spacing w:before="60" w:afterLines="60" w:after="144"/>
              <w:jc w:val="center"/>
              <w:rPr>
                <w:rFonts w:asciiTheme="majorHAnsi" w:hAnsiTheme="majorHAnsi" w:cstheme="majorHAnsi"/>
                <w:sz w:val="16"/>
                <w:szCs w:val="16"/>
                <w:highlight w:val="yellow"/>
              </w:rPr>
            </w:pPr>
            <w:r w:rsidRPr="00D34DE3">
              <w:rPr>
                <w:rFonts w:asciiTheme="majorHAnsi" w:hAnsiTheme="majorHAnsi" w:cstheme="majorHAnsi"/>
                <w:sz w:val="16"/>
                <w:szCs w:val="16"/>
              </w:rPr>
              <w:t>Chapter 3</w:t>
            </w:r>
          </w:p>
        </w:tc>
      </w:tr>
    </w:tbl>
    <w:p w:rsidR="00460371" w:rsidRPr="00E27673" w:rsidRDefault="00460371" w:rsidP="00AD4FFC">
      <w:pPr>
        <w:pStyle w:val="Caption"/>
        <w:tabs>
          <w:tab w:val="left" w:pos="1162"/>
        </w:tabs>
        <w:spacing w:after="0"/>
        <w:jc w:val="center"/>
        <w:rPr>
          <w:rFonts w:cs="Arial"/>
          <w:color w:val="000000"/>
          <w:sz w:val="16"/>
          <w:szCs w:val="16"/>
        </w:rPr>
      </w:pPr>
    </w:p>
    <w:p w:rsidR="00D34DE3" w:rsidRDefault="00D34DE3" w:rsidP="00AD4FFC">
      <w:pPr>
        <w:rPr>
          <w:rFonts w:ascii="Arial" w:eastAsia="Times New Roman" w:hAnsi="Arial" w:cstheme="minorHAnsi"/>
          <w:b/>
          <w:color w:val="000000"/>
          <w:sz w:val="20"/>
          <w:szCs w:val="20"/>
          <w:lang w:eastAsia="en-AU"/>
        </w:rPr>
      </w:pPr>
      <w:bookmarkStart w:id="8" w:name="_Ref342307722"/>
      <w:bookmarkStart w:id="9" w:name="_Ref373836219"/>
      <w:bookmarkStart w:id="10" w:name="_Ref373836214"/>
      <w:r>
        <w:br w:type="page"/>
      </w:r>
    </w:p>
    <w:p w:rsidR="00460371" w:rsidRDefault="00460371">
      <w:pPr>
        <w:pStyle w:val="table"/>
      </w:pPr>
      <w:r>
        <w:t xml:space="preserve">Table </w:t>
      </w:r>
      <w:r w:rsidR="00FE788C">
        <w:fldChar w:fldCharType="begin"/>
      </w:r>
      <w:r w:rsidR="00FE788C">
        <w:instrText xml:space="preserve"> SEQ Table \* ARABIC </w:instrText>
      </w:r>
      <w:r w:rsidR="00FE788C">
        <w:fldChar w:fldCharType="separate"/>
      </w:r>
      <w:r w:rsidR="0027530C">
        <w:rPr>
          <w:noProof/>
        </w:rPr>
        <w:t>2</w:t>
      </w:r>
      <w:r w:rsidR="00FE788C">
        <w:rPr>
          <w:noProof/>
        </w:rPr>
        <w:fldChar w:fldCharType="end"/>
      </w:r>
      <w:bookmarkEnd w:id="8"/>
      <w:bookmarkEnd w:id="9"/>
      <w:r>
        <w:t>: Summary of classification systems and sources of cost</w:t>
      </w:r>
      <w:bookmarkEnd w:id="10"/>
    </w:p>
    <w:tbl>
      <w:tblPr>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Description w:val="A summary of table 2 is outlined in the text prior to this table. The table consists of four column headings: column one is for service stream, column two is for classification, column three is for cost data, and column four is for activity data. The five rows relate to each individual service stream, Acute admitted care, Emergency Department care, Non-admitted care, Subacute and non-acute care, and Block funded services. "/>
      </w:tblPr>
      <w:tblGrid>
        <w:gridCol w:w="1604"/>
        <w:gridCol w:w="2642"/>
        <w:gridCol w:w="2786"/>
        <w:gridCol w:w="2211"/>
      </w:tblGrid>
      <w:tr w:rsidR="00460371" w:rsidRPr="00B7560D" w:rsidTr="002049EC">
        <w:trPr>
          <w:cantSplit/>
          <w:tblHeader/>
        </w:trPr>
        <w:tc>
          <w:tcPr>
            <w:tcW w:w="868" w:type="pct"/>
            <w:shd w:val="clear" w:color="auto" w:fill="BFBFBF" w:themeFill="background1" w:themeFillShade="BF"/>
            <w:vAlign w:val="center"/>
          </w:tcPr>
          <w:p w:rsidR="00460371" w:rsidRPr="00CC72A4" w:rsidRDefault="00460371" w:rsidP="00AD4FFC">
            <w:pPr>
              <w:tabs>
                <w:tab w:val="left" w:pos="1162"/>
              </w:tabs>
              <w:spacing w:before="80" w:after="80"/>
              <w:rPr>
                <w:rFonts w:cs="Arial"/>
                <w:b/>
                <w:sz w:val="16"/>
                <w:szCs w:val="16"/>
              </w:rPr>
            </w:pPr>
            <w:r w:rsidRPr="00CC72A4">
              <w:rPr>
                <w:rFonts w:cs="Arial"/>
                <w:b/>
                <w:sz w:val="16"/>
                <w:szCs w:val="16"/>
              </w:rPr>
              <w:t>Service stream</w:t>
            </w:r>
          </w:p>
        </w:tc>
        <w:tc>
          <w:tcPr>
            <w:tcW w:w="1429" w:type="pct"/>
            <w:shd w:val="clear" w:color="auto" w:fill="BFBFBF" w:themeFill="background1" w:themeFillShade="BF"/>
            <w:vAlign w:val="center"/>
          </w:tcPr>
          <w:p w:rsidR="00460371" w:rsidRPr="00CC72A4" w:rsidRDefault="00460371" w:rsidP="00AD4FFC">
            <w:pPr>
              <w:tabs>
                <w:tab w:val="left" w:pos="1162"/>
              </w:tabs>
              <w:spacing w:before="80" w:after="80"/>
              <w:rPr>
                <w:rFonts w:cs="Arial"/>
                <w:b/>
                <w:sz w:val="16"/>
                <w:szCs w:val="16"/>
              </w:rPr>
            </w:pPr>
            <w:r w:rsidRPr="00CC72A4">
              <w:rPr>
                <w:rFonts w:cs="Arial"/>
                <w:b/>
                <w:sz w:val="16"/>
                <w:szCs w:val="16"/>
              </w:rPr>
              <w:t>Classification</w:t>
            </w:r>
            <w:r w:rsidRPr="00CC72A4">
              <w:rPr>
                <w:rStyle w:val="FootnoteReference"/>
                <w:rFonts w:cs="Arial"/>
                <w:b/>
                <w:sz w:val="16"/>
                <w:szCs w:val="16"/>
              </w:rPr>
              <w:footnoteReference w:id="2"/>
            </w:r>
          </w:p>
        </w:tc>
        <w:tc>
          <w:tcPr>
            <w:tcW w:w="1507" w:type="pct"/>
            <w:shd w:val="clear" w:color="auto" w:fill="BFBFBF" w:themeFill="background1" w:themeFillShade="BF"/>
            <w:vAlign w:val="center"/>
          </w:tcPr>
          <w:p w:rsidR="00460371" w:rsidRPr="00CC72A4" w:rsidRDefault="00460371" w:rsidP="00AD4FFC">
            <w:pPr>
              <w:tabs>
                <w:tab w:val="left" w:pos="1162"/>
              </w:tabs>
              <w:spacing w:before="80" w:after="80"/>
              <w:rPr>
                <w:rFonts w:cs="Arial"/>
                <w:b/>
                <w:sz w:val="16"/>
                <w:szCs w:val="16"/>
              </w:rPr>
            </w:pPr>
            <w:r w:rsidRPr="00CC72A4">
              <w:rPr>
                <w:rFonts w:cs="Arial"/>
                <w:b/>
                <w:sz w:val="16"/>
                <w:szCs w:val="16"/>
              </w:rPr>
              <w:t>Cost data</w:t>
            </w:r>
          </w:p>
        </w:tc>
        <w:tc>
          <w:tcPr>
            <w:tcW w:w="1196" w:type="pct"/>
            <w:shd w:val="clear" w:color="auto" w:fill="BFBFBF" w:themeFill="background1" w:themeFillShade="BF"/>
            <w:vAlign w:val="center"/>
          </w:tcPr>
          <w:p w:rsidR="00460371" w:rsidRPr="00CC72A4" w:rsidRDefault="00460371" w:rsidP="00AD4FFC">
            <w:pPr>
              <w:tabs>
                <w:tab w:val="left" w:pos="1162"/>
              </w:tabs>
              <w:spacing w:before="80" w:after="80"/>
              <w:rPr>
                <w:rFonts w:cs="Arial"/>
                <w:b/>
                <w:sz w:val="16"/>
                <w:szCs w:val="16"/>
              </w:rPr>
            </w:pPr>
            <w:r w:rsidRPr="00CC72A4">
              <w:rPr>
                <w:rFonts w:cs="Arial"/>
                <w:b/>
                <w:sz w:val="16"/>
                <w:szCs w:val="16"/>
              </w:rPr>
              <w:t>Activity data</w:t>
            </w:r>
          </w:p>
        </w:tc>
      </w:tr>
      <w:tr w:rsidR="00460371" w:rsidRPr="00B7560D" w:rsidTr="002049EC">
        <w:trPr>
          <w:cantSplit/>
        </w:trPr>
        <w:tc>
          <w:tcPr>
            <w:tcW w:w="868" w:type="pct"/>
          </w:tcPr>
          <w:p w:rsidR="00460371" w:rsidRPr="00B7560D" w:rsidRDefault="001C6800" w:rsidP="00AD4FFC">
            <w:pPr>
              <w:tabs>
                <w:tab w:val="left" w:pos="1162"/>
              </w:tabs>
              <w:spacing w:before="60" w:after="60"/>
              <w:rPr>
                <w:rFonts w:cs="Arial"/>
                <w:sz w:val="16"/>
                <w:szCs w:val="16"/>
              </w:rPr>
            </w:pPr>
            <w:r>
              <w:rPr>
                <w:rFonts w:cs="Arial"/>
                <w:sz w:val="16"/>
                <w:szCs w:val="16"/>
              </w:rPr>
              <w:t>Admitted acute</w:t>
            </w:r>
            <w:r w:rsidR="00460371" w:rsidRPr="00B7560D">
              <w:rPr>
                <w:rFonts w:cs="Arial"/>
                <w:sz w:val="16"/>
                <w:szCs w:val="16"/>
              </w:rPr>
              <w:t xml:space="preserve"> care</w:t>
            </w:r>
          </w:p>
        </w:tc>
        <w:tc>
          <w:tcPr>
            <w:tcW w:w="1429" w:type="pct"/>
          </w:tcPr>
          <w:p w:rsidR="00460371" w:rsidRPr="00B7560D" w:rsidRDefault="00460371" w:rsidP="009070AB">
            <w:pPr>
              <w:tabs>
                <w:tab w:val="left" w:pos="1162"/>
              </w:tabs>
              <w:spacing w:before="60" w:after="60"/>
              <w:rPr>
                <w:rFonts w:cs="Arial"/>
                <w:sz w:val="16"/>
                <w:szCs w:val="16"/>
              </w:rPr>
            </w:pPr>
            <w:r w:rsidRPr="00B7560D">
              <w:rPr>
                <w:rFonts w:cs="Arial"/>
                <w:sz w:val="16"/>
                <w:szCs w:val="16"/>
              </w:rPr>
              <w:t xml:space="preserve">Australian Refined Diagnosis Related Groups (AR-DRG) version </w:t>
            </w:r>
            <w:r w:rsidR="009070AB">
              <w:rPr>
                <w:rFonts w:cs="Arial"/>
                <w:sz w:val="16"/>
                <w:szCs w:val="16"/>
              </w:rPr>
              <w:t>8.0</w:t>
            </w:r>
            <w:r w:rsidR="00C006FF">
              <w:rPr>
                <w:rFonts w:cs="Arial"/>
                <w:sz w:val="16"/>
                <w:szCs w:val="16"/>
              </w:rPr>
              <w:t xml:space="preserve"> (v8)</w:t>
            </w:r>
          </w:p>
        </w:tc>
        <w:tc>
          <w:tcPr>
            <w:tcW w:w="1507" w:type="pct"/>
          </w:tcPr>
          <w:p w:rsidR="00460371" w:rsidRPr="00B7560D" w:rsidRDefault="00460371" w:rsidP="009070AB">
            <w:pPr>
              <w:tabs>
                <w:tab w:val="left" w:pos="1162"/>
              </w:tabs>
              <w:spacing w:before="60" w:after="60"/>
              <w:rPr>
                <w:rFonts w:cs="Arial"/>
                <w:color w:val="FFFFFF"/>
                <w:sz w:val="16"/>
                <w:szCs w:val="16"/>
                <w:lang w:val="en-US"/>
              </w:rPr>
            </w:pPr>
            <w:r w:rsidRPr="00B7560D">
              <w:rPr>
                <w:rFonts w:cs="Arial"/>
                <w:sz w:val="16"/>
                <w:szCs w:val="16"/>
              </w:rPr>
              <w:t xml:space="preserve">National Hospital Cost Data Collection (NHCDC) Round </w:t>
            </w:r>
            <w:r w:rsidR="009070AB">
              <w:rPr>
                <w:rFonts w:cs="Arial"/>
                <w:sz w:val="16"/>
                <w:szCs w:val="16"/>
              </w:rPr>
              <w:t>18</w:t>
            </w:r>
            <w:r w:rsidR="009070AB" w:rsidRPr="00B7560D">
              <w:rPr>
                <w:rFonts w:cs="Arial"/>
                <w:sz w:val="16"/>
                <w:szCs w:val="16"/>
              </w:rPr>
              <w:t xml:space="preserve"> </w:t>
            </w:r>
            <w:r w:rsidRPr="00B7560D">
              <w:rPr>
                <w:rFonts w:cs="Arial"/>
                <w:sz w:val="16"/>
                <w:szCs w:val="16"/>
              </w:rPr>
              <w:t>(</w:t>
            </w:r>
            <w:r w:rsidR="009070AB">
              <w:rPr>
                <w:rFonts w:cs="Arial"/>
                <w:sz w:val="16"/>
                <w:szCs w:val="16"/>
              </w:rPr>
              <w:t>2013-14</w:t>
            </w:r>
            <w:r w:rsidRPr="00B7560D">
              <w:rPr>
                <w:rFonts w:cs="Arial"/>
                <w:sz w:val="16"/>
                <w:szCs w:val="16"/>
              </w:rPr>
              <w:t>)</w:t>
            </w:r>
            <w:r>
              <w:rPr>
                <w:rFonts w:cs="Arial"/>
                <w:sz w:val="16"/>
                <w:szCs w:val="16"/>
              </w:rPr>
              <w:t>.</w:t>
            </w:r>
          </w:p>
        </w:tc>
        <w:tc>
          <w:tcPr>
            <w:tcW w:w="1196" w:type="pct"/>
          </w:tcPr>
          <w:p w:rsidR="00460371" w:rsidRPr="00B7560D" w:rsidRDefault="00460371" w:rsidP="00EB4E99">
            <w:pPr>
              <w:tabs>
                <w:tab w:val="left" w:pos="1162"/>
              </w:tabs>
              <w:spacing w:before="60" w:after="60"/>
              <w:rPr>
                <w:rFonts w:cs="Arial"/>
                <w:sz w:val="16"/>
                <w:szCs w:val="16"/>
              </w:rPr>
            </w:pPr>
            <w:r w:rsidRPr="00A932B7">
              <w:rPr>
                <w:rFonts w:cs="Arial"/>
                <w:sz w:val="16"/>
                <w:szCs w:val="16"/>
              </w:rPr>
              <w:t>Admitted Patient Care</w:t>
            </w:r>
            <w:r>
              <w:rPr>
                <w:rFonts w:cs="Arial"/>
                <w:sz w:val="16"/>
                <w:szCs w:val="16"/>
              </w:rPr>
              <w:t xml:space="preserve"> </w:t>
            </w:r>
            <w:r w:rsidR="008D4B5F">
              <w:rPr>
                <w:rFonts w:cs="Arial"/>
                <w:sz w:val="16"/>
                <w:szCs w:val="16"/>
              </w:rPr>
              <w:t xml:space="preserve">National Minimum Data Set (APC </w:t>
            </w:r>
            <w:r w:rsidR="00EB4E99">
              <w:rPr>
                <w:rFonts w:cs="Arial"/>
                <w:sz w:val="16"/>
                <w:szCs w:val="16"/>
              </w:rPr>
              <w:t>NMDS</w:t>
            </w:r>
            <w:r w:rsidR="008D4B5F">
              <w:rPr>
                <w:rFonts w:cs="Arial"/>
                <w:sz w:val="16"/>
                <w:szCs w:val="16"/>
              </w:rPr>
              <w:t>)</w:t>
            </w:r>
          </w:p>
        </w:tc>
      </w:tr>
      <w:tr w:rsidR="00460371" w:rsidRPr="00B7560D" w:rsidTr="002049EC">
        <w:trPr>
          <w:cantSplit/>
        </w:trPr>
        <w:tc>
          <w:tcPr>
            <w:tcW w:w="868" w:type="pct"/>
          </w:tcPr>
          <w:p w:rsidR="00460371" w:rsidRPr="00B7560D" w:rsidRDefault="00460371" w:rsidP="00AD4FFC">
            <w:pPr>
              <w:tabs>
                <w:tab w:val="left" w:pos="1162"/>
              </w:tabs>
              <w:spacing w:before="60" w:after="60"/>
              <w:rPr>
                <w:rFonts w:cs="Arial"/>
                <w:sz w:val="16"/>
                <w:szCs w:val="16"/>
              </w:rPr>
            </w:pPr>
            <w:r w:rsidRPr="00B7560D">
              <w:rPr>
                <w:rFonts w:cs="Arial"/>
                <w:sz w:val="16"/>
                <w:szCs w:val="16"/>
              </w:rPr>
              <w:t>Emergency department care</w:t>
            </w:r>
          </w:p>
        </w:tc>
        <w:tc>
          <w:tcPr>
            <w:tcW w:w="1429" w:type="pct"/>
          </w:tcPr>
          <w:p w:rsidR="00460371" w:rsidRDefault="00460371" w:rsidP="00AD4FFC">
            <w:pPr>
              <w:tabs>
                <w:tab w:val="left" w:pos="1162"/>
              </w:tabs>
              <w:spacing w:before="60" w:after="60"/>
              <w:rPr>
                <w:rFonts w:cs="Arial"/>
                <w:sz w:val="16"/>
                <w:szCs w:val="16"/>
              </w:rPr>
            </w:pPr>
            <w:r>
              <w:rPr>
                <w:rFonts w:cs="Arial"/>
                <w:sz w:val="16"/>
                <w:szCs w:val="16"/>
              </w:rPr>
              <w:t>Urgency Related Group (URG)</w:t>
            </w:r>
          </w:p>
          <w:p w:rsidR="00460371" w:rsidRPr="00B7560D" w:rsidRDefault="00460371" w:rsidP="00AD4FFC">
            <w:pPr>
              <w:tabs>
                <w:tab w:val="left" w:pos="1162"/>
              </w:tabs>
              <w:spacing w:before="60" w:after="60"/>
              <w:rPr>
                <w:rFonts w:cs="Arial"/>
                <w:sz w:val="16"/>
                <w:szCs w:val="16"/>
              </w:rPr>
            </w:pPr>
            <w:r w:rsidRPr="00B7560D">
              <w:rPr>
                <w:rFonts w:cs="Arial"/>
                <w:sz w:val="16"/>
                <w:szCs w:val="16"/>
              </w:rPr>
              <w:t>version 1.</w:t>
            </w:r>
            <w:r>
              <w:rPr>
                <w:rFonts w:cs="Arial"/>
                <w:sz w:val="16"/>
                <w:szCs w:val="16"/>
              </w:rPr>
              <w:t>4</w:t>
            </w:r>
          </w:p>
          <w:p w:rsidR="00460371" w:rsidRPr="00B7560D" w:rsidRDefault="00460371" w:rsidP="00AD4FFC">
            <w:pPr>
              <w:tabs>
                <w:tab w:val="left" w:pos="1162"/>
              </w:tabs>
              <w:spacing w:before="60" w:after="60"/>
              <w:rPr>
                <w:rFonts w:cs="Arial"/>
                <w:sz w:val="16"/>
                <w:szCs w:val="16"/>
              </w:rPr>
            </w:pPr>
            <w:r w:rsidRPr="00B7560D">
              <w:rPr>
                <w:rFonts w:cs="Arial"/>
                <w:sz w:val="16"/>
                <w:szCs w:val="16"/>
              </w:rPr>
              <w:t>Urgency Disposition Groups (UDG)</w:t>
            </w:r>
            <w:r>
              <w:rPr>
                <w:rFonts w:cs="Arial"/>
                <w:sz w:val="16"/>
                <w:szCs w:val="16"/>
              </w:rPr>
              <w:t xml:space="preserve"> version 1.3</w:t>
            </w:r>
          </w:p>
        </w:tc>
        <w:tc>
          <w:tcPr>
            <w:tcW w:w="1507" w:type="pct"/>
          </w:tcPr>
          <w:p w:rsidR="00460371" w:rsidRPr="00B7560D" w:rsidRDefault="00460371" w:rsidP="009070AB">
            <w:pPr>
              <w:tabs>
                <w:tab w:val="left" w:pos="1162"/>
              </w:tabs>
              <w:spacing w:before="60" w:after="60"/>
              <w:rPr>
                <w:rFonts w:cs="Arial"/>
                <w:sz w:val="16"/>
                <w:szCs w:val="16"/>
              </w:rPr>
            </w:pPr>
            <w:r w:rsidRPr="00B7560D">
              <w:rPr>
                <w:rFonts w:cs="Arial"/>
                <w:sz w:val="16"/>
                <w:szCs w:val="16"/>
              </w:rPr>
              <w:t xml:space="preserve">NHCDC Round </w:t>
            </w:r>
            <w:r w:rsidR="009070AB">
              <w:rPr>
                <w:rFonts w:cs="Arial"/>
                <w:sz w:val="16"/>
                <w:szCs w:val="16"/>
              </w:rPr>
              <w:t>18</w:t>
            </w:r>
            <w:r w:rsidR="009070AB" w:rsidRPr="00B7560D">
              <w:rPr>
                <w:rFonts w:cs="Arial"/>
                <w:sz w:val="16"/>
                <w:szCs w:val="16"/>
              </w:rPr>
              <w:t xml:space="preserve"> </w:t>
            </w:r>
            <w:r w:rsidRPr="00B7560D">
              <w:rPr>
                <w:rFonts w:cs="Arial"/>
                <w:sz w:val="16"/>
                <w:szCs w:val="16"/>
              </w:rPr>
              <w:t>(</w:t>
            </w:r>
            <w:r w:rsidR="009070AB">
              <w:rPr>
                <w:rFonts w:cs="Arial"/>
                <w:sz w:val="16"/>
                <w:szCs w:val="16"/>
              </w:rPr>
              <w:t>2013-14</w:t>
            </w:r>
            <w:r w:rsidRPr="00B7560D">
              <w:rPr>
                <w:rFonts w:cs="Arial"/>
                <w:sz w:val="16"/>
                <w:szCs w:val="16"/>
              </w:rPr>
              <w:t>)</w:t>
            </w:r>
          </w:p>
        </w:tc>
        <w:tc>
          <w:tcPr>
            <w:tcW w:w="1196" w:type="pct"/>
          </w:tcPr>
          <w:p w:rsidR="00460371" w:rsidRPr="00B7560D" w:rsidRDefault="00460371" w:rsidP="00AD4FFC">
            <w:pPr>
              <w:tabs>
                <w:tab w:val="left" w:pos="1162"/>
              </w:tabs>
              <w:spacing w:before="60" w:after="60"/>
              <w:rPr>
                <w:rFonts w:cs="Arial"/>
                <w:sz w:val="16"/>
                <w:szCs w:val="16"/>
              </w:rPr>
            </w:pPr>
            <w:r w:rsidRPr="00B7560D">
              <w:rPr>
                <w:rFonts w:cs="Arial"/>
                <w:i/>
                <w:sz w:val="16"/>
                <w:szCs w:val="16"/>
              </w:rPr>
              <w:t>Level 3B to 6 emergency departments</w:t>
            </w:r>
            <w:r w:rsidRPr="00B7560D">
              <w:rPr>
                <w:rFonts w:cs="Arial"/>
                <w:sz w:val="16"/>
                <w:szCs w:val="16"/>
              </w:rPr>
              <w:t xml:space="preserve">: </w:t>
            </w:r>
            <w:r w:rsidR="008D4B5F">
              <w:rPr>
                <w:rFonts w:cs="Arial"/>
                <w:sz w:val="16"/>
                <w:szCs w:val="16"/>
              </w:rPr>
              <w:t>Non-admitted P</w:t>
            </w:r>
            <w:r w:rsidR="00EB4E99">
              <w:rPr>
                <w:rFonts w:cs="Arial"/>
                <w:sz w:val="16"/>
                <w:szCs w:val="16"/>
              </w:rPr>
              <w:t xml:space="preserve">atient </w:t>
            </w:r>
            <w:r w:rsidR="008D4B5F">
              <w:rPr>
                <w:rFonts w:cs="Arial"/>
                <w:sz w:val="16"/>
                <w:szCs w:val="16"/>
              </w:rPr>
              <w:t>E</w:t>
            </w:r>
            <w:r w:rsidRPr="00A932B7">
              <w:rPr>
                <w:rFonts w:cs="Arial"/>
                <w:sz w:val="16"/>
                <w:szCs w:val="16"/>
              </w:rPr>
              <w:t xml:space="preserve">mergency </w:t>
            </w:r>
            <w:r w:rsidR="008D4B5F">
              <w:rPr>
                <w:rFonts w:cs="Arial"/>
                <w:sz w:val="16"/>
                <w:szCs w:val="16"/>
              </w:rPr>
              <w:t>D</w:t>
            </w:r>
            <w:r w:rsidRPr="00A932B7">
              <w:rPr>
                <w:rFonts w:cs="Arial"/>
                <w:sz w:val="16"/>
                <w:szCs w:val="16"/>
              </w:rPr>
              <w:t xml:space="preserve">epartment Care </w:t>
            </w:r>
            <w:r w:rsidR="00EB4E99">
              <w:rPr>
                <w:rFonts w:cs="Arial"/>
                <w:sz w:val="16"/>
                <w:szCs w:val="16"/>
              </w:rPr>
              <w:t>NMDS</w:t>
            </w:r>
            <w:r w:rsidR="008D4B5F">
              <w:rPr>
                <w:rFonts w:cs="Arial"/>
                <w:sz w:val="16"/>
                <w:szCs w:val="16"/>
              </w:rPr>
              <w:t xml:space="preserve"> (NAPEDC NMDS)</w:t>
            </w:r>
          </w:p>
          <w:p w:rsidR="00460371" w:rsidRPr="00B7560D" w:rsidRDefault="00460371" w:rsidP="00CC7AEF">
            <w:pPr>
              <w:tabs>
                <w:tab w:val="left" w:pos="1162"/>
              </w:tabs>
              <w:spacing w:before="60" w:after="60"/>
              <w:rPr>
                <w:rFonts w:cs="Arial"/>
                <w:sz w:val="16"/>
                <w:szCs w:val="16"/>
              </w:rPr>
            </w:pPr>
            <w:r w:rsidRPr="00B7560D">
              <w:rPr>
                <w:rFonts w:cs="Arial"/>
                <w:i/>
                <w:sz w:val="16"/>
                <w:szCs w:val="16"/>
              </w:rPr>
              <w:t>Level 1 to 3A emergency departments</w:t>
            </w:r>
            <w:r w:rsidRPr="00B7560D">
              <w:rPr>
                <w:rFonts w:cs="Arial"/>
                <w:sz w:val="16"/>
                <w:szCs w:val="16"/>
              </w:rPr>
              <w:t xml:space="preserve">: </w:t>
            </w:r>
            <w:r w:rsidRPr="00A932B7">
              <w:rPr>
                <w:rFonts w:cs="Arial"/>
                <w:sz w:val="16"/>
                <w:szCs w:val="16"/>
              </w:rPr>
              <w:t>Emergency Services ABF DSS</w:t>
            </w:r>
            <w:r w:rsidR="00CC7AEF">
              <w:rPr>
                <w:rFonts w:cs="Arial"/>
                <w:sz w:val="16"/>
                <w:szCs w:val="16"/>
              </w:rPr>
              <w:t xml:space="preserve"> (</w:t>
            </w:r>
            <w:r w:rsidR="008D4B5F">
              <w:rPr>
                <w:rFonts w:cs="Arial"/>
                <w:sz w:val="16"/>
                <w:szCs w:val="16"/>
              </w:rPr>
              <w:t>ABF</w:t>
            </w:r>
            <w:r w:rsidR="00CC7AEF">
              <w:rPr>
                <w:rFonts w:cs="Arial"/>
                <w:sz w:val="16"/>
                <w:szCs w:val="16"/>
              </w:rPr>
              <w:t xml:space="preserve"> ES</w:t>
            </w:r>
            <w:r w:rsidR="008D4B5F">
              <w:rPr>
                <w:rFonts w:cs="Arial"/>
                <w:sz w:val="16"/>
                <w:szCs w:val="16"/>
              </w:rPr>
              <w:t xml:space="preserve"> DSS)</w:t>
            </w:r>
          </w:p>
        </w:tc>
      </w:tr>
      <w:tr w:rsidR="00460371" w:rsidRPr="00B7560D" w:rsidTr="002049EC">
        <w:trPr>
          <w:cantSplit/>
        </w:trPr>
        <w:tc>
          <w:tcPr>
            <w:tcW w:w="868" w:type="pct"/>
          </w:tcPr>
          <w:p w:rsidR="00460371" w:rsidRPr="00B7560D" w:rsidRDefault="00460371" w:rsidP="00AD4FFC">
            <w:pPr>
              <w:tabs>
                <w:tab w:val="left" w:pos="1162"/>
              </w:tabs>
              <w:spacing w:before="60" w:after="60"/>
              <w:rPr>
                <w:rFonts w:cs="Arial"/>
                <w:sz w:val="16"/>
                <w:szCs w:val="16"/>
              </w:rPr>
            </w:pPr>
            <w:r w:rsidRPr="00B7560D">
              <w:rPr>
                <w:rFonts w:cs="Arial"/>
                <w:sz w:val="16"/>
                <w:szCs w:val="16"/>
              </w:rPr>
              <w:t xml:space="preserve">Non-admitted care </w:t>
            </w:r>
          </w:p>
        </w:tc>
        <w:tc>
          <w:tcPr>
            <w:tcW w:w="1429" w:type="pct"/>
          </w:tcPr>
          <w:p w:rsidR="00460371" w:rsidRPr="00B7560D" w:rsidRDefault="00460371" w:rsidP="00AD4FFC">
            <w:pPr>
              <w:tabs>
                <w:tab w:val="left" w:pos="1162"/>
              </w:tabs>
              <w:spacing w:before="60" w:after="60"/>
              <w:rPr>
                <w:rFonts w:cs="Arial"/>
                <w:sz w:val="16"/>
                <w:szCs w:val="16"/>
              </w:rPr>
            </w:pPr>
            <w:r w:rsidRPr="00B7560D">
              <w:rPr>
                <w:rFonts w:cs="Arial"/>
                <w:sz w:val="16"/>
                <w:szCs w:val="16"/>
              </w:rPr>
              <w:t xml:space="preserve">Tier 2 Outpatient Clinic Definitions </w:t>
            </w:r>
            <w:r>
              <w:rPr>
                <w:rFonts w:cs="Arial"/>
                <w:sz w:val="16"/>
                <w:szCs w:val="16"/>
              </w:rPr>
              <w:t>version </w:t>
            </w:r>
            <w:r w:rsidR="00AF3225">
              <w:rPr>
                <w:rFonts w:cs="Arial"/>
                <w:sz w:val="16"/>
                <w:szCs w:val="16"/>
              </w:rPr>
              <w:t>4</w:t>
            </w:r>
            <w:r>
              <w:rPr>
                <w:rFonts w:cs="Arial"/>
                <w:sz w:val="16"/>
                <w:szCs w:val="16"/>
              </w:rPr>
              <w:t>.</w:t>
            </w:r>
            <w:r w:rsidR="006048E5">
              <w:rPr>
                <w:rFonts w:cs="Arial"/>
                <w:sz w:val="16"/>
                <w:szCs w:val="16"/>
              </w:rPr>
              <w:t>1</w:t>
            </w:r>
          </w:p>
        </w:tc>
        <w:tc>
          <w:tcPr>
            <w:tcW w:w="1507" w:type="pct"/>
          </w:tcPr>
          <w:p w:rsidR="00460371" w:rsidRPr="00B7560D" w:rsidRDefault="00460371" w:rsidP="009070AB">
            <w:pPr>
              <w:tabs>
                <w:tab w:val="left" w:pos="1162"/>
              </w:tabs>
              <w:spacing w:before="60" w:after="60"/>
              <w:rPr>
                <w:rFonts w:cs="Arial"/>
                <w:sz w:val="16"/>
                <w:szCs w:val="16"/>
                <w:highlight w:val="yellow"/>
              </w:rPr>
            </w:pPr>
            <w:r w:rsidRPr="00B7560D">
              <w:rPr>
                <w:rFonts w:cs="Arial"/>
                <w:sz w:val="16"/>
                <w:szCs w:val="16"/>
              </w:rPr>
              <w:t xml:space="preserve">NHCDC Round </w:t>
            </w:r>
            <w:r w:rsidR="009070AB">
              <w:rPr>
                <w:rFonts w:cs="Arial"/>
                <w:sz w:val="16"/>
                <w:szCs w:val="16"/>
              </w:rPr>
              <w:t xml:space="preserve">18 </w:t>
            </w:r>
            <w:r>
              <w:rPr>
                <w:rFonts w:cs="Arial"/>
                <w:sz w:val="16"/>
                <w:szCs w:val="16"/>
              </w:rPr>
              <w:t>(</w:t>
            </w:r>
            <w:r w:rsidR="009070AB">
              <w:rPr>
                <w:rFonts w:cs="Arial"/>
                <w:sz w:val="16"/>
                <w:szCs w:val="16"/>
              </w:rPr>
              <w:t>2013-14</w:t>
            </w:r>
            <w:r w:rsidRPr="00B7560D">
              <w:rPr>
                <w:rFonts w:cs="Arial"/>
                <w:sz w:val="16"/>
                <w:szCs w:val="16"/>
              </w:rPr>
              <w:t>)</w:t>
            </w:r>
          </w:p>
        </w:tc>
        <w:tc>
          <w:tcPr>
            <w:tcW w:w="1196" w:type="pct"/>
          </w:tcPr>
          <w:p w:rsidR="00460371" w:rsidRPr="00B7560D" w:rsidRDefault="00460371" w:rsidP="00AD4FFC">
            <w:pPr>
              <w:tabs>
                <w:tab w:val="left" w:pos="1162"/>
              </w:tabs>
              <w:spacing w:before="60" w:after="60"/>
              <w:rPr>
                <w:rFonts w:cs="Arial"/>
                <w:sz w:val="16"/>
                <w:szCs w:val="16"/>
                <w:highlight w:val="yellow"/>
              </w:rPr>
            </w:pPr>
            <w:r w:rsidRPr="00B7560D">
              <w:rPr>
                <w:rFonts w:cs="Arial"/>
                <w:sz w:val="16"/>
                <w:szCs w:val="16"/>
              </w:rPr>
              <w:t>Non-</w:t>
            </w:r>
            <w:r w:rsidR="008D4B5F">
              <w:rPr>
                <w:rFonts w:cs="Arial"/>
                <w:sz w:val="16"/>
                <w:szCs w:val="16"/>
              </w:rPr>
              <w:t>A</w:t>
            </w:r>
            <w:r w:rsidRPr="00B7560D">
              <w:rPr>
                <w:rFonts w:cs="Arial"/>
                <w:sz w:val="16"/>
                <w:szCs w:val="16"/>
              </w:rPr>
              <w:t xml:space="preserve">dmitted Patient </w:t>
            </w:r>
            <w:r w:rsidR="00EB4E99">
              <w:rPr>
                <w:rFonts w:cs="Arial"/>
                <w:sz w:val="16"/>
                <w:szCs w:val="16"/>
              </w:rPr>
              <w:t>NMDS</w:t>
            </w:r>
            <w:r w:rsidRPr="00B7560D">
              <w:rPr>
                <w:rFonts w:cs="Arial"/>
                <w:sz w:val="16"/>
                <w:szCs w:val="16"/>
              </w:rPr>
              <w:t xml:space="preserve"> </w:t>
            </w:r>
            <w:r w:rsidR="00EB4E99">
              <w:rPr>
                <w:rFonts w:cs="Arial"/>
                <w:sz w:val="16"/>
                <w:szCs w:val="16"/>
              </w:rPr>
              <w:t xml:space="preserve">and aggregate </w:t>
            </w:r>
            <w:r w:rsidRPr="00B7560D">
              <w:rPr>
                <w:rFonts w:cs="Arial"/>
                <w:sz w:val="16"/>
                <w:szCs w:val="16"/>
              </w:rPr>
              <w:t>DSS</w:t>
            </w:r>
          </w:p>
        </w:tc>
      </w:tr>
      <w:tr w:rsidR="00460371" w:rsidRPr="00B7560D" w:rsidTr="002049EC">
        <w:trPr>
          <w:cantSplit/>
        </w:trPr>
        <w:tc>
          <w:tcPr>
            <w:tcW w:w="868" w:type="pct"/>
          </w:tcPr>
          <w:p w:rsidR="00460371" w:rsidRPr="00B7560D" w:rsidRDefault="00460371" w:rsidP="00AD4FFC">
            <w:pPr>
              <w:tabs>
                <w:tab w:val="left" w:pos="1162"/>
              </w:tabs>
              <w:spacing w:before="60" w:after="60"/>
              <w:rPr>
                <w:rFonts w:cs="Arial"/>
                <w:sz w:val="16"/>
                <w:szCs w:val="16"/>
              </w:rPr>
            </w:pPr>
            <w:r w:rsidRPr="00B7560D">
              <w:rPr>
                <w:rFonts w:cs="Arial"/>
                <w:sz w:val="16"/>
                <w:szCs w:val="16"/>
              </w:rPr>
              <w:t>Subacute care</w:t>
            </w:r>
          </w:p>
          <w:p w:rsidR="00460371" w:rsidRPr="00B7560D" w:rsidRDefault="00460371" w:rsidP="00AD4FFC">
            <w:pPr>
              <w:tabs>
                <w:tab w:val="left" w:pos="1162"/>
              </w:tabs>
              <w:spacing w:before="60" w:after="60"/>
              <w:rPr>
                <w:rFonts w:cs="Arial"/>
                <w:sz w:val="16"/>
                <w:szCs w:val="16"/>
              </w:rPr>
            </w:pPr>
            <w:r w:rsidRPr="00B7560D">
              <w:rPr>
                <w:rFonts w:cs="Arial"/>
                <w:sz w:val="16"/>
                <w:szCs w:val="16"/>
              </w:rPr>
              <w:t>(and non-acute)</w:t>
            </w:r>
          </w:p>
        </w:tc>
        <w:tc>
          <w:tcPr>
            <w:tcW w:w="1429" w:type="pct"/>
          </w:tcPr>
          <w:p w:rsidR="00460371" w:rsidRPr="00B7560D" w:rsidRDefault="00460371" w:rsidP="00AD4FFC">
            <w:pPr>
              <w:tabs>
                <w:tab w:val="left" w:pos="1162"/>
              </w:tabs>
              <w:spacing w:before="60" w:after="60"/>
              <w:rPr>
                <w:rFonts w:cs="Arial"/>
                <w:sz w:val="16"/>
                <w:szCs w:val="16"/>
              </w:rPr>
            </w:pPr>
            <w:r>
              <w:rPr>
                <w:rFonts w:cs="Arial"/>
                <w:sz w:val="16"/>
                <w:szCs w:val="16"/>
              </w:rPr>
              <w:t>AN-SNAP v</w:t>
            </w:r>
            <w:r w:rsidR="00C21650">
              <w:rPr>
                <w:rFonts w:cs="Arial"/>
                <w:sz w:val="16"/>
                <w:szCs w:val="16"/>
              </w:rPr>
              <w:t>4</w:t>
            </w:r>
          </w:p>
          <w:p w:rsidR="00460371" w:rsidRPr="00B7560D" w:rsidRDefault="00460371" w:rsidP="00AD4FFC">
            <w:pPr>
              <w:tabs>
                <w:tab w:val="left" w:pos="1162"/>
              </w:tabs>
              <w:spacing w:before="60" w:after="60"/>
              <w:rPr>
                <w:rFonts w:cs="Arial"/>
                <w:sz w:val="16"/>
                <w:szCs w:val="16"/>
              </w:rPr>
            </w:pPr>
            <w:r w:rsidRPr="00B7560D">
              <w:rPr>
                <w:rFonts w:cs="Arial"/>
                <w:sz w:val="16"/>
                <w:szCs w:val="16"/>
              </w:rPr>
              <w:t>Care type</w:t>
            </w:r>
          </w:p>
        </w:tc>
        <w:tc>
          <w:tcPr>
            <w:tcW w:w="1507" w:type="pct"/>
          </w:tcPr>
          <w:p w:rsidR="00460371" w:rsidRPr="00B7560D" w:rsidRDefault="00460371" w:rsidP="009070AB">
            <w:pPr>
              <w:tabs>
                <w:tab w:val="left" w:pos="1162"/>
              </w:tabs>
              <w:spacing w:before="60" w:after="60"/>
              <w:rPr>
                <w:rFonts w:cs="Arial"/>
                <w:sz w:val="16"/>
                <w:szCs w:val="16"/>
              </w:rPr>
            </w:pPr>
            <w:r w:rsidRPr="00B7560D">
              <w:rPr>
                <w:rFonts w:cs="Arial"/>
                <w:sz w:val="16"/>
                <w:szCs w:val="16"/>
              </w:rPr>
              <w:t xml:space="preserve">NHCDC Round </w:t>
            </w:r>
            <w:r w:rsidR="009070AB">
              <w:rPr>
                <w:rFonts w:cs="Arial"/>
                <w:sz w:val="16"/>
                <w:szCs w:val="16"/>
              </w:rPr>
              <w:t>18</w:t>
            </w:r>
            <w:r w:rsidR="009070AB" w:rsidRPr="00B7560D">
              <w:rPr>
                <w:rFonts w:cs="Arial"/>
                <w:sz w:val="16"/>
                <w:szCs w:val="16"/>
              </w:rPr>
              <w:t xml:space="preserve"> </w:t>
            </w:r>
            <w:r w:rsidRPr="00B7560D">
              <w:rPr>
                <w:rFonts w:cs="Arial"/>
                <w:sz w:val="16"/>
                <w:szCs w:val="16"/>
              </w:rPr>
              <w:t>(</w:t>
            </w:r>
            <w:r w:rsidR="009070AB">
              <w:rPr>
                <w:rFonts w:cs="Arial"/>
                <w:sz w:val="16"/>
                <w:szCs w:val="16"/>
              </w:rPr>
              <w:t>2013-14</w:t>
            </w:r>
            <w:r w:rsidRPr="00B7560D">
              <w:rPr>
                <w:rFonts w:cs="Arial"/>
                <w:sz w:val="16"/>
                <w:szCs w:val="16"/>
              </w:rPr>
              <w:t>)</w:t>
            </w:r>
          </w:p>
        </w:tc>
        <w:tc>
          <w:tcPr>
            <w:tcW w:w="1196" w:type="pct"/>
          </w:tcPr>
          <w:p w:rsidR="00460371" w:rsidRPr="00B7560D" w:rsidRDefault="003D54BE" w:rsidP="003D54BE">
            <w:pPr>
              <w:tabs>
                <w:tab w:val="left" w:pos="1162"/>
              </w:tabs>
              <w:spacing w:before="60" w:after="60"/>
              <w:rPr>
                <w:rFonts w:cs="Arial"/>
                <w:sz w:val="16"/>
                <w:szCs w:val="16"/>
              </w:rPr>
            </w:pPr>
            <w:r>
              <w:rPr>
                <w:rFonts w:cs="Arial"/>
                <w:sz w:val="16"/>
                <w:szCs w:val="16"/>
              </w:rPr>
              <w:t>APC</w:t>
            </w:r>
            <w:r w:rsidR="00460371">
              <w:rPr>
                <w:rFonts w:cs="Arial"/>
                <w:sz w:val="16"/>
                <w:szCs w:val="16"/>
              </w:rPr>
              <w:t xml:space="preserve"> </w:t>
            </w:r>
            <w:r w:rsidR="00EB4E99">
              <w:rPr>
                <w:rFonts w:cs="Arial"/>
                <w:sz w:val="16"/>
                <w:szCs w:val="16"/>
              </w:rPr>
              <w:t xml:space="preserve">NMDS </w:t>
            </w:r>
            <w:r w:rsidR="00460371">
              <w:rPr>
                <w:rFonts w:cs="Arial"/>
                <w:sz w:val="16"/>
                <w:szCs w:val="16"/>
              </w:rPr>
              <w:t xml:space="preserve">and </w:t>
            </w:r>
            <w:r w:rsidR="00460371" w:rsidRPr="00B25AB3">
              <w:rPr>
                <w:rFonts w:cs="Arial"/>
                <w:sz w:val="16"/>
                <w:szCs w:val="16"/>
              </w:rPr>
              <w:t xml:space="preserve">Admitted Subacute and Non acute </w:t>
            </w:r>
            <w:r>
              <w:rPr>
                <w:rFonts w:cs="Arial"/>
                <w:sz w:val="16"/>
                <w:szCs w:val="16"/>
              </w:rPr>
              <w:t xml:space="preserve">Hospital </w:t>
            </w:r>
            <w:r w:rsidR="00460371" w:rsidRPr="00B25AB3">
              <w:rPr>
                <w:rFonts w:cs="Arial"/>
                <w:sz w:val="16"/>
                <w:szCs w:val="16"/>
              </w:rPr>
              <w:t>Care DSS</w:t>
            </w:r>
            <w:r>
              <w:rPr>
                <w:rFonts w:cs="Arial"/>
                <w:sz w:val="16"/>
                <w:szCs w:val="16"/>
              </w:rPr>
              <w:t xml:space="preserve"> (ASNHC DSS)</w:t>
            </w:r>
          </w:p>
        </w:tc>
      </w:tr>
      <w:tr w:rsidR="00460371" w:rsidRPr="00B7560D" w:rsidTr="002049EC">
        <w:trPr>
          <w:cantSplit/>
        </w:trPr>
        <w:tc>
          <w:tcPr>
            <w:tcW w:w="868" w:type="pct"/>
          </w:tcPr>
          <w:p w:rsidR="00460371" w:rsidRPr="00B7560D" w:rsidRDefault="00460371" w:rsidP="00AD4FFC">
            <w:pPr>
              <w:tabs>
                <w:tab w:val="left" w:pos="1162"/>
              </w:tabs>
              <w:spacing w:before="60" w:after="60"/>
              <w:rPr>
                <w:rFonts w:cs="Arial"/>
                <w:sz w:val="16"/>
                <w:szCs w:val="16"/>
              </w:rPr>
            </w:pPr>
            <w:r>
              <w:rPr>
                <w:rFonts w:cs="Arial"/>
                <w:sz w:val="16"/>
                <w:szCs w:val="16"/>
              </w:rPr>
              <w:t>Block fund</w:t>
            </w:r>
            <w:r w:rsidRPr="00B7560D">
              <w:rPr>
                <w:rFonts w:cs="Arial"/>
                <w:sz w:val="16"/>
                <w:szCs w:val="16"/>
              </w:rPr>
              <w:t>ed services</w:t>
            </w:r>
          </w:p>
        </w:tc>
        <w:tc>
          <w:tcPr>
            <w:tcW w:w="1429" w:type="pct"/>
          </w:tcPr>
          <w:p w:rsidR="00460371" w:rsidRPr="00B7560D" w:rsidRDefault="00460371" w:rsidP="00AD4FFC">
            <w:pPr>
              <w:tabs>
                <w:tab w:val="left" w:pos="1162"/>
              </w:tabs>
              <w:spacing w:before="60" w:after="60"/>
              <w:rPr>
                <w:rFonts w:cs="Arial"/>
                <w:sz w:val="16"/>
                <w:szCs w:val="16"/>
              </w:rPr>
            </w:pPr>
            <w:r w:rsidRPr="00B7560D">
              <w:rPr>
                <w:rFonts w:cs="Arial"/>
                <w:sz w:val="16"/>
                <w:szCs w:val="16"/>
              </w:rPr>
              <w:t xml:space="preserve">IHPA-defined size and </w:t>
            </w:r>
            <w:r w:rsidRPr="009F1B31">
              <w:rPr>
                <w:rFonts w:cs="Arial"/>
                <w:sz w:val="16"/>
                <w:szCs w:val="16"/>
              </w:rPr>
              <w:t>Australian Statistical Geography Standards</w:t>
            </w:r>
            <w:r>
              <w:rPr>
                <w:rFonts w:cs="Arial"/>
                <w:sz w:val="16"/>
                <w:szCs w:val="16"/>
              </w:rPr>
              <w:t xml:space="preserve"> (</w:t>
            </w:r>
            <w:r w:rsidRPr="00B7560D">
              <w:rPr>
                <w:rFonts w:cs="Arial"/>
                <w:sz w:val="16"/>
                <w:szCs w:val="16"/>
              </w:rPr>
              <w:t>ASG</w:t>
            </w:r>
            <w:r>
              <w:rPr>
                <w:rFonts w:cs="Arial"/>
                <w:sz w:val="16"/>
                <w:szCs w:val="16"/>
              </w:rPr>
              <w:t>S)</w:t>
            </w:r>
            <w:r w:rsidRPr="00B7560D">
              <w:rPr>
                <w:rFonts w:cs="Arial"/>
                <w:sz w:val="16"/>
                <w:szCs w:val="16"/>
              </w:rPr>
              <w:t xml:space="preserve"> location categorisation on total NWAU for hospital</w:t>
            </w:r>
          </w:p>
        </w:tc>
        <w:tc>
          <w:tcPr>
            <w:tcW w:w="1507" w:type="pct"/>
          </w:tcPr>
          <w:p w:rsidR="00460371" w:rsidRPr="00B7560D" w:rsidRDefault="00460371" w:rsidP="00AD4FFC">
            <w:pPr>
              <w:tabs>
                <w:tab w:val="left" w:pos="1162"/>
              </w:tabs>
              <w:spacing w:before="60" w:after="60"/>
              <w:rPr>
                <w:rFonts w:cs="Arial"/>
                <w:sz w:val="16"/>
                <w:szCs w:val="16"/>
              </w:rPr>
            </w:pPr>
            <w:r>
              <w:rPr>
                <w:rFonts w:cs="Arial"/>
                <w:sz w:val="16"/>
                <w:szCs w:val="16"/>
              </w:rPr>
              <w:t>Expenditure data from the National Public Hospital Establishments Data base (</w:t>
            </w:r>
            <w:r w:rsidRPr="00B7560D">
              <w:rPr>
                <w:rFonts w:cs="Arial"/>
                <w:sz w:val="16"/>
                <w:szCs w:val="16"/>
              </w:rPr>
              <w:t>NPHED</w:t>
            </w:r>
            <w:r>
              <w:rPr>
                <w:rFonts w:cs="Arial"/>
                <w:sz w:val="16"/>
                <w:szCs w:val="16"/>
              </w:rPr>
              <w:t xml:space="preserve">) </w:t>
            </w:r>
            <w:r w:rsidRPr="00B7560D">
              <w:rPr>
                <w:rFonts w:cs="Arial"/>
                <w:sz w:val="16"/>
                <w:szCs w:val="16"/>
              </w:rPr>
              <w:t>(</w:t>
            </w:r>
            <w:r w:rsidR="009070AB">
              <w:rPr>
                <w:rFonts w:cs="Arial"/>
                <w:sz w:val="16"/>
                <w:szCs w:val="16"/>
              </w:rPr>
              <w:t>2013-14</w:t>
            </w:r>
            <w:r w:rsidRPr="00B7560D">
              <w:rPr>
                <w:rFonts w:cs="Arial"/>
                <w:sz w:val="16"/>
                <w:szCs w:val="16"/>
              </w:rPr>
              <w:t>)</w:t>
            </w:r>
          </w:p>
          <w:p w:rsidR="00460371" w:rsidRPr="00B7560D" w:rsidRDefault="00460371" w:rsidP="009070AB">
            <w:pPr>
              <w:tabs>
                <w:tab w:val="left" w:pos="1162"/>
              </w:tabs>
              <w:spacing w:before="60" w:after="60"/>
              <w:rPr>
                <w:rFonts w:cs="Arial"/>
                <w:sz w:val="16"/>
                <w:szCs w:val="16"/>
              </w:rPr>
            </w:pPr>
            <w:r w:rsidRPr="00B7560D">
              <w:rPr>
                <w:rFonts w:cs="Arial"/>
                <w:sz w:val="16"/>
                <w:szCs w:val="16"/>
              </w:rPr>
              <w:t xml:space="preserve">NHCDC Round </w:t>
            </w:r>
            <w:r w:rsidR="009070AB">
              <w:rPr>
                <w:rFonts w:cs="Arial"/>
                <w:sz w:val="16"/>
                <w:szCs w:val="16"/>
              </w:rPr>
              <w:t>18</w:t>
            </w:r>
            <w:r w:rsidR="009070AB" w:rsidRPr="00B7560D">
              <w:rPr>
                <w:rFonts w:cs="Arial"/>
                <w:sz w:val="16"/>
                <w:szCs w:val="16"/>
              </w:rPr>
              <w:t xml:space="preserve"> </w:t>
            </w:r>
            <w:r w:rsidRPr="00B7560D">
              <w:rPr>
                <w:rFonts w:cs="Arial"/>
                <w:sz w:val="16"/>
                <w:szCs w:val="16"/>
              </w:rPr>
              <w:t>(</w:t>
            </w:r>
            <w:r w:rsidR="009070AB">
              <w:rPr>
                <w:rFonts w:cs="Arial"/>
                <w:sz w:val="16"/>
                <w:szCs w:val="16"/>
              </w:rPr>
              <w:t>2013-14</w:t>
            </w:r>
            <w:r w:rsidRPr="00B7560D">
              <w:rPr>
                <w:rFonts w:cs="Arial"/>
                <w:sz w:val="16"/>
                <w:szCs w:val="16"/>
              </w:rPr>
              <w:t>)</w:t>
            </w:r>
          </w:p>
        </w:tc>
        <w:tc>
          <w:tcPr>
            <w:tcW w:w="1196" w:type="pct"/>
          </w:tcPr>
          <w:p w:rsidR="00460371" w:rsidRPr="00B7560D" w:rsidRDefault="00460371" w:rsidP="00C268C8">
            <w:pPr>
              <w:tabs>
                <w:tab w:val="left" w:pos="1162"/>
              </w:tabs>
              <w:spacing w:before="60" w:after="60"/>
              <w:rPr>
                <w:rFonts w:cs="Arial"/>
                <w:sz w:val="16"/>
                <w:szCs w:val="16"/>
              </w:rPr>
            </w:pPr>
            <w:r w:rsidRPr="00B7560D">
              <w:rPr>
                <w:rFonts w:cs="Arial"/>
                <w:sz w:val="16"/>
                <w:szCs w:val="16"/>
              </w:rPr>
              <w:t xml:space="preserve">APC </w:t>
            </w:r>
            <w:r>
              <w:rPr>
                <w:rFonts w:cs="Arial"/>
                <w:sz w:val="16"/>
                <w:szCs w:val="16"/>
              </w:rPr>
              <w:t>NMDS</w:t>
            </w:r>
            <w:r w:rsidRPr="00B7560D">
              <w:rPr>
                <w:rFonts w:cs="Arial"/>
                <w:sz w:val="16"/>
                <w:szCs w:val="16"/>
              </w:rPr>
              <w:t>, NAPED</w:t>
            </w:r>
            <w:r w:rsidR="00C268C8">
              <w:rPr>
                <w:rFonts w:cs="Arial"/>
                <w:sz w:val="16"/>
                <w:szCs w:val="16"/>
              </w:rPr>
              <w:t>C</w:t>
            </w:r>
            <w:r w:rsidRPr="00B7560D">
              <w:rPr>
                <w:rFonts w:cs="Arial"/>
                <w:sz w:val="16"/>
                <w:szCs w:val="16"/>
              </w:rPr>
              <w:t xml:space="preserve"> </w:t>
            </w:r>
            <w:r w:rsidR="00C268C8">
              <w:rPr>
                <w:rFonts w:cs="Arial"/>
                <w:sz w:val="16"/>
                <w:szCs w:val="16"/>
              </w:rPr>
              <w:t xml:space="preserve">NMDS, ABF ES DSS, </w:t>
            </w:r>
            <w:r w:rsidR="00C268C8" w:rsidRPr="00B7560D">
              <w:rPr>
                <w:rFonts w:cs="Arial"/>
                <w:sz w:val="16"/>
                <w:szCs w:val="16"/>
              </w:rPr>
              <w:t>NPHED</w:t>
            </w:r>
            <w:r w:rsidR="00C268C8">
              <w:rPr>
                <w:rFonts w:cs="Arial"/>
                <w:sz w:val="16"/>
                <w:szCs w:val="16"/>
              </w:rPr>
              <w:t xml:space="preserve"> and aggregate DSS. </w:t>
            </w:r>
          </w:p>
        </w:tc>
      </w:tr>
    </w:tbl>
    <w:p w:rsidR="00460371" w:rsidRPr="00C26DC4" w:rsidRDefault="00460371" w:rsidP="00AD4FFC">
      <w:pPr>
        <w:tabs>
          <w:tab w:val="left" w:pos="1162"/>
        </w:tabs>
        <w:spacing w:before="240"/>
        <w:rPr>
          <w:rFonts w:cs="Arial"/>
          <w:szCs w:val="20"/>
        </w:rPr>
      </w:pPr>
      <w:r w:rsidRPr="00C26DC4">
        <w:rPr>
          <w:rFonts w:cs="Arial"/>
          <w:szCs w:val="20"/>
        </w:rPr>
        <w:t xml:space="preserve">A summary of the </w:t>
      </w:r>
      <w:r w:rsidRPr="009B687F">
        <w:rPr>
          <w:rFonts w:cs="Arial"/>
          <w:szCs w:val="20"/>
        </w:rPr>
        <w:t xml:space="preserve">National Hospital Cost Data </w:t>
      </w:r>
      <w:r>
        <w:rPr>
          <w:rFonts w:cs="Arial"/>
          <w:szCs w:val="20"/>
        </w:rPr>
        <w:t>(</w:t>
      </w:r>
      <w:r w:rsidRPr="00C26DC4">
        <w:rPr>
          <w:rFonts w:cs="Arial"/>
          <w:szCs w:val="20"/>
        </w:rPr>
        <w:t>NHCDC</w:t>
      </w:r>
      <w:r>
        <w:rPr>
          <w:rFonts w:cs="Arial"/>
          <w:szCs w:val="20"/>
        </w:rPr>
        <w:t xml:space="preserve">) </w:t>
      </w:r>
      <w:r w:rsidRPr="00C26DC4">
        <w:rPr>
          <w:rFonts w:cs="Arial"/>
          <w:szCs w:val="20"/>
        </w:rPr>
        <w:t xml:space="preserve">Round </w:t>
      </w:r>
      <w:r w:rsidR="009070AB">
        <w:rPr>
          <w:rFonts w:cs="Arial"/>
          <w:szCs w:val="20"/>
        </w:rPr>
        <w:t>18</w:t>
      </w:r>
      <w:r w:rsidR="009070AB" w:rsidRPr="00C26DC4">
        <w:rPr>
          <w:rFonts w:cs="Arial"/>
          <w:szCs w:val="20"/>
        </w:rPr>
        <w:t xml:space="preserve"> </w:t>
      </w:r>
      <w:r w:rsidRPr="00C26DC4">
        <w:rPr>
          <w:rFonts w:cs="Arial"/>
          <w:szCs w:val="20"/>
        </w:rPr>
        <w:t xml:space="preserve">cost data received for </w:t>
      </w:r>
      <w:r w:rsidR="009070AB">
        <w:rPr>
          <w:rFonts w:cs="Arial"/>
          <w:szCs w:val="20"/>
        </w:rPr>
        <w:t>2013-14</w:t>
      </w:r>
      <w:r w:rsidRPr="00C26DC4">
        <w:rPr>
          <w:rFonts w:cs="Arial"/>
          <w:szCs w:val="20"/>
        </w:rPr>
        <w:t xml:space="preserve"> is </w:t>
      </w:r>
      <w:r w:rsidRPr="00471D26">
        <w:rPr>
          <w:rFonts w:cs="Arial"/>
          <w:szCs w:val="20"/>
        </w:rPr>
        <w:t xml:space="preserve">at </w:t>
      </w:r>
      <w:hyperlink w:anchor="AttA" w:history="1">
        <w:r w:rsidRPr="00D266F5">
          <w:rPr>
            <w:rStyle w:val="Hyperlink"/>
            <w:rFonts w:cs="Arial"/>
            <w:b/>
            <w:szCs w:val="20"/>
          </w:rPr>
          <w:t>Attachment A</w:t>
        </w:r>
      </w:hyperlink>
      <w:r>
        <w:rPr>
          <w:rFonts w:cs="Arial"/>
          <w:szCs w:val="20"/>
        </w:rPr>
        <w:t>.</w:t>
      </w:r>
    </w:p>
    <w:p w:rsidR="00460371" w:rsidRPr="00C26DC4" w:rsidRDefault="00460371" w:rsidP="00AD4FFC">
      <w:pPr>
        <w:tabs>
          <w:tab w:val="left" w:pos="1162"/>
        </w:tabs>
        <w:rPr>
          <w:rFonts w:cs="Arial"/>
          <w:szCs w:val="20"/>
        </w:rPr>
      </w:pPr>
      <w:r w:rsidRPr="00C26DC4">
        <w:rPr>
          <w:rFonts w:cs="Arial"/>
          <w:szCs w:val="20"/>
        </w:rPr>
        <w:t>An important part of the modelling process is the preliminary preparation of both the costing and activity data</w:t>
      </w:r>
      <w:r>
        <w:rPr>
          <w:rFonts w:cs="Arial"/>
          <w:szCs w:val="20"/>
        </w:rPr>
        <w:t xml:space="preserve">. </w:t>
      </w:r>
      <w:r w:rsidRPr="00C26DC4">
        <w:rPr>
          <w:rFonts w:cs="Arial"/>
          <w:szCs w:val="20"/>
        </w:rPr>
        <w:t>The essential steps in the data preparation process are:</w:t>
      </w:r>
    </w:p>
    <w:p w:rsidR="00460371" w:rsidRPr="004D71FC" w:rsidRDefault="00460371" w:rsidP="00AD4FFC">
      <w:pPr>
        <w:pStyle w:val="ListParagraph"/>
        <w:numPr>
          <w:ilvl w:val="0"/>
          <w:numId w:val="23"/>
        </w:numPr>
        <w:tabs>
          <w:tab w:val="left" w:pos="1162"/>
        </w:tabs>
        <w:spacing w:before="120"/>
        <w:rPr>
          <w:rFonts w:cs="Arial"/>
          <w:szCs w:val="20"/>
        </w:rPr>
      </w:pPr>
      <w:r w:rsidRPr="004D71FC">
        <w:rPr>
          <w:rFonts w:cs="Arial"/>
          <w:szCs w:val="20"/>
        </w:rPr>
        <w:t xml:space="preserve">A substantial validation process undertaken </w:t>
      </w:r>
      <w:r>
        <w:rPr>
          <w:rFonts w:cs="Arial"/>
          <w:szCs w:val="20"/>
        </w:rPr>
        <w:t>as</w:t>
      </w:r>
      <w:r w:rsidRPr="004D71FC">
        <w:rPr>
          <w:rFonts w:cs="Arial"/>
          <w:szCs w:val="20"/>
        </w:rPr>
        <w:t xml:space="preserve"> the data are received from jurisdictions;</w:t>
      </w:r>
    </w:p>
    <w:p w:rsidR="00460371" w:rsidRPr="004D71FC" w:rsidRDefault="00460371" w:rsidP="00AD4FFC">
      <w:pPr>
        <w:pStyle w:val="ListParagraph"/>
        <w:numPr>
          <w:ilvl w:val="0"/>
          <w:numId w:val="23"/>
        </w:numPr>
        <w:tabs>
          <w:tab w:val="left" w:pos="1162"/>
        </w:tabs>
        <w:spacing w:before="120"/>
        <w:rPr>
          <w:rFonts w:cs="Arial"/>
          <w:szCs w:val="20"/>
        </w:rPr>
      </w:pPr>
      <w:r>
        <w:rPr>
          <w:rFonts w:cs="Arial"/>
          <w:szCs w:val="20"/>
        </w:rPr>
        <w:t>M</w:t>
      </w:r>
      <w:r w:rsidRPr="004D71FC">
        <w:rPr>
          <w:rFonts w:cs="Arial"/>
          <w:szCs w:val="20"/>
        </w:rPr>
        <w:t>atching mothers with unqualified neonates</w:t>
      </w:r>
      <w:r>
        <w:rPr>
          <w:rStyle w:val="FootnoteReference"/>
          <w:rFonts w:cs="Arial"/>
          <w:szCs w:val="20"/>
        </w:rPr>
        <w:footnoteReference w:id="3"/>
      </w:r>
      <w:r w:rsidRPr="004D71FC">
        <w:rPr>
          <w:rFonts w:cs="Arial"/>
          <w:szCs w:val="20"/>
        </w:rPr>
        <w:t xml:space="preserve"> to ensure costs are properly attributed to the mothers; </w:t>
      </w:r>
    </w:p>
    <w:p w:rsidR="00460371" w:rsidRPr="004D71FC" w:rsidRDefault="00DD7D45" w:rsidP="00AD4FFC">
      <w:pPr>
        <w:pStyle w:val="ListParagraph"/>
        <w:numPr>
          <w:ilvl w:val="0"/>
          <w:numId w:val="23"/>
        </w:numPr>
        <w:tabs>
          <w:tab w:val="left" w:pos="1162"/>
        </w:tabs>
        <w:spacing w:before="120"/>
        <w:rPr>
          <w:rFonts w:cs="Arial"/>
          <w:szCs w:val="20"/>
        </w:rPr>
      </w:pPr>
      <w:r>
        <w:rPr>
          <w:rFonts w:cs="Arial"/>
          <w:szCs w:val="20"/>
        </w:rPr>
        <w:t>Linking</w:t>
      </w:r>
      <w:r w:rsidR="00460371" w:rsidRPr="004D71FC">
        <w:rPr>
          <w:rFonts w:cs="Arial"/>
          <w:szCs w:val="20"/>
        </w:rPr>
        <w:t xml:space="preserve"> the NHCDC cost file with the APC activity file at the patient level</w:t>
      </w:r>
      <w:r w:rsidR="00460371">
        <w:rPr>
          <w:rFonts w:cs="Arial"/>
          <w:szCs w:val="20"/>
        </w:rPr>
        <w:t xml:space="preserve"> (</w:t>
      </w:r>
      <w:r w:rsidR="00460371" w:rsidRPr="004D71FC">
        <w:rPr>
          <w:rFonts w:cs="Arial"/>
          <w:szCs w:val="20"/>
        </w:rPr>
        <w:t xml:space="preserve">which </w:t>
      </w:r>
      <w:r w:rsidR="00460371">
        <w:rPr>
          <w:rFonts w:cs="Arial"/>
          <w:szCs w:val="20"/>
        </w:rPr>
        <w:t xml:space="preserve">has </w:t>
      </w:r>
      <w:r w:rsidR="00460371" w:rsidRPr="004D71FC">
        <w:rPr>
          <w:rFonts w:cs="Arial"/>
          <w:szCs w:val="20"/>
        </w:rPr>
        <w:t xml:space="preserve">recorded a success rate of </w:t>
      </w:r>
      <w:r w:rsidR="00460371">
        <w:rPr>
          <w:rFonts w:cs="Arial"/>
          <w:szCs w:val="20"/>
        </w:rPr>
        <w:t xml:space="preserve">over </w:t>
      </w:r>
      <w:r w:rsidR="00460371" w:rsidRPr="00E33EAE">
        <w:rPr>
          <w:rFonts w:cs="Arial"/>
          <w:szCs w:val="20"/>
        </w:rPr>
        <w:t>99 per cent</w:t>
      </w:r>
      <w:r w:rsidR="00460371">
        <w:rPr>
          <w:rFonts w:cs="Arial"/>
          <w:szCs w:val="20"/>
        </w:rPr>
        <w:t>);</w:t>
      </w:r>
    </w:p>
    <w:p w:rsidR="00460371" w:rsidRDefault="00460371" w:rsidP="00AD4FFC">
      <w:pPr>
        <w:pStyle w:val="ListParagraph"/>
        <w:numPr>
          <w:ilvl w:val="0"/>
          <w:numId w:val="23"/>
        </w:numPr>
        <w:tabs>
          <w:tab w:val="left" w:pos="1162"/>
        </w:tabs>
        <w:spacing w:before="120"/>
        <w:rPr>
          <w:rFonts w:cs="Arial"/>
          <w:szCs w:val="20"/>
        </w:rPr>
      </w:pPr>
      <w:r w:rsidRPr="004D71FC">
        <w:rPr>
          <w:rFonts w:cs="Arial"/>
          <w:szCs w:val="20"/>
        </w:rPr>
        <w:t>Identify</w:t>
      </w:r>
      <w:r>
        <w:rPr>
          <w:rFonts w:cs="Arial"/>
          <w:szCs w:val="20"/>
        </w:rPr>
        <w:t>ing</w:t>
      </w:r>
      <w:r w:rsidRPr="004D71FC">
        <w:rPr>
          <w:rFonts w:cs="Arial"/>
          <w:szCs w:val="20"/>
        </w:rPr>
        <w:t xml:space="preserve"> any differences in patient characteristics or operational data recorded across the two </w:t>
      </w:r>
      <w:r>
        <w:rPr>
          <w:rFonts w:cs="Arial"/>
          <w:szCs w:val="20"/>
        </w:rPr>
        <w:t>dataset</w:t>
      </w:r>
      <w:r w:rsidRPr="004D71FC">
        <w:rPr>
          <w:rFonts w:cs="Arial"/>
          <w:szCs w:val="20"/>
        </w:rPr>
        <w:t>s and reconcil</w:t>
      </w:r>
      <w:r>
        <w:rPr>
          <w:rFonts w:cs="Arial"/>
          <w:szCs w:val="20"/>
        </w:rPr>
        <w:t>ing th</w:t>
      </w:r>
      <w:r w:rsidR="00C92D56">
        <w:rPr>
          <w:rFonts w:cs="Arial"/>
          <w:szCs w:val="20"/>
        </w:rPr>
        <w:t>ese</w:t>
      </w:r>
      <w:r>
        <w:rPr>
          <w:rFonts w:cs="Arial"/>
          <w:szCs w:val="20"/>
        </w:rPr>
        <w:t xml:space="preserve"> </w:t>
      </w:r>
      <w:r w:rsidRPr="004D71FC">
        <w:rPr>
          <w:rFonts w:cs="Arial"/>
          <w:szCs w:val="20"/>
        </w:rPr>
        <w:t>where appropriate</w:t>
      </w:r>
      <w:r>
        <w:rPr>
          <w:rFonts w:cs="Arial"/>
          <w:szCs w:val="20"/>
        </w:rPr>
        <w:t xml:space="preserve">; </w:t>
      </w:r>
      <w:r w:rsidRPr="004D71FC">
        <w:rPr>
          <w:rFonts w:cs="Arial"/>
          <w:szCs w:val="20"/>
        </w:rPr>
        <w:t>and</w:t>
      </w:r>
    </w:p>
    <w:p w:rsidR="00460371" w:rsidRPr="004D71FC" w:rsidRDefault="00460371" w:rsidP="00AD4FFC">
      <w:pPr>
        <w:pStyle w:val="ListParagraph"/>
        <w:numPr>
          <w:ilvl w:val="0"/>
          <w:numId w:val="23"/>
        </w:numPr>
        <w:tabs>
          <w:tab w:val="left" w:pos="1162"/>
        </w:tabs>
        <w:spacing w:before="120"/>
        <w:rPr>
          <w:rFonts w:cs="Arial"/>
          <w:szCs w:val="20"/>
        </w:rPr>
      </w:pPr>
      <w:r>
        <w:rPr>
          <w:rFonts w:cs="Arial"/>
          <w:szCs w:val="20"/>
        </w:rPr>
        <w:t>Where reported, removing blood costs and/or any identified amounts related to Commonwealth pharmaceutical payments</w:t>
      </w:r>
      <w:r w:rsidRPr="004D71FC">
        <w:rPr>
          <w:rFonts w:cs="Arial"/>
          <w:szCs w:val="20"/>
        </w:rPr>
        <w:t>.</w:t>
      </w:r>
    </w:p>
    <w:p w:rsidR="00460371" w:rsidRPr="000976DD" w:rsidRDefault="00460371" w:rsidP="00AD4FFC">
      <w:pPr>
        <w:tabs>
          <w:tab w:val="left" w:pos="1162"/>
        </w:tabs>
        <w:rPr>
          <w:rFonts w:cs="Arial"/>
          <w:szCs w:val="20"/>
        </w:rPr>
      </w:pPr>
      <w:r w:rsidRPr="000976DD">
        <w:rPr>
          <w:rFonts w:cs="Arial"/>
          <w:szCs w:val="20"/>
        </w:rPr>
        <w:t xml:space="preserve">Classification systems within each service stream </w:t>
      </w:r>
      <w:r>
        <w:rPr>
          <w:rFonts w:cs="Arial"/>
          <w:szCs w:val="20"/>
        </w:rPr>
        <w:t>are</w:t>
      </w:r>
      <w:r w:rsidRPr="000976DD">
        <w:rPr>
          <w:rFonts w:cs="Arial"/>
          <w:szCs w:val="20"/>
        </w:rPr>
        <w:t xml:space="preserve"> applied uniformly across all available data. Although these systems have been developed </w:t>
      </w:r>
      <w:r>
        <w:rPr>
          <w:rFonts w:cs="Arial"/>
          <w:szCs w:val="20"/>
        </w:rPr>
        <w:t xml:space="preserve">in part </w:t>
      </w:r>
      <w:r w:rsidRPr="000976DD">
        <w:rPr>
          <w:rFonts w:cs="Arial"/>
          <w:szCs w:val="20"/>
        </w:rPr>
        <w:t>to explain variation in cost between different outputs within the stream, additional systematic variation</w:t>
      </w:r>
      <w:r>
        <w:rPr>
          <w:rFonts w:cs="Arial"/>
          <w:szCs w:val="20"/>
        </w:rPr>
        <w:t xml:space="preserve"> still occurs. </w:t>
      </w:r>
      <w:r w:rsidRPr="000976DD">
        <w:rPr>
          <w:rFonts w:cs="Arial"/>
          <w:szCs w:val="20"/>
        </w:rPr>
        <w:t xml:space="preserve">To account for this, various adjustments </w:t>
      </w:r>
      <w:r>
        <w:rPr>
          <w:rFonts w:cs="Arial"/>
          <w:szCs w:val="20"/>
        </w:rPr>
        <w:t>are</w:t>
      </w:r>
      <w:r w:rsidRPr="000976DD">
        <w:rPr>
          <w:rFonts w:cs="Arial"/>
          <w:szCs w:val="20"/>
        </w:rPr>
        <w:t xml:space="preserve"> modelled and where justified, implemented</w:t>
      </w:r>
      <w:r>
        <w:rPr>
          <w:rFonts w:cs="Arial"/>
          <w:szCs w:val="20"/>
        </w:rPr>
        <w:t xml:space="preserve"> into the models</w:t>
      </w:r>
      <w:r w:rsidRPr="000976DD">
        <w:rPr>
          <w:rFonts w:cs="Arial"/>
          <w:szCs w:val="20"/>
        </w:rPr>
        <w:t xml:space="preserve">. </w:t>
      </w:r>
    </w:p>
    <w:p w:rsidR="00460371" w:rsidRPr="004D71FC" w:rsidRDefault="00460371" w:rsidP="00AD4FFC">
      <w:pPr>
        <w:tabs>
          <w:tab w:val="left" w:pos="1162"/>
        </w:tabs>
        <w:rPr>
          <w:rFonts w:cs="Arial"/>
          <w:szCs w:val="20"/>
        </w:rPr>
      </w:pPr>
      <w:r w:rsidRPr="004D71FC">
        <w:rPr>
          <w:rFonts w:cs="Arial"/>
          <w:szCs w:val="20"/>
        </w:rPr>
        <w:t xml:space="preserve">Once agreement </w:t>
      </w:r>
      <w:r>
        <w:rPr>
          <w:rFonts w:cs="Arial"/>
          <w:szCs w:val="20"/>
        </w:rPr>
        <w:t>is</w:t>
      </w:r>
      <w:r w:rsidRPr="004D71FC">
        <w:rPr>
          <w:rFonts w:cs="Arial"/>
          <w:szCs w:val="20"/>
        </w:rPr>
        <w:t xml:space="preserve"> reached on the </w:t>
      </w:r>
      <w:r>
        <w:rPr>
          <w:rFonts w:cs="Arial"/>
          <w:szCs w:val="20"/>
        </w:rPr>
        <w:t>cost profiles, adjustments</w:t>
      </w:r>
      <w:r w:rsidRPr="004D71FC">
        <w:rPr>
          <w:rFonts w:cs="Arial"/>
          <w:szCs w:val="20"/>
        </w:rPr>
        <w:t xml:space="preserve"> and relative weights of various classes within each service stream, the data </w:t>
      </w:r>
      <w:r>
        <w:rPr>
          <w:rFonts w:cs="Arial"/>
          <w:szCs w:val="20"/>
        </w:rPr>
        <w:t>are</w:t>
      </w:r>
      <w:r w:rsidRPr="004D71FC">
        <w:rPr>
          <w:rFonts w:cs="Arial"/>
          <w:szCs w:val="20"/>
        </w:rPr>
        <w:t xml:space="preserve"> projected to reflect </w:t>
      </w:r>
      <w:r w:rsidR="000C75BC">
        <w:rPr>
          <w:rFonts w:cs="Arial"/>
          <w:szCs w:val="20"/>
        </w:rPr>
        <w:t>2016-17</w:t>
      </w:r>
      <w:r w:rsidRPr="004D71FC">
        <w:rPr>
          <w:rFonts w:cs="Arial"/>
          <w:szCs w:val="20"/>
        </w:rPr>
        <w:t xml:space="preserve"> prices and relativities</w:t>
      </w:r>
      <w:r>
        <w:rPr>
          <w:rFonts w:cs="Arial"/>
          <w:szCs w:val="20"/>
        </w:rPr>
        <w:t>. T</w:t>
      </w:r>
      <w:r w:rsidRPr="004D71FC">
        <w:rPr>
          <w:rFonts w:cs="Arial"/>
          <w:szCs w:val="20"/>
        </w:rPr>
        <w:t xml:space="preserve">hese data are </w:t>
      </w:r>
      <w:r>
        <w:rPr>
          <w:rFonts w:cs="Arial"/>
          <w:szCs w:val="20"/>
        </w:rPr>
        <w:t xml:space="preserve">then </w:t>
      </w:r>
      <w:r w:rsidRPr="004D71FC">
        <w:rPr>
          <w:rFonts w:cs="Arial"/>
          <w:szCs w:val="20"/>
        </w:rPr>
        <w:t xml:space="preserve">fed into the development of the </w:t>
      </w:r>
      <w:r w:rsidR="00F62D5B">
        <w:rPr>
          <w:rFonts w:cs="Arial"/>
          <w:szCs w:val="20"/>
        </w:rPr>
        <w:t>NEP16</w:t>
      </w:r>
      <w:r>
        <w:rPr>
          <w:rFonts w:cs="Arial"/>
          <w:szCs w:val="20"/>
        </w:rPr>
        <w:t xml:space="preserve">, as explained in detail in </w:t>
      </w:r>
      <w:hyperlink w:anchor="AttB" w:history="1">
        <w:r w:rsidRPr="00D266F5">
          <w:rPr>
            <w:rStyle w:val="Hyperlink"/>
            <w:rFonts w:cs="Arial"/>
            <w:b/>
            <w:szCs w:val="20"/>
          </w:rPr>
          <w:t>Attachment B</w:t>
        </w:r>
      </w:hyperlink>
      <w:r w:rsidRPr="00D266F5">
        <w:rPr>
          <w:rFonts w:cs="Arial"/>
          <w:szCs w:val="20"/>
        </w:rPr>
        <w:t>.</w:t>
      </w:r>
    </w:p>
    <w:p w:rsidR="00460371" w:rsidRDefault="00460371" w:rsidP="00AD4FFC">
      <w:pPr>
        <w:tabs>
          <w:tab w:val="left" w:pos="1162"/>
        </w:tabs>
        <w:rPr>
          <w:rFonts w:cs="Arial"/>
          <w:szCs w:val="20"/>
        </w:rPr>
      </w:pPr>
      <w:r w:rsidRPr="004D71FC">
        <w:rPr>
          <w:rFonts w:cs="Arial"/>
          <w:szCs w:val="20"/>
        </w:rPr>
        <w:t xml:space="preserve">The overall process to determine </w:t>
      </w:r>
      <w:r w:rsidR="00F62D5B">
        <w:rPr>
          <w:rFonts w:cs="Arial"/>
          <w:szCs w:val="20"/>
        </w:rPr>
        <w:t>NEP16</w:t>
      </w:r>
      <w:r w:rsidR="00F62D5B" w:rsidRPr="004D71FC">
        <w:rPr>
          <w:rFonts w:cs="Arial"/>
          <w:szCs w:val="20"/>
        </w:rPr>
        <w:t xml:space="preserve"> </w:t>
      </w:r>
      <w:r w:rsidRPr="004D71FC">
        <w:rPr>
          <w:rFonts w:cs="Arial"/>
          <w:szCs w:val="20"/>
        </w:rPr>
        <w:t>is shown</w:t>
      </w:r>
      <w:r>
        <w:rPr>
          <w:rFonts w:cs="Arial"/>
          <w:szCs w:val="20"/>
        </w:rPr>
        <w:t xml:space="preserve"> in</w:t>
      </w:r>
      <w:r w:rsidR="005C46B9">
        <w:rPr>
          <w:rFonts w:cs="Arial"/>
          <w:szCs w:val="20"/>
        </w:rPr>
        <w:t xml:space="preserve"> Figure 1. </w:t>
      </w:r>
    </w:p>
    <w:p w:rsidR="00460371" w:rsidRDefault="00460371">
      <w:pPr>
        <w:pStyle w:val="table"/>
      </w:pPr>
      <w:bookmarkStart w:id="11" w:name="_Ref342303554"/>
      <w:r>
        <w:t xml:space="preserve">Figure </w:t>
      </w:r>
      <w:r w:rsidR="00FE788C">
        <w:fldChar w:fldCharType="begin"/>
      </w:r>
      <w:r w:rsidR="00FE788C">
        <w:instrText xml:space="preserve"> SEQ Figure \* ARABIC </w:instrText>
      </w:r>
      <w:r w:rsidR="00FE788C">
        <w:fldChar w:fldCharType="separate"/>
      </w:r>
      <w:r w:rsidR="0027530C">
        <w:rPr>
          <w:noProof/>
        </w:rPr>
        <w:t>1</w:t>
      </w:r>
      <w:r w:rsidR="00FE788C">
        <w:rPr>
          <w:noProof/>
        </w:rPr>
        <w:fldChar w:fldCharType="end"/>
      </w:r>
      <w:bookmarkEnd w:id="11"/>
      <w:r>
        <w:t xml:space="preserve">: </w:t>
      </w:r>
      <w:r w:rsidRPr="005C5B2B">
        <w:t>Process to determine t</w:t>
      </w:r>
      <w:r>
        <w:t xml:space="preserve">he National Efficient Price </w:t>
      </w:r>
      <w:r w:rsidR="000C75BC">
        <w:t>2016-17</w:t>
      </w:r>
    </w:p>
    <w:p w:rsidR="00E27E6C" w:rsidRDefault="00E27E6C" w:rsidP="00E27E6C">
      <w:pPr>
        <w:tabs>
          <w:tab w:val="left" w:pos="1162"/>
        </w:tabs>
      </w:pPr>
      <w:r>
        <w:rPr>
          <w:noProof/>
          <w:lang w:eastAsia="en-AU"/>
        </w:rPr>
        <w:drawing>
          <wp:inline distT="0" distB="0" distL="0" distR="0" wp14:anchorId="526CEC3F" wp14:editId="37B010B1">
            <wp:extent cx="5732145" cy="269521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2145" cy="2695210"/>
                    </a:xfrm>
                    <a:prstGeom prst="rect">
                      <a:avLst/>
                    </a:prstGeom>
                  </pic:spPr>
                </pic:pic>
              </a:graphicData>
            </a:graphic>
          </wp:inline>
        </w:drawing>
      </w:r>
    </w:p>
    <w:p w:rsidR="00D01C1C" w:rsidRDefault="00460371" w:rsidP="00AD4FFC">
      <w:pPr>
        <w:pStyle w:val="Heading2"/>
        <w:keepLines w:val="0"/>
        <w:numPr>
          <w:ilvl w:val="1"/>
          <w:numId w:val="35"/>
        </w:numPr>
        <w:tabs>
          <w:tab w:val="left" w:pos="1162"/>
        </w:tabs>
        <w:spacing w:after="60"/>
      </w:pPr>
      <w:bookmarkStart w:id="12" w:name="_Toc436150642"/>
      <w:bookmarkStart w:id="13" w:name="_Toc436211088"/>
      <w:bookmarkStart w:id="14" w:name="_Toc436217247"/>
      <w:bookmarkStart w:id="15" w:name="_Toc436222067"/>
      <w:bookmarkStart w:id="16" w:name="_Toc436228377"/>
      <w:bookmarkStart w:id="17" w:name="_Toc380754689"/>
      <w:bookmarkStart w:id="18" w:name="_Toc444528568"/>
      <w:bookmarkEnd w:id="12"/>
      <w:bookmarkEnd w:id="13"/>
      <w:bookmarkEnd w:id="14"/>
      <w:bookmarkEnd w:id="15"/>
      <w:bookmarkEnd w:id="16"/>
      <w:proofErr w:type="spellStart"/>
      <w:r>
        <w:t>Backcasting</w:t>
      </w:r>
      <w:bookmarkEnd w:id="17"/>
      <w:bookmarkEnd w:id="18"/>
      <w:proofErr w:type="spellEnd"/>
    </w:p>
    <w:p w:rsidR="00E95D33" w:rsidRPr="002B0212" w:rsidRDefault="00E95D33" w:rsidP="00F30AC0">
      <w:pPr>
        <w:pStyle w:val="Headingnonumber"/>
      </w:pPr>
      <w:r w:rsidRPr="00F30AC0">
        <w:t xml:space="preserve">National Efficient Price Determination </w:t>
      </w:r>
      <w:r w:rsidR="000C75BC" w:rsidRPr="00F30AC0">
        <w:t>2016-17</w:t>
      </w:r>
      <w:r w:rsidRPr="00F30AC0">
        <w:t xml:space="preserve"> (</w:t>
      </w:r>
      <w:r w:rsidR="00F62D5B" w:rsidRPr="00501235">
        <w:t>NEP16</w:t>
      </w:r>
      <w:r w:rsidRPr="002B0212">
        <w:t>)</w:t>
      </w:r>
    </w:p>
    <w:p w:rsidR="00E95D33" w:rsidRDefault="00E95D33" w:rsidP="00AD4FFC">
      <w:pPr>
        <w:spacing w:after="0"/>
        <w:rPr>
          <w:rFonts w:ascii="Arial" w:hAnsi="Arial" w:cs="Arial"/>
        </w:rPr>
      </w:pPr>
      <w:r w:rsidRPr="000F33BB">
        <w:rPr>
          <w:rFonts w:ascii="Arial" w:hAnsi="Arial" w:cs="Arial"/>
        </w:rPr>
        <w:t>In accordance with Clauses A34(b) and A40 of the NHRA, th</w:t>
      </w:r>
      <w:r w:rsidR="00A212A3">
        <w:rPr>
          <w:rFonts w:ascii="Arial" w:hAnsi="Arial" w:cs="Arial"/>
        </w:rPr>
        <w:t xml:space="preserve">e Pricing Authority has applied </w:t>
      </w:r>
      <w:r w:rsidRPr="000F33BB">
        <w:rPr>
          <w:rFonts w:ascii="Arial" w:hAnsi="Arial" w:cs="Arial"/>
        </w:rPr>
        <w:t xml:space="preserve">the methodological changes </w:t>
      </w:r>
      <w:r w:rsidR="005E48E2">
        <w:rPr>
          <w:rFonts w:ascii="Arial" w:hAnsi="Arial" w:cs="Arial"/>
        </w:rPr>
        <w:t xml:space="preserve">made in NEP16 </w:t>
      </w:r>
      <w:r w:rsidRPr="000F33BB">
        <w:rPr>
          <w:rFonts w:ascii="Arial" w:hAnsi="Arial" w:cs="Arial"/>
        </w:rPr>
        <w:t xml:space="preserve">to </w:t>
      </w:r>
      <w:r w:rsidR="00B31B98" w:rsidRPr="000F33BB">
        <w:rPr>
          <w:rFonts w:ascii="Arial" w:hAnsi="Arial" w:cs="Arial"/>
        </w:rPr>
        <w:t>NEP</w:t>
      </w:r>
      <w:r w:rsidR="00B31B98">
        <w:rPr>
          <w:rFonts w:ascii="Arial" w:hAnsi="Arial" w:cs="Arial"/>
        </w:rPr>
        <w:t>15</w:t>
      </w:r>
      <w:r w:rsidR="00B31B98" w:rsidRPr="000F33BB">
        <w:rPr>
          <w:rFonts w:ascii="Arial" w:hAnsi="Arial" w:cs="Arial"/>
        </w:rPr>
        <w:t xml:space="preserve"> </w:t>
      </w:r>
      <w:r w:rsidR="00F731FB">
        <w:rPr>
          <w:rFonts w:ascii="Arial" w:hAnsi="Arial" w:cs="Arial"/>
        </w:rPr>
        <w:t>to</w:t>
      </w:r>
      <w:r w:rsidR="00F731FB" w:rsidRPr="000F33BB">
        <w:rPr>
          <w:rFonts w:ascii="Arial" w:hAnsi="Arial" w:cs="Arial"/>
        </w:rPr>
        <w:t xml:space="preserve"> </w:t>
      </w:r>
      <w:r w:rsidRPr="000F33BB">
        <w:rPr>
          <w:rFonts w:ascii="Arial" w:hAnsi="Arial" w:cs="Arial"/>
        </w:rPr>
        <w:t>determi</w:t>
      </w:r>
      <w:r w:rsidR="00A212A3">
        <w:rPr>
          <w:rFonts w:ascii="Arial" w:hAnsi="Arial" w:cs="Arial"/>
        </w:rPr>
        <w:t xml:space="preserve">ne the </w:t>
      </w:r>
      <w:proofErr w:type="spellStart"/>
      <w:r w:rsidR="00A212A3">
        <w:rPr>
          <w:rFonts w:ascii="Arial" w:hAnsi="Arial" w:cs="Arial"/>
        </w:rPr>
        <w:t>backcast</w:t>
      </w:r>
      <w:proofErr w:type="spellEnd"/>
      <w:r w:rsidR="00A212A3">
        <w:rPr>
          <w:rFonts w:ascii="Arial" w:hAnsi="Arial" w:cs="Arial"/>
        </w:rPr>
        <w:t xml:space="preserve"> </w:t>
      </w:r>
      <w:r w:rsidR="00B31B98">
        <w:rPr>
          <w:rFonts w:ascii="Arial" w:hAnsi="Arial" w:cs="Arial"/>
        </w:rPr>
        <w:t xml:space="preserve">NEP15 </w:t>
      </w:r>
      <w:r w:rsidR="00A212A3">
        <w:rPr>
          <w:rFonts w:ascii="Arial" w:hAnsi="Arial" w:cs="Arial"/>
        </w:rPr>
        <w:t xml:space="preserve">for the </w:t>
      </w:r>
      <w:r w:rsidRPr="000F33BB">
        <w:rPr>
          <w:rFonts w:ascii="Arial" w:hAnsi="Arial" w:cs="Arial"/>
        </w:rPr>
        <w:t>purposes of determining Commonwealth growth funding</w:t>
      </w:r>
      <w:r w:rsidR="00A212A3">
        <w:rPr>
          <w:rFonts w:ascii="Arial" w:hAnsi="Arial" w:cs="Arial"/>
        </w:rPr>
        <w:t xml:space="preserve"> between </w:t>
      </w:r>
      <w:r w:rsidR="00F62D5B">
        <w:rPr>
          <w:rFonts w:ascii="Arial" w:hAnsi="Arial" w:cs="Arial"/>
        </w:rPr>
        <w:t>2015-16</w:t>
      </w:r>
      <w:r w:rsidR="00A212A3">
        <w:rPr>
          <w:rFonts w:ascii="Arial" w:hAnsi="Arial" w:cs="Arial"/>
        </w:rPr>
        <w:t xml:space="preserve"> and </w:t>
      </w:r>
      <w:r w:rsidR="000C75BC">
        <w:rPr>
          <w:rFonts w:ascii="Arial" w:hAnsi="Arial" w:cs="Arial"/>
        </w:rPr>
        <w:t>2016-17</w:t>
      </w:r>
      <w:r w:rsidR="00F731FB">
        <w:rPr>
          <w:rFonts w:ascii="Arial" w:hAnsi="Arial" w:cs="Arial"/>
        </w:rPr>
        <w:t>.</w:t>
      </w:r>
      <w:r w:rsidR="00A212A3">
        <w:rPr>
          <w:rFonts w:ascii="Arial" w:hAnsi="Arial" w:cs="Arial"/>
        </w:rPr>
        <w:t xml:space="preserve"> </w:t>
      </w:r>
      <w:r w:rsidR="00F731FB">
        <w:rPr>
          <w:rFonts w:ascii="Arial" w:hAnsi="Arial" w:cs="Arial"/>
        </w:rPr>
        <w:t xml:space="preserve">The </w:t>
      </w:r>
      <w:proofErr w:type="spellStart"/>
      <w:r w:rsidR="00F731FB">
        <w:rPr>
          <w:rFonts w:ascii="Arial" w:hAnsi="Arial" w:cs="Arial"/>
        </w:rPr>
        <w:t>backcast</w:t>
      </w:r>
      <w:proofErr w:type="spellEnd"/>
      <w:r w:rsidR="00F731FB">
        <w:rPr>
          <w:rFonts w:ascii="Arial" w:hAnsi="Arial" w:cs="Arial"/>
        </w:rPr>
        <w:t xml:space="preserve"> amount for </w:t>
      </w:r>
      <w:r w:rsidR="00F62D5B">
        <w:rPr>
          <w:rFonts w:ascii="Arial" w:hAnsi="Arial" w:cs="Arial"/>
        </w:rPr>
        <w:t xml:space="preserve">NEP15 </w:t>
      </w:r>
      <w:r w:rsidR="00F731FB">
        <w:rPr>
          <w:rFonts w:ascii="Arial" w:hAnsi="Arial" w:cs="Arial"/>
        </w:rPr>
        <w:t xml:space="preserve">is provided in </w:t>
      </w:r>
      <w:r w:rsidR="00E47B04">
        <w:rPr>
          <w:rFonts w:ascii="Arial" w:hAnsi="Arial" w:cs="Arial"/>
        </w:rPr>
        <w:t>Chapter 8</w:t>
      </w:r>
      <w:r w:rsidR="00F731FB">
        <w:rPr>
          <w:rFonts w:ascii="Arial" w:hAnsi="Arial" w:cs="Arial"/>
        </w:rPr>
        <w:t xml:space="preserve"> of the </w:t>
      </w:r>
      <w:r w:rsidR="00F62D5B" w:rsidRPr="00B3571F">
        <w:rPr>
          <w:rFonts w:ascii="Arial" w:hAnsi="Arial" w:cs="Arial"/>
        </w:rPr>
        <w:t>NEP</w:t>
      </w:r>
      <w:r w:rsidR="00F62D5B">
        <w:rPr>
          <w:rFonts w:ascii="Arial" w:hAnsi="Arial" w:cs="Arial"/>
        </w:rPr>
        <w:t>16</w:t>
      </w:r>
      <w:r w:rsidR="00F62D5B" w:rsidRPr="00B3571F">
        <w:rPr>
          <w:rFonts w:ascii="Arial" w:hAnsi="Arial" w:cs="Arial"/>
        </w:rPr>
        <w:t xml:space="preserve"> </w:t>
      </w:r>
      <w:r w:rsidR="00F731FB" w:rsidRPr="00B3571F">
        <w:rPr>
          <w:rFonts w:ascii="Arial" w:hAnsi="Arial" w:cs="Arial"/>
        </w:rPr>
        <w:t>Determination</w:t>
      </w:r>
      <w:r w:rsidR="00F731FB">
        <w:rPr>
          <w:rFonts w:ascii="Arial" w:hAnsi="Arial" w:cs="Arial"/>
        </w:rPr>
        <w:t xml:space="preserve">. </w:t>
      </w:r>
    </w:p>
    <w:p w:rsidR="00E95D33" w:rsidRPr="00E95D33" w:rsidRDefault="00E95D33" w:rsidP="00F30AC0">
      <w:pPr>
        <w:pStyle w:val="Headingnonumber"/>
      </w:pPr>
      <w:proofErr w:type="spellStart"/>
      <w:r w:rsidRPr="00E95D33">
        <w:t>Backcasting</w:t>
      </w:r>
      <w:proofErr w:type="spellEnd"/>
      <w:r w:rsidRPr="00E95D33">
        <w:t xml:space="preserve"> </w:t>
      </w:r>
      <w:r w:rsidR="00C92D56">
        <w:t xml:space="preserve">ABF </w:t>
      </w:r>
      <w:r w:rsidRPr="00E95D33">
        <w:t>Volume</w:t>
      </w:r>
    </w:p>
    <w:p w:rsidR="00E95D33" w:rsidRDefault="00E95D33" w:rsidP="00AD4FFC">
      <w:pPr>
        <w:spacing w:before="120"/>
        <w:rPr>
          <w:rFonts w:ascii="Arial" w:hAnsi="Arial" w:cs="Arial"/>
        </w:rPr>
      </w:pPr>
      <w:r>
        <w:rPr>
          <w:rFonts w:ascii="Arial" w:hAnsi="Arial" w:cs="Arial"/>
        </w:rPr>
        <w:t xml:space="preserve">IHPA has also estimated the volume impact of methodological changes between </w:t>
      </w:r>
      <w:r w:rsidR="00F62D5B">
        <w:rPr>
          <w:rFonts w:ascii="Arial" w:hAnsi="Arial" w:cs="Arial"/>
        </w:rPr>
        <w:t xml:space="preserve">NEP15 </w:t>
      </w:r>
      <w:r>
        <w:rPr>
          <w:rFonts w:ascii="Arial" w:hAnsi="Arial" w:cs="Arial"/>
        </w:rPr>
        <w:t xml:space="preserve">and </w:t>
      </w:r>
      <w:r w:rsidR="00F62D5B">
        <w:rPr>
          <w:rFonts w:ascii="Arial" w:hAnsi="Arial" w:cs="Arial"/>
        </w:rPr>
        <w:t>NEP16</w:t>
      </w:r>
      <w:r>
        <w:rPr>
          <w:rFonts w:ascii="Arial" w:hAnsi="Arial" w:cs="Arial"/>
        </w:rPr>
        <w:t xml:space="preserve">, which can be used for the purpose of estimating movements in volume between </w:t>
      </w:r>
      <w:r w:rsidR="00F62D5B">
        <w:rPr>
          <w:rFonts w:ascii="Arial" w:hAnsi="Arial" w:cs="Arial"/>
        </w:rPr>
        <w:t xml:space="preserve">NEP15 </w:t>
      </w:r>
      <w:r>
        <w:rPr>
          <w:rFonts w:ascii="Arial" w:hAnsi="Arial" w:cs="Arial"/>
        </w:rPr>
        <w:t xml:space="preserve">and </w:t>
      </w:r>
      <w:r w:rsidR="00F62D5B">
        <w:rPr>
          <w:rFonts w:ascii="Arial" w:hAnsi="Arial" w:cs="Arial"/>
        </w:rPr>
        <w:t>NEP16</w:t>
      </w:r>
      <w:r>
        <w:rPr>
          <w:rFonts w:ascii="Arial" w:hAnsi="Arial" w:cs="Arial"/>
        </w:rPr>
        <w:t xml:space="preserve">. This is useful for </w:t>
      </w:r>
      <w:r w:rsidR="00E82DB4">
        <w:rPr>
          <w:rFonts w:ascii="Arial" w:hAnsi="Arial" w:cs="Arial"/>
        </w:rPr>
        <w:t xml:space="preserve">relating </w:t>
      </w:r>
      <w:r w:rsidR="00F62D5B">
        <w:rPr>
          <w:rFonts w:ascii="Arial" w:hAnsi="Arial" w:cs="Arial"/>
        </w:rPr>
        <w:t xml:space="preserve">NWAU15 </w:t>
      </w:r>
      <w:r>
        <w:rPr>
          <w:rFonts w:ascii="Arial" w:hAnsi="Arial" w:cs="Arial"/>
        </w:rPr>
        <w:t xml:space="preserve">activity to </w:t>
      </w:r>
      <w:r w:rsidR="00F62D5B">
        <w:rPr>
          <w:rFonts w:ascii="Arial" w:hAnsi="Arial" w:cs="Arial"/>
        </w:rPr>
        <w:t xml:space="preserve">NWAU16 </w:t>
      </w:r>
      <w:r>
        <w:rPr>
          <w:rFonts w:ascii="Arial" w:hAnsi="Arial" w:cs="Arial"/>
        </w:rPr>
        <w:t xml:space="preserve">targets, and for estimating Commonwealth growth funding prior to actual </w:t>
      </w:r>
      <w:r w:rsidR="00F62D5B">
        <w:rPr>
          <w:rFonts w:ascii="Arial" w:hAnsi="Arial" w:cs="Arial"/>
        </w:rPr>
        <w:t>2015-16</w:t>
      </w:r>
      <w:r>
        <w:rPr>
          <w:rFonts w:ascii="Arial" w:hAnsi="Arial" w:cs="Arial"/>
        </w:rPr>
        <w:t xml:space="preserve"> activity data being available.</w:t>
      </w:r>
    </w:p>
    <w:p w:rsidR="00E95D33" w:rsidRPr="00D908D4" w:rsidRDefault="00E95D33" w:rsidP="00AD4FFC">
      <w:pPr>
        <w:tabs>
          <w:tab w:val="left" w:pos="1162"/>
        </w:tabs>
        <w:spacing w:before="120"/>
        <w:rPr>
          <w:rFonts w:ascii="Arial" w:hAnsi="Arial" w:cs="Arial"/>
        </w:rPr>
      </w:pPr>
      <w:r w:rsidRPr="00D908D4">
        <w:rPr>
          <w:rFonts w:ascii="Arial" w:hAnsi="Arial" w:cs="Arial"/>
        </w:rPr>
        <w:t xml:space="preserve">The volume multipliers (VM) are calculated for each jurisdiction for each particular ABF service category stream and </w:t>
      </w:r>
      <w:r w:rsidR="00F731FB">
        <w:rPr>
          <w:rFonts w:ascii="Arial" w:hAnsi="Arial" w:cs="Arial"/>
        </w:rPr>
        <w:t xml:space="preserve">are </w:t>
      </w:r>
      <w:r w:rsidR="00E82DB4">
        <w:rPr>
          <w:rFonts w:ascii="Arial" w:hAnsi="Arial" w:cs="Arial"/>
        </w:rPr>
        <w:t>p</w:t>
      </w:r>
      <w:r w:rsidR="00F731FB">
        <w:rPr>
          <w:rFonts w:ascii="Arial" w:hAnsi="Arial" w:cs="Arial"/>
        </w:rPr>
        <w:t xml:space="preserve">rovided in </w:t>
      </w:r>
      <w:r w:rsidR="00E47B04">
        <w:rPr>
          <w:rFonts w:ascii="Arial" w:hAnsi="Arial" w:cs="Arial"/>
        </w:rPr>
        <w:t>Chapter 8</w:t>
      </w:r>
      <w:r w:rsidR="00E82DB4">
        <w:rPr>
          <w:rFonts w:ascii="Arial" w:hAnsi="Arial" w:cs="Arial"/>
        </w:rPr>
        <w:t xml:space="preserve"> of the </w:t>
      </w:r>
      <w:r w:rsidR="00F62D5B" w:rsidRPr="00B3571F">
        <w:rPr>
          <w:rFonts w:ascii="Arial" w:hAnsi="Arial" w:cs="Arial"/>
        </w:rPr>
        <w:t>NEP</w:t>
      </w:r>
      <w:r w:rsidR="00F62D5B">
        <w:rPr>
          <w:rFonts w:ascii="Arial" w:hAnsi="Arial" w:cs="Arial"/>
        </w:rPr>
        <w:t>16</w:t>
      </w:r>
      <w:r w:rsidR="00F62D5B" w:rsidRPr="00B3571F">
        <w:rPr>
          <w:rFonts w:ascii="Arial" w:hAnsi="Arial" w:cs="Arial"/>
        </w:rPr>
        <w:t xml:space="preserve"> </w:t>
      </w:r>
      <w:r w:rsidR="00E82DB4" w:rsidRPr="00B3571F">
        <w:rPr>
          <w:rFonts w:ascii="Arial" w:hAnsi="Arial" w:cs="Arial"/>
        </w:rPr>
        <w:t>Determina</w:t>
      </w:r>
      <w:r w:rsidR="00F731FB" w:rsidRPr="00B3571F">
        <w:rPr>
          <w:rFonts w:ascii="Arial" w:hAnsi="Arial" w:cs="Arial"/>
        </w:rPr>
        <w:t>t</w:t>
      </w:r>
      <w:r w:rsidR="00E82DB4" w:rsidRPr="00B3571F">
        <w:rPr>
          <w:rFonts w:ascii="Arial" w:hAnsi="Arial" w:cs="Arial"/>
        </w:rPr>
        <w:t>ion</w:t>
      </w:r>
      <w:r w:rsidRPr="00D908D4">
        <w:rPr>
          <w:rFonts w:ascii="Arial" w:hAnsi="Arial" w:cs="Arial"/>
        </w:rPr>
        <w:t xml:space="preserve">. The </w:t>
      </w:r>
      <w:proofErr w:type="spellStart"/>
      <w:r w:rsidRPr="00D908D4">
        <w:rPr>
          <w:rFonts w:ascii="Arial" w:hAnsi="Arial" w:cs="Arial"/>
        </w:rPr>
        <w:t>backcast</w:t>
      </w:r>
      <w:proofErr w:type="spellEnd"/>
      <w:r w:rsidRPr="00D908D4">
        <w:rPr>
          <w:rFonts w:ascii="Arial" w:hAnsi="Arial" w:cs="Arial"/>
        </w:rPr>
        <w:t xml:space="preserve"> volume multipliers for each jurisdiction (for each ABF product category) are calculated </w:t>
      </w:r>
      <w:r w:rsidR="00E97A71">
        <w:rPr>
          <w:rFonts w:ascii="Arial" w:hAnsi="Arial" w:cs="Arial"/>
        </w:rPr>
        <w:t xml:space="preserve">from the </w:t>
      </w:r>
      <w:r w:rsidR="0036552B">
        <w:rPr>
          <w:rFonts w:ascii="Arial" w:hAnsi="Arial" w:cs="Arial"/>
        </w:rPr>
        <w:t xml:space="preserve">most recently </w:t>
      </w:r>
      <w:r w:rsidR="00E97A71">
        <w:rPr>
          <w:rFonts w:ascii="Arial" w:hAnsi="Arial" w:cs="Arial"/>
        </w:rPr>
        <w:t>reported activity data</w:t>
      </w:r>
      <w:r w:rsidR="0036552B">
        <w:rPr>
          <w:rFonts w:ascii="Arial" w:hAnsi="Arial" w:cs="Arial"/>
        </w:rPr>
        <w:t xml:space="preserve">, namely </w:t>
      </w:r>
      <w:r w:rsidR="002E03ED" w:rsidRPr="00EB0873">
        <w:rPr>
          <w:rFonts w:ascii="Arial" w:hAnsi="Arial" w:cs="Arial"/>
        </w:rPr>
        <w:t>2014-15</w:t>
      </w:r>
      <w:r w:rsidR="0036552B">
        <w:rPr>
          <w:rFonts w:ascii="Arial" w:hAnsi="Arial" w:cs="Arial"/>
        </w:rPr>
        <w:t xml:space="preserve">, </w:t>
      </w:r>
      <w:r w:rsidR="00E97A71" w:rsidRPr="00D908D4">
        <w:rPr>
          <w:rFonts w:ascii="Arial" w:hAnsi="Arial" w:cs="Arial"/>
        </w:rPr>
        <w:t>as</w:t>
      </w:r>
      <w:r w:rsidRPr="00D908D4">
        <w:rPr>
          <w:rFonts w:ascii="Arial" w:hAnsi="Arial" w:cs="Arial"/>
        </w:rPr>
        <w:t>:</w:t>
      </w:r>
    </w:p>
    <w:p w:rsidR="00E95D33" w:rsidRPr="00D908D4" w:rsidRDefault="00E95D33" w:rsidP="0036552B">
      <w:pPr>
        <w:spacing w:before="360" w:after="360"/>
        <w:rPr>
          <w:rFonts w:ascii="Arial" w:hAnsi="Arial" w:cs="Arial"/>
          <w:u w:val="single"/>
        </w:rPr>
      </w:pPr>
      <m:oMathPara>
        <m:oMath>
          <m:r>
            <m:rPr>
              <m:sty m:val="p"/>
            </m:rPr>
            <w:rPr>
              <w:rFonts w:ascii="Cambria Math" w:hAnsi="Cambria Math" w:cs="Arial"/>
            </w:rPr>
            <m:t>VM</m:t>
          </m:r>
          <m:r>
            <w:rPr>
              <w:rFonts w:ascii="Cambria Math" w:hAnsi="Cambria Math" w:cs="Arial"/>
            </w:rPr>
            <m:t>=</m:t>
          </m:r>
          <m:f>
            <m:fPr>
              <m:ctrlPr>
                <w:rPr>
                  <w:rFonts w:ascii="Cambria Math" w:hAnsi="Cambria Math" w:cs="Arial"/>
                  <w:u w:val="single"/>
                </w:rPr>
              </m:ctrlPr>
            </m:fPr>
            <m:num>
              <m:r>
                <m:rPr>
                  <m:sty m:val="p"/>
                </m:rPr>
                <w:rPr>
                  <w:rFonts w:ascii="Cambria Math" w:hAnsi="Cambria Math" w:cs="Arial"/>
                  <w:u w:val="single"/>
                </w:rPr>
                <m:t>NWAUs delivered by backcast model (NWAU16 calculator)</m:t>
              </m:r>
            </m:num>
            <m:den>
              <m:r>
                <m:rPr>
                  <m:sty m:val="p"/>
                </m:rPr>
                <w:rPr>
                  <w:rFonts w:ascii="Cambria Math" w:hAnsi="Cambria Math" w:cs="Arial"/>
                  <w:u w:val="single"/>
                </w:rPr>
                <m:t>NWAUs delivered by original cost model (NWAU15 calculator)</m:t>
              </m:r>
            </m:den>
          </m:f>
        </m:oMath>
      </m:oMathPara>
    </w:p>
    <w:p w:rsidR="00E95D33" w:rsidRDefault="008E0156" w:rsidP="00AD4FFC">
      <w:pPr>
        <w:rPr>
          <w:rFonts w:ascii="Arial" w:hAnsi="Arial" w:cs="Arial"/>
        </w:rPr>
      </w:pPr>
      <w:r>
        <w:rPr>
          <w:rFonts w:ascii="Arial" w:hAnsi="Arial" w:cs="Arial"/>
        </w:rPr>
        <w:t xml:space="preserve">The volume multipliers can be applied to estimates of an NWAU count for </w:t>
      </w:r>
      <w:r w:rsidR="00F62D5B">
        <w:rPr>
          <w:rFonts w:ascii="Arial" w:hAnsi="Arial" w:cs="Arial"/>
        </w:rPr>
        <w:t>2015-16</w:t>
      </w:r>
      <w:r>
        <w:rPr>
          <w:rFonts w:ascii="Arial" w:hAnsi="Arial" w:cs="Arial"/>
        </w:rPr>
        <w:t xml:space="preserve"> if actual data is not available</w:t>
      </w:r>
      <w:r w:rsidR="00E95D33" w:rsidRPr="00D908D4">
        <w:rPr>
          <w:rFonts w:ascii="Arial" w:hAnsi="Arial" w:cs="Arial"/>
        </w:rPr>
        <w:t xml:space="preserve">. </w:t>
      </w:r>
    </w:p>
    <w:p w:rsidR="00EB0873" w:rsidRPr="00CF317B" w:rsidRDefault="00EB0873" w:rsidP="00F30AC0">
      <w:pPr>
        <w:pStyle w:val="Headingnonumber"/>
      </w:pPr>
      <w:r w:rsidRPr="00F30AC0">
        <w:t>National Efficient Cost De</w:t>
      </w:r>
      <w:r w:rsidRPr="00501235">
        <w:t>terminat</w:t>
      </w:r>
      <w:r w:rsidRPr="002B0212">
        <w:t>ion 2016-17 (NEC16)</w:t>
      </w:r>
    </w:p>
    <w:p w:rsidR="00EB0873" w:rsidRPr="006044ED" w:rsidRDefault="006A5986" w:rsidP="006044ED">
      <w:pPr>
        <w:spacing w:before="120"/>
        <w:rPr>
          <w:rFonts w:ascii="Arial" w:hAnsi="Arial" w:cs="Arial"/>
        </w:rPr>
      </w:pPr>
      <w:r w:rsidRPr="006044ED">
        <w:rPr>
          <w:rFonts w:ascii="Arial" w:hAnsi="Arial" w:cs="Arial"/>
        </w:rPr>
        <w:t xml:space="preserve">In accordance with the guiding principles of the NEC cost model, the Pricing Authority has applied the methodological changes made in NEC16 to NEC15 to determine the </w:t>
      </w:r>
      <w:proofErr w:type="spellStart"/>
      <w:r w:rsidRPr="006044ED">
        <w:rPr>
          <w:rFonts w:ascii="Arial" w:hAnsi="Arial" w:cs="Arial"/>
        </w:rPr>
        <w:t>backcast</w:t>
      </w:r>
      <w:proofErr w:type="spellEnd"/>
      <w:r w:rsidRPr="006044ED">
        <w:rPr>
          <w:rFonts w:ascii="Arial" w:hAnsi="Arial" w:cs="Arial"/>
        </w:rPr>
        <w:t xml:space="preserve"> NEC15 </w:t>
      </w:r>
      <w:r w:rsidRPr="00E315C3">
        <w:rPr>
          <w:rFonts w:ascii="Arial" w:hAnsi="Arial" w:cs="Arial"/>
        </w:rPr>
        <w:t xml:space="preserve">for the purposes of determining Commonwealth growth funding between 2015-16 and 2016-17. The </w:t>
      </w:r>
      <w:proofErr w:type="spellStart"/>
      <w:r w:rsidRPr="00E315C3">
        <w:rPr>
          <w:rFonts w:ascii="Arial" w:hAnsi="Arial" w:cs="Arial"/>
        </w:rPr>
        <w:t>backcast</w:t>
      </w:r>
      <w:proofErr w:type="spellEnd"/>
      <w:r w:rsidRPr="00E315C3">
        <w:rPr>
          <w:rFonts w:ascii="Arial" w:hAnsi="Arial" w:cs="Arial"/>
        </w:rPr>
        <w:t xml:space="preserve"> amount for NEC15 is provided in Chapter 5 of the NEC16 Determination.</w:t>
      </w:r>
    </w:p>
    <w:p w:rsidR="006A5986" w:rsidRDefault="0036552B" w:rsidP="006A5986">
      <w:pPr>
        <w:spacing w:before="120"/>
        <w:rPr>
          <w:rFonts w:ascii="Arial" w:hAnsi="Arial" w:cs="Arial"/>
        </w:rPr>
      </w:pPr>
      <w:r w:rsidRPr="00E33EAE">
        <w:rPr>
          <w:rFonts w:ascii="Arial" w:hAnsi="Arial" w:cs="Arial"/>
        </w:rPr>
        <w:t xml:space="preserve">The impact of methodological changes is measured by applying the </w:t>
      </w:r>
      <w:r w:rsidR="00F62D5B" w:rsidRPr="00E33EAE">
        <w:rPr>
          <w:rFonts w:ascii="Arial" w:hAnsi="Arial" w:cs="Arial"/>
        </w:rPr>
        <w:t xml:space="preserve">NEC15 </w:t>
      </w:r>
      <w:r w:rsidRPr="00E33EAE">
        <w:rPr>
          <w:rFonts w:ascii="Arial" w:hAnsi="Arial" w:cs="Arial"/>
        </w:rPr>
        <w:t xml:space="preserve">and </w:t>
      </w:r>
      <w:r w:rsidR="00F62D5B" w:rsidRPr="00E33EAE">
        <w:rPr>
          <w:rFonts w:ascii="Arial" w:hAnsi="Arial" w:cs="Arial"/>
        </w:rPr>
        <w:t xml:space="preserve">NEC16 </w:t>
      </w:r>
      <w:r w:rsidRPr="00E33EAE">
        <w:rPr>
          <w:rFonts w:ascii="Arial" w:hAnsi="Arial" w:cs="Arial"/>
        </w:rPr>
        <w:t xml:space="preserve">versions of the cost model to the latest available data – </w:t>
      </w:r>
      <w:r w:rsidR="00956FE6" w:rsidRPr="00E33EAE">
        <w:rPr>
          <w:rFonts w:ascii="Arial" w:hAnsi="Arial" w:cs="Arial"/>
        </w:rPr>
        <w:t xml:space="preserve">namely </w:t>
      </w:r>
      <w:r w:rsidR="00F62D5B" w:rsidRPr="00E33EAE">
        <w:rPr>
          <w:rFonts w:ascii="Arial" w:hAnsi="Arial" w:cs="Arial"/>
        </w:rPr>
        <w:t>2013-14</w:t>
      </w:r>
      <w:r w:rsidRPr="00E33EAE">
        <w:rPr>
          <w:rFonts w:ascii="Arial" w:hAnsi="Arial" w:cs="Arial"/>
        </w:rPr>
        <w:t xml:space="preserve">. </w:t>
      </w:r>
    </w:p>
    <w:p w:rsidR="006A5986" w:rsidRPr="00891377" w:rsidRDefault="006A5986" w:rsidP="006A5986">
      <w:pPr>
        <w:spacing w:before="120"/>
        <w:rPr>
          <w:rFonts w:ascii="Arial" w:hAnsi="Arial" w:cs="Arial"/>
        </w:rPr>
      </w:pPr>
      <w:r>
        <w:rPr>
          <w:rFonts w:ascii="Arial" w:hAnsi="Arial" w:cs="Arial"/>
        </w:rPr>
        <w:t xml:space="preserve">In addition to changes in model methodology, NEC16 also includes a change in the indexation methodology in projecting the 2013-14 average in-scope cost to the 2016-17 NEC.  This change in indexation methodology means a </w:t>
      </w:r>
      <w:proofErr w:type="spellStart"/>
      <w:r>
        <w:rPr>
          <w:rFonts w:ascii="Arial" w:hAnsi="Arial" w:cs="Arial"/>
        </w:rPr>
        <w:t>backcast</w:t>
      </w:r>
      <w:proofErr w:type="spellEnd"/>
      <w:r>
        <w:rPr>
          <w:rFonts w:ascii="Arial" w:hAnsi="Arial" w:cs="Arial"/>
        </w:rPr>
        <w:t xml:space="preserve"> NEC15 must be calculated in order to appropriately e</w:t>
      </w:r>
      <w:r w:rsidR="00FE788C">
        <w:rPr>
          <w:rFonts w:ascii="Arial" w:hAnsi="Arial" w:cs="Arial"/>
        </w:rPr>
        <w:t>stimate the growth between 2015 and 20</w:t>
      </w:r>
      <w:r>
        <w:rPr>
          <w:rFonts w:ascii="Arial" w:hAnsi="Arial" w:cs="Arial"/>
        </w:rPr>
        <w:t xml:space="preserve">16.  The </w:t>
      </w:r>
      <w:proofErr w:type="spellStart"/>
      <w:r>
        <w:rPr>
          <w:rFonts w:ascii="Arial" w:hAnsi="Arial" w:cs="Arial"/>
        </w:rPr>
        <w:t>backcast</w:t>
      </w:r>
      <w:proofErr w:type="spellEnd"/>
      <w:r>
        <w:rPr>
          <w:rFonts w:ascii="Arial" w:hAnsi="Arial" w:cs="Arial"/>
        </w:rPr>
        <w:t xml:space="preserve"> NEC15 is calculated by taking the average in-scope cost for NEC15 and indexing it forward three years based on the new indexation methodology.  </w:t>
      </w:r>
    </w:p>
    <w:p w:rsidR="0036552B" w:rsidRDefault="0036552B" w:rsidP="0036552B">
      <w:pPr>
        <w:spacing w:before="120"/>
        <w:rPr>
          <w:rFonts w:ascii="Arial" w:hAnsi="Arial" w:cs="Arial"/>
        </w:rPr>
      </w:pPr>
      <w:r w:rsidRPr="00E33EAE">
        <w:rPr>
          <w:rFonts w:ascii="Arial" w:hAnsi="Arial" w:cs="Arial"/>
        </w:rPr>
        <w:t xml:space="preserve">The </w:t>
      </w:r>
      <w:proofErr w:type="spellStart"/>
      <w:r w:rsidRPr="00E33EAE">
        <w:rPr>
          <w:rFonts w:ascii="Arial" w:hAnsi="Arial" w:cs="Arial"/>
        </w:rPr>
        <w:t>backcast</w:t>
      </w:r>
      <w:proofErr w:type="spellEnd"/>
      <w:r w:rsidRPr="00E33EAE">
        <w:rPr>
          <w:rFonts w:ascii="Arial" w:hAnsi="Arial" w:cs="Arial"/>
        </w:rPr>
        <w:t xml:space="preserve"> multiplier (BM) for each state is calculated as follows:</w:t>
      </w:r>
    </w:p>
    <w:p w:rsidR="00644CE9" w:rsidRPr="00644CE9" w:rsidRDefault="00644CE9" w:rsidP="0036552B">
      <w:pPr>
        <w:spacing w:before="360" w:after="360"/>
        <w:ind w:left="1440"/>
        <w:rPr>
          <w:rFonts w:ascii="Arial" w:eastAsiaTheme="minorEastAsia" w:hAnsi="Arial" w:cs="Arial"/>
          <w:u w:val="single"/>
        </w:rPr>
      </w:pPr>
      <m:oMathPara>
        <m:oMathParaPr>
          <m:jc m:val="left"/>
        </m:oMathParaPr>
        <m:oMath>
          <m:r>
            <m:rPr>
              <m:sty m:val="p"/>
            </m:rPr>
            <w:rPr>
              <w:rFonts w:ascii="Cambria Math" w:eastAsiaTheme="minorEastAsia" w:hAnsi="Cambria Math" w:cs="Arial"/>
              <w:u w:color="000000" w:themeColor="text1"/>
            </w:rPr>
            <m:t>BM</m:t>
          </m:r>
          <m:r>
            <w:rPr>
              <w:rFonts w:ascii="Cambria Math" w:eastAsiaTheme="minorEastAsia" w:hAnsi="Cambria Math" w:cs="Arial"/>
              <w:u w:color="000000" w:themeColor="text1"/>
            </w:rPr>
            <m:t xml:space="preserve">= </m:t>
          </m:r>
          <m:f>
            <m:fPr>
              <m:ctrlPr>
                <w:rPr>
                  <w:rFonts w:ascii="Cambria Math" w:hAnsi="Cambria Math" w:cs="Arial"/>
                  <w:u w:color="000000" w:themeColor="text1"/>
                </w:rPr>
              </m:ctrlPr>
            </m:fPr>
            <m:num>
              <m:r>
                <m:rPr>
                  <m:sty m:val="p"/>
                </m:rPr>
                <w:rPr>
                  <w:rFonts w:ascii="Cambria Math" w:hAnsi="Cambria Math" w:cs="Arial"/>
                  <w:u w:color="000000" w:themeColor="text1"/>
                </w:rPr>
                <m:t>Aggregate efficient cost using NEC16 cost model</m:t>
              </m:r>
            </m:num>
            <m:den>
              <m:r>
                <m:rPr>
                  <m:sty m:val="p"/>
                </m:rPr>
                <w:rPr>
                  <w:rFonts w:ascii="Cambria Math" w:hAnsi="Cambria Math" w:cs="Arial"/>
                  <w:u w:color="000000" w:themeColor="text1"/>
                </w:rPr>
                <m:t xml:space="preserve">Aggregate efficient cost using NEC15 cost model </m:t>
              </m:r>
            </m:den>
          </m:f>
        </m:oMath>
      </m:oMathPara>
    </w:p>
    <w:p w:rsidR="0036552B" w:rsidRDefault="0036552B" w:rsidP="0036552B">
      <w:pPr>
        <w:spacing w:before="120"/>
        <w:rPr>
          <w:rFonts w:ascii="Arial" w:hAnsi="Arial" w:cs="Arial"/>
        </w:rPr>
      </w:pPr>
      <w:r>
        <w:rPr>
          <w:rFonts w:ascii="Arial" w:hAnsi="Arial" w:cs="Arial"/>
        </w:rPr>
        <w:t xml:space="preserve">The </w:t>
      </w:r>
      <w:proofErr w:type="spellStart"/>
      <w:r>
        <w:rPr>
          <w:rFonts w:ascii="Arial" w:hAnsi="Arial" w:cs="Arial"/>
        </w:rPr>
        <w:t>backcast</w:t>
      </w:r>
      <w:proofErr w:type="spellEnd"/>
      <w:r>
        <w:rPr>
          <w:rFonts w:ascii="Arial" w:hAnsi="Arial" w:cs="Arial"/>
        </w:rPr>
        <w:t xml:space="preserve"> efficient cost for a particular </w:t>
      </w:r>
      <w:r w:rsidR="00EB0873">
        <w:rPr>
          <w:rFonts w:ascii="Arial" w:hAnsi="Arial" w:cs="Arial"/>
        </w:rPr>
        <w:t xml:space="preserve">state </w:t>
      </w:r>
      <w:r>
        <w:rPr>
          <w:rFonts w:ascii="Arial" w:hAnsi="Arial" w:cs="Arial"/>
        </w:rPr>
        <w:t xml:space="preserve">is calculated by multiplying the </w:t>
      </w:r>
      <w:proofErr w:type="spellStart"/>
      <w:r w:rsidR="00EB0873">
        <w:rPr>
          <w:rFonts w:ascii="Arial" w:hAnsi="Arial" w:cs="Arial"/>
        </w:rPr>
        <w:t>backcasting</w:t>
      </w:r>
      <w:proofErr w:type="spellEnd"/>
      <w:r w:rsidR="00EB0873">
        <w:rPr>
          <w:rFonts w:ascii="Arial" w:hAnsi="Arial" w:cs="Arial"/>
        </w:rPr>
        <w:t xml:space="preserve"> multiplier </w:t>
      </w:r>
      <w:r>
        <w:rPr>
          <w:rFonts w:ascii="Arial" w:hAnsi="Arial" w:cs="Arial"/>
        </w:rPr>
        <w:t>of the relevant state by the</w:t>
      </w:r>
      <w:r w:rsidR="006A5986">
        <w:rPr>
          <w:rFonts w:ascii="Arial" w:hAnsi="Arial" w:cs="Arial"/>
        </w:rPr>
        <w:t xml:space="preserve"> </w:t>
      </w:r>
      <w:proofErr w:type="spellStart"/>
      <w:r w:rsidR="006A5986">
        <w:rPr>
          <w:rFonts w:ascii="Arial" w:hAnsi="Arial" w:cs="Arial"/>
        </w:rPr>
        <w:t>backcast</w:t>
      </w:r>
      <w:proofErr w:type="spellEnd"/>
      <w:r>
        <w:rPr>
          <w:rFonts w:ascii="Arial" w:hAnsi="Arial" w:cs="Arial"/>
        </w:rPr>
        <w:t xml:space="preserve"> </w:t>
      </w:r>
      <w:r w:rsidR="00F62D5B">
        <w:rPr>
          <w:rFonts w:ascii="Arial" w:hAnsi="Arial" w:cs="Arial"/>
        </w:rPr>
        <w:t xml:space="preserve">NEC15 </w:t>
      </w:r>
      <w:r>
        <w:rPr>
          <w:rFonts w:ascii="Arial" w:hAnsi="Arial" w:cs="Arial"/>
        </w:rPr>
        <w:t xml:space="preserve">efficient cost for that </w:t>
      </w:r>
      <w:r w:rsidR="006A5986">
        <w:rPr>
          <w:rFonts w:ascii="Arial" w:hAnsi="Arial" w:cs="Arial"/>
        </w:rPr>
        <w:t>state</w:t>
      </w:r>
      <w:r>
        <w:rPr>
          <w:rFonts w:ascii="Arial" w:hAnsi="Arial" w:cs="Arial"/>
        </w:rPr>
        <w:t>. The implied growth in efficient cost is then determined (</w:t>
      </w:r>
      <w:r w:rsidR="004D744C">
        <w:rPr>
          <w:rFonts w:ascii="Arial" w:hAnsi="Arial" w:cs="Arial"/>
        </w:rPr>
        <w:t>i.e. the sum of all NEC15 weights for all block funded hospitals in that state</w:t>
      </w:r>
      <w:r>
        <w:rPr>
          <w:rFonts w:ascii="Arial" w:hAnsi="Arial" w:cs="Arial"/>
        </w:rPr>
        <w:t xml:space="preserve">) by dividing the </w:t>
      </w:r>
      <w:r w:rsidR="00F62D5B">
        <w:rPr>
          <w:rFonts w:ascii="Arial" w:hAnsi="Arial" w:cs="Arial"/>
        </w:rPr>
        <w:t xml:space="preserve">NEC16 </w:t>
      </w:r>
      <w:r>
        <w:rPr>
          <w:rFonts w:ascii="Arial" w:hAnsi="Arial" w:cs="Arial"/>
        </w:rPr>
        <w:t xml:space="preserve">efficient cost by the </w:t>
      </w:r>
      <w:proofErr w:type="spellStart"/>
      <w:r>
        <w:rPr>
          <w:rFonts w:ascii="Arial" w:hAnsi="Arial" w:cs="Arial"/>
        </w:rPr>
        <w:t>backcast</w:t>
      </w:r>
      <w:proofErr w:type="spellEnd"/>
      <w:r>
        <w:rPr>
          <w:rFonts w:ascii="Arial" w:hAnsi="Arial" w:cs="Arial"/>
        </w:rPr>
        <w:t xml:space="preserve"> </w:t>
      </w:r>
      <w:r w:rsidR="00F62D5B">
        <w:rPr>
          <w:rFonts w:ascii="Arial" w:hAnsi="Arial" w:cs="Arial"/>
        </w:rPr>
        <w:t xml:space="preserve">NEC15 </w:t>
      </w:r>
      <w:r>
        <w:rPr>
          <w:rFonts w:ascii="Arial" w:hAnsi="Arial" w:cs="Arial"/>
        </w:rPr>
        <w:t>efficient cost.</w:t>
      </w:r>
    </w:p>
    <w:p w:rsidR="00460371" w:rsidRPr="00FD6832" w:rsidRDefault="001C6800" w:rsidP="00443523">
      <w:pPr>
        <w:pStyle w:val="Heading1"/>
        <w:pageBreakBefore/>
        <w:numPr>
          <w:ilvl w:val="0"/>
          <w:numId w:val="35"/>
        </w:numPr>
        <w:spacing w:before="100" w:beforeAutospacing="1" w:after="100" w:afterAutospacing="1"/>
      </w:pPr>
      <w:bookmarkStart w:id="19" w:name="_Toc436211090"/>
      <w:bookmarkStart w:id="20" w:name="_Toc436217249"/>
      <w:bookmarkStart w:id="21" w:name="_Toc436222069"/>
      <w:bookmarkStart w:id="22" w:name="_Toc436228379"/>
      <w:bookmarkStart w:id="23" w:name="_Toc436211091"/>
      <w:bookmarkStart w:id="24" w:name="_Toc436217250"/>
      <w:bookmarkStart w:id="25" w:name="_Toc436222070"/>
      <w:bookmarkStart w:id="26" w:name="_Toc436228380"/>
      <w:bookmarkStart w:id="27" w:name="_Toc436211092"/>
      <w:bookmarkStart w:id="28" w:name="_Toc436217251"/>
      <w:bookmarkStart w:id="29" w:name="_Toc436222071"/>
      <w:bookmarkStart w:id="30" w:name="_Toc436228381"/>
      <w:bookmarkStart w:id="31" w:name="_Toc436211093"/>
      <w:bookmarkStart w:id="32" w:name="_Toc436217252"/>
      <w:bookmarkStart w:id="33" w:name="_Toc436222072"/>
      <w:bookmarkStart w:id="34" w:name="_Toc436228382"/>
      <w:bookmarkStart w:id="35" w:name="_Toc436211094"/>
      <w:bookmarkStart w:id="36" w:name="_Toc436217253"/>
      <w:bookmarkStart w:id="37" w:name="_Toc436222073"/>
      <w:bookmarkStart w:id="38" w:name="_Toc436228383"/>
      <w:bookmarkStart w:id="39" w:name="_Toc436211095"/>
      <w:bookmarkStart w:id="40" w:name="_Toc436217254"/>
      <w:bookmarkStart w:id="41" w:name="_Toc436222074"/>
      <w:bookmarkStart w:id="42" w:name="_Toc436228384"/>
      <w:bookmarkStart w:id="43" w:name="_Toc436211096"/>
      <w:bookmarkStart w:id="44" w:name="_Toc436217255"/>
      <w:bookmarkStart w:id="45" w:name="_Toc436222075"/>
      <w:bookmarkStart w:id="46" w:name="_Toc436228385"/>
      <w:bookmarkStart w:id="47" w:name="_Toc436211097"/>
      <w:bookmarkStart w:id="48" w:name="_Toc436217256"/>
      <w:bookmarkStart w:id="49" w:name="_Toc436222076"/>
      <w:bookmarkStart w:id="50" w:name="_Toc436228386"/>
      <w:bookmarkStart w:id="51" w:name="_Toc436211098"/>
      <w:bookmarkStart w:id="52" w:name="_Toc436217257"/>
      <w:bookmarkStart w:id="53" w:name="_Toc436222077"/>
      <w:bookmarkStart w:id="54" w:name="_Toc436228387"/>
      <w:bookmarkStart w:id="55" w:name="_Toc436211099"/>
      <w:bookmarkStart w:id="56" w:name="_Toc436217258"/>
      <w:bookmarkStart w:id="57" w:name="_Toc436222078"/>
      <w:bookmarkStart w:id="58" w:name="_Toc436228388"/>
      <w:bookmarkStart w:id="59" w:name="_Toc436211100"/>
      <w:bookmarkStart w:id="60" w:name="_Toc436217259"/>
      <w:bookmarkStart w:id="61" w:name="_Toc436222079"/>
      <w:bookmarkStart w:id="62" w:name="_Toc436228389"/>
      <w:bookmarkStart w:id="63" w:name="_Toc436211101"/>
      <w:bookmarkStart w:id="64" w:name="_Toc436217260"/>
      <w:bookmarkStart w:id="65" w:name="_Toc436222080"/>
      <w:bookmarkStart w:id="66" w:name="_Toc436228390"/>
      <w:bookmarkStart w:id="67" w:name="_Toc436211102"/>
      <w:bookmarkStart w:id="68" w:name="_Toc436217261"/>
      <w:bookmarkStart w:id="69" w:name="_Toc436222081"/>
      <w:bookmarkStart w:id="70" w:name="_Toc436228391"/>
      <w:bookmarkStart w:id="71" w:name="_Toc436211103"/>
      <w:bookmarkStart w:id="72" w:name="_Toc436217262"/>
      <w:bookmarkStart w:id="73" w:name="_Toc436222082"/>
      <w:bookmarkStart w:id="74" w:name="_Toc436228392"/>
      <w:bookmarkStart w:id="75" w:name="_Toc380754690"/>
      <w:bookmarkStart w:id="76" w:name="_Toc44452856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Admitted acute</w:t>
      </w:r>
      <w:r w:rsidR="00460371">
        <w:t xml:space="preserve"> care cost model</w:t>
      </w:r>
      <w:bookmarkEnd w:id="75"/>
      <w:bookmarkEnd w:id="76"/>
    </w:p>
    <w:p w:rsidR="00460371" w:rsidRDefault="00460371" w:rsidP="00AD4FFC">
      <w:pPr>
        <w:pStyle w:val="Heading2"/>
        <w:keepLines w:val="0"/>
        <w:numPr>
          <w:ilvl w:val="1"/>
          <w:numId w:val="35"/>
        </w:numPr>
        <w:tabs>
          <w:tab w:val="left" w:pos="1162"/>
        </w:tabs>
        <w:spacing w:after="60"/>
      </w:pPr>
      <w:bookmarkStart w:id="77" w:name="_Ref342306458"/>
      <w:bookmarkStart w:id="78" w:name="_Ref342306469"/>
      <w:bookmarkStart w:id="79" w:name="_Ref342306477"/>
      <w:bookmarkStart w:id="80" w:name="_Ref342306483"/>
      <w:bookmarkStart w:id="81" w:name="_Toc380754691"/>
      <w:bookmarkStart w:id="82" w:name="_Toc318905722"/>
      <w:bookmarkStart w:id="83" w:name="_Toc318905721"/>
      <w:bookmarkStart w:id="84" w:name="_Toc444528570"/>
      <w:r w:rsidRPr="00AF2874">
        <w:t>General Issues</w:t>
      </w:r>
      <w:bookmarkEnd w:id="77"/>
      <w:bookmarkEnd w:id="78"/>
      <w:bookmarkEnd w:id="79"/>
      <w:bookmarkEnd w:id="80"/>
      <w:bookmarkEnd w:id="81"/>
      <w:bookmarkEnd w:id="84"/>
    </w:p>
    <w:p w:rsidR="00460371" w:rsidRPr="00BD39DD" w:rsidRDefault="00460371" w:rsidP="00AD4FFC">
      <w:pPr>
        <w:pStyle w:val="Heading3"/>
        <w:keepLines w:val="0"/>
        <w:numPr>
          <w:ilvl w:val="2"/>
          <w:numId w:val="35"/>
        </w:numPr>
        <w:tabs>
          <w:tab w:val="left" w:pos="1162"/>
        </w:tabs>
        <w:spacing w:before="240" w:after="120"/>
      </w:pPr>
      <w:bookmarkStart w:id="85" w:name="_Toc380754692"/>
      <w:bookmarkStart w:id="86" w:name="_Toc444528571"/>
      <w:r>
        <w:t>Cost</w:t>
      </w:r>
      <w:r w:rsidRPr="00BD39DD">
        <w:t xml:space="preserve"> unit</w:t>
      </w:r>
      <w:bookmarkEnd w:id="82"/>
      <w:bookmarkEnd w:id="85"/>
      <w:bookmarkEnd w:id="86"/>
    </w:p>
    <w:p w:rsidR="00460371" w:rsidRDefault="00460371" w:rsidP="00AD4FFC">
      <w:pPr>
        <w:tabs>
          <w:tab w:val="left" w:pos="1162"/>
        </w:tabs>
        <w:rPr>
          <w:rFonts w:cs="Arial"/>
          <w:szCs w:val="20"/>
        </w:rPr>
      </w:pPr>
      <w:r w:rsidRPr="0006388D">
        <w:rPr>
          <w:rFonts w:cs="Arial"/>
          <w:szCs w:val="20"/>
        </w:rPr>
        <w:t xml:space="preserve">An ‘episode of admitted patient care’ is the </w:t>
      </w:r>
      <w:r>
        <w:rPr>
          <w:rFonts w:cs="Arial"/>
          <w:szCs w:val="20"/>
        </w:rPr>
        <w:t xml:space="preserve">cost </w:t>
      </w:r>
      <w:r w:rsidRPr="0006388D">
        <w:rPr>
          <w:rFonts w:cs="Arial"/>
          <w:szCs w:val="20"/>
        </w:rPr>
        <w:t xml:space="preserve">unit for </w:t>
      </w:r>
      <w:r w:rsidR="001C6800">
        <w:rPr>
          <w:rFonts w:cs="Arial"/>
          <w:szCs w:val="20"/>
        </w:rPr>
        <w:t>admitted acute</w:t>
      </w:r>
      <w:r w:rsidRPr="0006388D">
        <w:rPr>
          <w:rFonts w:cs="Arial"/>
          <w:szCs w:val="20"/>
        </w:rPr>
        <w:t xml:space="preserve"> patients</w:t>
      </w:r>
      <w:r>
        <w:rPr>
          <w:rFonts w:cs="Arial"/>
          <w:szCs w:val="20"/>
        </w:rPr>
        <w:t xml:space="preserve">. </w:t>
      </w:r>
      <w:r w:rsidR="00967419">
        <w:rPr>
          <w:rFonts w:cs="Arial"/>
          <w:szCs w:val="20"/>
        </w:rPr>
        <w:t>It is “</w:t>
      </w:r>
      <w:r w:rsidRPr="00967419">
        <w:rPr>
          <w:rFonts w:cs="Arial"/>
          <w:i/>
          <w:szCs w:val="20"/>
        </w:rPr>
        <w:t>t</w:t>
      </w:r>
      <w:r w:rsidRPr="0006388D">
        <w:rPr>
          <w:rFonts w:cs="Arial"/>
          <w:i/>
          <w:szCs w:val="20"/>
        </w:rPr>
        <w:t>he period of admitted patient care … characterised by only one care type</w:t>
      </w:r>
      <w:r w:rsidRPr="0006388D">
        <w:rPr>
          <w:rFonts w:cs="Arial"/>
          <w:szCs w:val="20"/>
        </w:rPr>
        <w:t>”</w:t>
      </w:r>
      <w:r w:rsidRPr="007D74F6">
        <w:rPr>
          <w:rStyle w:val="FootnoteReference"/>
          <w:rFonts w:cs="Arial"/>
          <w:szCs w:val="20"/>
        </w:rPr>
        <w:t xml:space="preserve"> </w:t>
      </w:r>
      <w:r w:rsidRPr="0006388D">
        <w:rPr>
          <w:rStyle w:val="FootnoteReference"/>
          <w:rFonts w:cs="Arial"/>
          <w:szCs w:val="20"/>
        </w:rPr>
        <w:footnoteReference w:id="4"/>
      </w:r>
      <w:r w:rsidRPr="0006388D">
        <w:rPr>
          <w:rFonts w:cs="Arial"/>
          <w:szCs w:val="20"/>
        </w:rPr>
        <w:t>, and covers the period of care from admission to discharge</w:t>
      </w:r>
      <w:r>
        <w:rPr>
          <w:rFonts w:cs="Arial"/>
          <w:szCs w:val="20"/>
        </w:rPr>
        <w:t>.</w:t>
      </w:r>
    </w:p>
    <w:p w:rsidR="00460371" w:rsidRPr="00BD39DD" w:rsidRDefault="00460371" w:rsidP="00AD4FFC">
      <w:pPr>
        <w:pStyle w:val="Heading3"/>
        <w:keepLines w:val="0"/>
        <w:numPr>
          <w:ilvl w:val="2"/>
          <w:numId w:val="35"/>
        </w:numPr>
        <w:tabs>
          <w:tab w:val="left" w:pos="1162"/>
        </w:tabs>
        <w:spacing w:before="240" w:after="120"/>
      </w:pPr>
      <w:bookmarkStart w:id="87" w:name="_Toc380754693"/>
      <w:bookmarkStart w:id="88" w:name="_Toc444528572"/>
      <w:r>
        <w:t>In-s</w:t>
      </w:r>
      <w:r w:rsidRPr="00BD39DD">
        <w:t>cope</w:t>
      </w:r>
      <w:bookmarkEnd w:id="83"/>
      <w:r>
        <w:t xml:space="preserve"> activity</w:t>
      </w:r>
      <w:bookmarkEnd w:id="87"/>
      <w:bookmarkEnd w:id="88"/>
    </w:p>
    <w:p w:rsidR="00460371" w:rsidRPr="0006388D" w:rsidRDefault="001C6800" w:rsidP="00AD4FFC">
      <w:pPr>
        <w:tabs>
          <w:tab w:val="left" w:pos="1162"/>
        </w:tabs>
        <w:rPr>
          <w:rFonts w:cs="Arial"/>
          <w:szCs w:val="20"/>
        </w:rPr>
      </w:pPr>
      <w:r>
        <w:rPr>
          <w:rFonts w:cs="Arial"/>
          <w:szCs w:val="20"/>
        </w:rPr>
        <w:t>Admitted acute</w:t>
      </w:r>
      <w:r w:rsidR="00460371" w:rsidRPr="0006388D">
        <w:rPr>
          <w:rFonts w:cs="Arial"/>
          <w:szCs w:val="20"/>
        </w:rPr>
        <w:t xml:space="preserve"> care is that provided to patients who undergo a facility’s formal admission</w:t>
      </w:r>
      <w:r w:rsidR="00460371">
        <w:rPr>
          <w:rFonts w:cs="Arial"/>
          <w:szCs w:val="20"/>
          <w:vertAlign w:val="superscript"/>
        </w:rPr>
        <w:t xml:space="preserve"> </w:t>
      </w:r>
      <w:r w:rsidR="00460371" w:rsidRPr="0006388D">
        <w:rPr>
          <w:rFonts w:cs="Arial"/>
          <w:szCs w:val="20"/>
        </w:rPr>
        <w:t xml:space="preserve">processes, where the clinical intent or treatment goal is the provision of acute care, or the patient is a baby born in hospital, or is nine days old or </w:t>
      </w:r>
      <w:r w:rsidR="00460371">
        <w:rPr>
          <w:rFonts w:cs="Arial"/>
          <w:szCs w:val="20"/>
        </w:rPr>
        <w:t>younger</w:t>
      </w:r>
      <w:r w:rsidR="00460371" w:rsidRPr="0006388D">
        <w:rPr>
          <w:rFonts w:cs="Arial"/>
          <w:szCs w:val="20"/>
        </w:rPr>
        <w:t xml:space="preserve"> at the time of admission</w:t>
      </w:r>
      <w:r w:rsidR="00460371" w:rsidRPr="004243C8">
        <w:rPr>
          <w:rFonts w:cs="Arial"/>
          <w:szCs w:val="20"/>
          <w:vertAlign w:val="superscript"/>
        </w:rPr>
        <w:footnoteReference w:id="5"/>
      </w:r>
      <w:r w:rsidR="00460371" w:rsidRPr="0006388D">
        <w:rPr>
          <w:rFonts w:cs="Arial"/>
          <w:szCs w:val="20"/>
        </w:rPr>
        <w:t xml:space="preserve"> and has been qualified for one or more days</w:t>
      </w:r>
      <w:r w:rsidR="00460371" w:rsidRPr="004243C8">
        <w:rPr>
          <w:rFonts w:cs="Arial"/>
          <w:szCs w:val="20"/>
          <w:vertAlign w:val="superscript"/>
        </w:rPr>
        <w:footnoteReference w:id="6"/>
      </w:r>
      <w:r w:rsidR="00460371" w:rsidRPr="0006388D">
        <w:rPr>
          <w:rFonts w:cs="Arial"/>
          <w:szCs w:val="20"/>
        </w:rPr>
        <w:t>.</w:t>
      </w:r>
    </w:p>
    <w:p w:rsidR="00460371" w:rsidRPr="0006388D" w:rsidRDefault="00460371" w:rsidP="00AD4FFC">
      <w:pPr>
        <w:pStyle w:val="Heading3"/>
        <w:keepLines w:val="0"/>
        <w:numPr>
          <w:ilvl w:val="2"/>
          <w:numId w:val="35"/>
        </w:numPr>
        <w:tabs>
          <w:tab w:val="left" w:pos="1162"/>
        </w:tabs>
        <w:spacing w:before="240" w:after="120"/>
      </w:pPr>
      <w:bookmarkStart w:id="89" w:name="_Toc380754694"/>
      <w:bookmarkStart w:id="90" w:name="_Toc444528573"/>
      <w:r w:rsidRPr="0006388D">
        <w:t>In-scope patients</w:t>
      </w:r>
      <w:bookmarkEnd w:id="89"/>
      <w:bookmarkEnd w:id="90"/>
    </w:p>
    <w:p w:rsidR="00460371" w:rsidRPr="002F6077" w:rsidRDefault="00460371" w:rsidP="00AD4FFC">
      <w:pPr>
        <w:tabs>
          <w:tab w:val="left" w:pos="1162"/>
        </w:tabs>
        <w:rPr>
          <w:rFonts w:cs="Arial"/>
        </w:rPr>
      </w:pPr>
      <w:r w:rsidRPr="002F6077">
        <w:rPr>
          <w:rFonts w:cs="Arial"/>
          <w:szCs w:val="20"/>
        </w:rPr>
        <w:t xml:space="preserve">National arrangements for ABF apply to a subset of </w:t>
      </w:r>
      <w:r w:rsidR="001C6800">
        <w:rPr>
          <w:rFonts w:cs="Arial"/>
          <w:szCs w:val="20"/>
        </w:rPr>
        <w:t>admitted acute</w:t>
      </w:r>
      <w:r w:rsidRPr="002F6077">
        <w:rPr>
          <w:rFonts w:cs="Arial"/>
          <w:szCs w:val="20"/>
        </w:rPr>
        <w:t xml:space="preserve"> episodes defined by the funding source for the patient and the type of hospital in which the episodes occur</w:t>
      </w:r>
      <w:r>
        <w:rPr>
          <w:rFonts w:cs="Arial"/>
          <w:szCs w:val="20"/>
        </w:rPr>
        <w:t>, as shown in</w:t>
      </w:r>
      <w:r w:rsidR="00987043">
        <w:rPr>
          <w:rFonts w:cs="Arial"/>
          <w:szCs w:val="20"/>
        </w:rPr>
        <w:t xml:space="preserve"> Table 3</w:t>
      </w:r>
      <w:r w:rsidRPr="002F6077">
        <w:rPr>
          <w:rFonts w:cs="Arial"/>
          <w:szCs w:val="20"/>
        </w:rPr>
        <w:t>.</w:t>
      </w:r>
      <w:r>
        <w:rPr>
          <w:rFonts w:cs="Arial"/>
          <w:szCs w:val="20"/>
        </w:rPr>
        <w:t xml:space="preserve"> </w:t>
      </w:r>
      <w:r w:rsidRPr="002F6077">
        <w:rPr>
          <w:rFonts w:cs="Arial"/>
        </w:rPr>
        <w:t xml:space="preserve">In </w:t>
      </w:r>
      <w:r w:rsidRPr="00B75834">
        <w:rPr>
          <w:rFonts w:cs="Arial"/>
        </w:rPr>
        <w:t>public hospitals</w:t>
      </w:r>
      <w:r w:rsidRPr="002F6077">
        <w:rPr>
          <w:rFonts w:cs="Arial"/>
        </w:rPr>
        <w:t>, ABF has been taken to apply to patients with a funding sourc</w:t>
      </w:r>
      <w:r>
        <w:rPr>
          <w:rFonts w:cs="Arial"/>
        </w:rPr>
        <w:t>e</w:t>
      </w:r>
      <w:r>
        <w:rPr>
          <w:rStyle w:val="FootnoteReference"/>
          <w:rFonts w:cs="Arial"/>
        </w:rPr>
        <w:footnoteReference w:id="7"/>
      </w:r>
      <w:r>
        <w:rPr>
          <w:rFonts w:cs="Arial"/>
        </w:rPr>
        <w:t xml:space="preserve"> </w:t>
      </w:r>
      <w:r w:rsidRPr="002F6077">
        <w:rPr>
          <w:rFonts w:cs="Arial"/>
        </w:rPr>
        <w:t>of ‘</w:t>
      </w:r>
      <w:r>
        <w:rPr>
          <w:rFonts w:cs="Arial"/>
        </w:rPr>
        <w:t>Health Service Budget (Not covered elsewhere)</w:t>
      </w:r>
      <w:r w:rsidRPr="002F6077">
        <w:rPr>
          <w:rFonts w:cs="Arial"/>
        </w:rPr>
        <w:t>’,</w:t>
      </w:r>
      <w:r>
        <w:rPr>
          <w:rFonts w:cs="Arial"/>
        </w:rPr>
        <w:t xml:space="preserve"> ‘Health Service Budget (due to R</w:t>
      </w:r>
      <w:r w:rsidRPr="00F4647B">
        <w:rPr>
          <w:rFonts w:cs="Arial"/>
        </w:rPr>
        <w:t xml:space="preserve">eciprocal </w:t>
      </w:r>
      <w:r>
        <w:rPr>
          <w:rFonts w:cs="Arial"/>
        </w:rPr>
        <w:t>H</w:t>
      </w:r>
      <w:r w:rsidRPr="00F4647B">
        <w:rPr>
          <w:rFonts w:cs="Arial"/>
        </w:rPr>
        <w:t xml:space="preserve">ealth </w:t>
      </w:r>
      <w:r>
        <w:rPr>
          <w:rFonts w:cs="Arial"/>
        </w:rPr>
        <w:t>C</w:t>
      </w:r>
      <w:r w:rsidRPr="00F4647B">
        <w:rPr>
          <w:rFonts w:cs="Arial"/>
        </w:rPr>
        <w:t xml:space="preserve">are </w:t>
      </w:r>
      <w:r>
        <w:rPr>
          <w:rFonts w:cs="Arial"/>
        </w:rPr>
        <w:t xml:space="preserve">Agreement)’, </w:t>
      </w:r>
      <w:r w:rsidRPr="002F6077">
        <w:rPr>
          <w:rFonts w:cs="Arial"/>
        </w:rPr>
        <w:t>‘private health insurance’, ‘self-funded’</w:t>
      </w:r>
      <w:r>
        <w:rPr>
          <w:rFonts w:cs="Arial"/>
        </w:rPr>
        <w:t>,</w:t>
      </w:r>
      <w:r w:rsidRPr="002F6077">
        <w:rPr>
          <w:rFonts w:cs="Arial"/>
        </w:rPr>
        <w:t xml:space="preserve"> or ‘other hospital or public authority contracted care’.</w:t>
      </w:r>
    </w:p>
    <w:p w:rsidR="00460371" w:rsidRDefault="00460371" w:rsidP="00AD4FFC">
      <w:pPr>
        <w:tabs>
          <w:tab w:val="left" w:pos="1162"/>
        </w:tabs>
        <w:rPr>
          <w:rFonts w:cs="Arial"/>
          <w:szCs w:val="20"/>
        </w:rPr>
      </w:pPr>
      <w:r w:rsidRPr="002F6077">
        <w:rPr>
          <w:rFonts w:cs="Arial"/>
          <w:szCs w:val="20"/>
        </w:rPr>
        <w:t xml:space="preserve">All episodes from all funding sources </w:t>
      </w:r>
      <w:r>
        <w:rPr>
          <w:rFonts w:cs="Arial"/>
          <w:szCs w:val="20"/>
        </w:rPr>
        <w:t>are</w:t>
      </w:r>
      <w:r w:rsidRPr="002F6077">
        <w:rPr>
          <w:rFonts w:cs="Arial"/>
          <w:szCs w:val="20"/>
        </w:rPr>
        <w:t xml:space="preserve"> included in the calculation of the cost weights</w:t>
      </w:r>
      <w:r>
        <w:rPr>
          <w:rFonts w:cs="Arial"/>
          <w:szCs w:val="20"/>
        </w:rPr>
        <w:t xml:space="preserve">. </w:t>
      </w:r>
      <w:r w:rsidRPr="002F6077">
        <w:rPr>
          <w:rFonts w:cs="Arial"/>
          <w:szCs w:val="20"/>
        </w:rPr>
        <w:t xml:space="preserve">This approach </w:t>
      </w:r>
      <w:r>
        <w:rPr>
          <w:rFonts w:cs="Arial"/>
          <w:szCs w:val="20"/>
        </w:rPr>
        <w:t>is</w:t>
      </w:r>
      <w:r w:rsidRPr="002F6077">
        <w:rPr>
          <w:rFonts w:cs="Arial"/>
          <w:szCs w:val="20"/>
        </w:rPr>
        <w:t xml:space="preserve"> taken to ensure the sample used for the development of NWAU </w:t>
      </w:r>
      <w:r>
        <w:rPr>
          <w:rFonts w:cs="Arial"/>
          <w:szCs w:val="20"/>
        </w:rPr>
        <w:t>is</w:t>
      </w:r>
      <w:r w:rsidRPr="002F6077">
        <w:rPr>
          <w:rFonts w:cs="Arial"/>
          <w:szCs w:val="20"/>
        </w:rPr>
        <w:t xml:space="preserve"> maximised and reflect</w:t>
      </w:r>
      <w:r>
        <w:rPr>
          <w:rFonts w:cs="Arial"/>
          <w:szCs w:val="20"/>
        </w:rPr>
        <w:t>s</w:t>
      </w:r>
      <w:r w:rsidRPr="002F6077">
        <w:rPr>
          <w:rFonts w:cs="Arial"/>
          <w:szCs w:val="20"/>
        </w:rPr>
        <w:t xml:space="preserve"> the overall costs for the hospital</w:t>
      </w:r>
      <w:r>
        <w:rPr>
          <w:rFonts w:cs="Arial"/>
          <w:szCs w:val="20"/>
        </w:rPr>
        <w:t xml:space="preserve">. </w:t>
      </w:r>
      <w:r w:rsidRPr="002F6077">
        <w:rPr>
          <w:rFonts w:cs="Arial"/>
          <w:szCs w:val="20"/>
        </w:rPr>
        <w:t xml:space="preserve">Only in-scope patients </w:t>
      </w:r>
      <w:r>
        <w:rPr>
          <w:rFonts w:cs="Arial"/>
          <w:szCs w:val="20"/>
        </w:rPr>
        <w:t>ar</w:t>
      </w:r>
      <w:r w:rsidRPr="002F6077">
        <w:rPr>
          <w:rFonts w:cs="Arial"/>
          <w:szCs w:val="20"/>
        </w:rPr>
        <w:t>e included in the calculation of the mean cost used in the development of the NEP</w:t>
      </w:r>
      <w:r>
        <w:rPr>
          <w:rFonts w:cs="Arial"/>
          <w:szCs w:val="20"/>
        </w:rPr>
        <w:t xml:space="preserve">. </w:t>
      </w:r>
      <w:r w:rsidRPr="002F6077">
        <w:rPr>
          <w:rFonts w:cs="Arial"/>
          <w:szCs w:val="20"/>
        </w:rPr>
        <w:t xml:space="preserve">All other episodes (e.g. those funded through the Department of Veterans’ Affairs </w:t>
      </w:r>
      <w:r>
        <w:rPr>
          <w:rFonts w:cs="Arial"/>
          <w:szCs w:val="20"/>
        </w:rPr>
        <w:t xml:space="preserve">(DVA) </w:t>
      </w:r>
      <w:r w:rsidRPr="002F6077">
        <w:rPr>
          <w:rFonts w:cs="Arial"/>
          <w:szCs w:val="20"/>
        </w:rPr>
        <w:t xml:space="preserve">and compensable patients) are excluded from </w:t>
      </w:r>
      <w:r>
        <w:rPr>
          <w:rFonts w:cs="Arial"/>
          <w:szCs w:val="20"/>
        </w:rPr>
        <w:t xml:space="preserve">the </w:t>
      </w:r>
      <w:r w:rsidRPr="002F6077">
        <w:rPr>
          <w:rFonts w:cs="Arial"/>
          <w:szCs w:val="20"/>
        </w:rPr>
        <w:t xml:space="preserve">scope of funding. </w:t>
      </w:r>
    </w:p>
    <w:p w:rsidR="00460371" w:rsidRPr="001579B6" w:rsidRDefault="00460371" w:rsidP="00F30AC0">
      <w:pPr>
        <w:pStyle w:val="Headingnonumber"/>
      </w:pPr>
      <w:r w:rsidRPr="001579B6">
        <w:t>In-</w:t>
      </w:r>
      <w:r w:rsidRPr="002E5A99">
        <w:t>scope</w:t>
      </w:r>
      <w:r w:rsidRPr="001579B6">
        <w:t xml:space="preserve"> costs </w:t>
      </w:r>
    </w:p>
    <w:p w:rsidR="00460371" w:rsidRPr="009E1B1B" w:rsidRDefault="00460371" w:rsidP="00AD4FFC">
      <w:pPr>
        <w:tabs>
          <w:tab w:val="left" w:pos="1162"/>
        </w:tabs>
        <w:rPr>
          <w:rFonts w:cs="Arial"/>
          <w:szCs w:val="20"/>
        </w:rPr>
      </w:pPr>
      <w:r w:rsidRPr="009E1B1B">
        <w:rPr>
          <w:rFonts w:cs="Arial"/>
          <w:szCs w:val="20"/>
        </w:rPr>
        <w:t>Factors impacting on scope of costs include:</w:t>
      </w:r>
    </w:p>
    <w:p w:rsidR="00460371" w:rsidRPr="000976DD" w:rsidRDefault="00460371" w:rsidP="00AD4FFC">
      <w:pPr>
        <w:pStyle w:val="ListParagraph"/>
        <w:numPr>
          <w:ilvl w:val="0"/>
          <w:numId w:val="16"/>
        </w:numPr>
        <w:tabs>
          <w:tab w:val="left" w:pos="1162"/>
        </w:tabs>
        <w:spacing w:before="120"/>
        <w:ind w:left="714" w:hanging="357"/>
        <w:rPr>
          <w:rFonts w:cs="Arial"/>
          <w:szCs w:val="20"/>
        </w:rPr>
      </w:pPr>
      <w:r w:rsidRPr="000976DD">
        <w:rPr>
          <w:rFonts w:cs="Arial"/>
          <w:szCs w:val="20"/>
        </w:rPr>
        <w:t xml:space="preserve">Where a patient is admitted through an emergency department </w:t>
      </w:r>
      <w:r>
        <w:rPr>
          <w:rFonts w:cs="Arial"/>
          <w:szCs w:val="20"/>
        </w:rPr>
        <w:t xml:space="preserve">that is </w:t>
      </w:r>
      <w:r w:rsidRPr="000976DD">
        <w:rPr>
          <w:rFonts w:cs="Arial"/>
          <w:szCs w:val="20"/>
        </w:rPr>
        <w:t xml:space="preserve">within the scope of ABF for emergency care, this component of cost </w:t>
      </w:r>
      <w:r>
        <w:rPr>
          <w:rFonts w:cs="Arial"/>
          <w:szCs w:val="20"/>
        </w:rPr>
        <w:t>is</w:t>
      </w:r>
      <w:r w:rsidRPr="000976DD">
        <w:rPr>
          <w:rFonts w:cs="Arial"/>
          <w:szCs w:val="20"/>
        </w:rPr>
        <w:t xml:space="preserve"> </w:t>
      </w:r>
      <w:r w:rsidR="008B4D5E">
        <w:rPr>
          <w:rFonts w:cs="Arial"/>
          <w:szCs w:val="20"/>
        </w:rPr>
        <w:t>separated</w:t>
      </w:r>
      <w:r w:rsidRPr="000976DD">
        <w:rPr>
          <w:rFonts w:cs="Arial"/>
          <w:szCs w:val="20"/>
        </w:rPr>
        <w:t xml:space="preserve"> from the </w:t>
      </w:r>
      <w:r w:rsidR="008B4D5E">
        <w:rPr>
          <w:rFonts w:cs="Arial"/>
          <w:szCs w:val="20"/>
        </w:rPr>
        <w:t xml:space="preserve">acute </w:t>
      </w:r>
      <w:r w:rsidRPr="000976DD">
        <w:rPr>
          <w:rFonts w:cs="Arial"/>
          <w:szCs w:val="20"/>
        </w:rPr>
        <w:t>episode and funded through the</w:t>
      </w:r>
      <w:r>
        <w:rPr>
          <w:rFonts w:cs="Arial"/>
          <w:szCs w:val="20"/>
        </w:rPr>
        <w:t xml:space="preserve"> emergency care funding model;</w:t>
      </w:r>
    </w:p>
    <w:p w:rsidR="00460371" w:rsidRPr="000976DD" w:rsidRDefault="00460371" w:rsidP="00AD4FFC">
      <w:pPr>
        <w:pStyle w:val="ListParagraph"/>
        <w:numPr>
          <w:ilvl w:val="0"/>
          <w:numId w:val="16"/>
        </w:numPr>
        <w:tabs>
          <w:tab w:val="left" w:pos="1162"/>
        </w:tabs>
        <w:spacing w:before="120"/>
        <w:ind w:left="714" w:hanging="357"/>
        <w:rPr>
          <w:rFonts w:cs="Arial"/>
          <w:szCs w:val="20"/>
        </w:rPr>
      </w:pPr>
      <w:r w:rsidRPr="000976DD">
        <w:rPr>
          <w:rFonts w:cs="Arial"/>
          <w:szCs w:val="20"/>
        </w:rPr>
        <w:t xml:space="preserve">Depreciation and other capital related costs (where reported) </w:t>
      </w:r>
      <w:r>
        <w:rPr>
          <w:rFonts w:cs="Arial"/>
          <w:szCs w:val="20"/>
        </w:rPr>
        <w:t>are</w:t>
      </w:r>
      <w:r w:rsidRPr="000976DD">
        <w:rPr>
          <w:rFonts w:cs="Arial"/>
          <w:szCs w:val="20"/>
        </w:rPr>
        <w:t xml:space="preserve"> removed</w:t>
      </w:r>
      <w:r>
        <w:rPr>
          <w:rFonts w:cs="Arial"/>
          <w:szCs w:val="20"/>
        </w:rPr>
        <w:t>;</w:t>
      </w:r>
    </w:p>
    <w:p w:rsidR="00460371" w:rsidRDefault="00460371" w:rsidP="00AD4FFC">
      <w:pPr>
        <w:pStyle w:val="ListParagraph"/>
        <w:numPr>
          <w:ilvl w:val="0"/>
          <w:numId w:val="16"/>
        </w:numPr>
        <w:tabs>
          <w:tab w:val="left" w:pos="1162"/>
        </w:tabs>
        <w:spacing w:before="120"/>
        <w:ind w:left="714" w:hanging="357"/>
        <w:rPr>
          <w:rFonts w:cs="Arial"/>
          <w:szCs w:val="20"/>
        </w:rPr>
      </w:pPr>
      <w:r w:rsidRPr="000976DD">
        <w:rPr>
          <w:rFonts w:cs="Arial"/>
          <w:szCs w:val="20"/>
        </w:rPr>
        <w:t xml:space="preserve">Indirect costs for teaching, training and research (TTR) </w:t>
      </w:r>
      <w:r>
        <w:rPr>
          <w:rFonts w:cs="Arial"/>
          <w:szCs w:val="20"/>
        </w:rPr>
        <w:t>are</w:t>
      </w:r>
      <w:r w:rsidRPr="000976DD">
        <w:rPr>
          <w:rFonts w:cs="Arial"/>
          <w:szCs w:val="20"/>
        </w:rPr>
        <w:t xml:space="preserve"> included but </w:t>
      </w:r>
      <w:r>
        <w:rPr>
          <w:rFonts w:cs="Arial"/>
          <w:szCs w:val="20"/>
        </w:rPr>
        <w:t xml:space="preserve">any </w:t>
      </w:r>
      <w:r w:rsidRPr="000976DD">
        <w:rPr>
          <w:rFonts w:cs="Arial"/>
          <w:szCs w:val="20"/>
        </w:rPr>
        <w:t xml:space="preserve">direct TTR costs </w:t>
      </w:r>
      <w:r>
        <w:rPr>
          <w:rFonts w:cs="Arial"/>
          <w:szCs w:val="20"/>
        </w:rPr>
        <w:t>are</w:t>
      </w:r>
      <w:r w:rsidRPr="000976DD">
        <w:rPr>
          <w:rFonts w:cs="Arial"/>
          <w:szCs w:val="20"/>
        </w:rPr>
        <w:t xml:space="preserve"> excluded and will be block funded</w:t>
      </w:r>
      <w:r>
        <w:rPr>
          <w:rFonts w:cs="Arial"/>
          <w:szCs w:val="20"/>
        </w:rPr>
        <w:t>; and</w:t>
      </w:r>
    </w:p>
    <w:p w:rsidR="00460371" w:rsidRDefault="00460371" w:rsidP="00AD4FFC">
      <w:pPr>
        <w:pStyle w:val="ListParagraph"/>
        <w:numPr>
          <w:ilvl w:val="0"/>
          <w:numId w:val="16"/>
        </w:numPr>
        <w:tabs>
          <w:tab w:val="left" w:pos="1162"/>
        </w:tabs>
        <w:spacing w:before="120"/>
        <w:ind w:left="714" w:hanging="357"/>
        <w:rPr>
          <w:rFonts w:cs="Arial"/>
          <w:szCs w:val="20"/>
        </w:rPr>
      </w:pPr>
      <w:r>
        <w:rPr>
          <w:rFonts w:cs="Arial"/>
          <w:szCs w:val="20"/>
        </w:rPr>
        <w:t xml:space="preserve">Identified blood costs and Commonwealth pharmaceutical payments are also removed. </w:t>
      </w:r>
    </w:p>
    <w:p w:rsidR="00BA5716" w:rsidRDefault="00BA5716">
      <w:pPr>
        <w:spacing w:after="200" w:line="276" w:lineRule="auto"/>
        <w:rPr>
          <w:rFonts w:ascii="Arial" w:eastAsia="Times New Roman" w:hAnsi="Arial" w:cstheme="minorHAnsi"/>
          <w:b/>
          <w:noProof/>
          <w:color w:val="000000"/>
          <w:sz w:val="20"/>
          <w:szCs w:val="20"/>
          <w:lang w:eastAsia="en-AU"/>
        </w:rPr>
      </w:pPr>
      <w:bookmarkStart w:id="91" w:name="_Ref373229147"/>
      <w:bookmarkStart w:id="92" w:name="_Ref373226525"/>
      <w:r>
        <w:rPr>
          <w:noProof/>
        </w:rPr>
        <w:br w:type="page"/>
      </w:r>
    </w:p>
    <w:p w:rsidR="0048408B" w:rsidRDefault="00460371" w:rsidP="00317145">
      <w:pPr>
        <w:pStyle w:val="table"/>
        <w:rPr>
          <w:noProof/>
        </w:rPr>
      </w:pPr>
      <w:r>
        <w:rPr>
          <w:noProof/>
        </w:rPr>
        <w:t xml:space="preserve">Table </w:t>
      </w:r>
      <w:r w:rsidR="00384C96">
        <w:rPr>
          <w:noProof/>
        </w:rPr>
        <w:fldChar w:fldCharType="begin"/>
      </w:r>
      <w:r w:rsidR="00384C96">
        <w:rPr>
          <w:noProof/>
        </w:rPr>
        <w:instrText xml:space="preserve"> SEQ Table \* ARABIC </w:instrText>
      </w:r>
      <w:r w:rsidR="00384C96">
        <w:rPr>
          <w:noProof/>
        </w:rPr>
        <w:fldChar w:fldCharType="separate"/>
      </w:r>
      <w:r w:rsidR="0027530C">
        <w:rPr>
          <w:noProof/>
        </w:rPr>
        <w:t>3</w:t>
      </w:r>
      <w:r w:rsidR="00384C96">
        <w:rPr>
          <w:noProof/>
        </w:rPr>
        <w:fldChar w:fldCharType="end"/>
      </w:r>
      <w:bookmarkEnd w:id="91"/>
      <w:r>
        <w:rPr>
          <w:noProof/>
        </w:rPr>
        <w:t xml:space="preserve">: </w:t>
      </w:r>
      <w:r w:rsidR="001C6800">
        <w:rPr>
          <w:noProof/>
        </w:rPr>
        <w:t>Admitted acute</w:t>
      </w:r>
      <w:r w:rsidRPr="001F4F50">
        <w:rPr>
          <w:noProof/>
        </w:rPr>
        <w:t xml:space="preserve"> episodes in scope for ABF</w:t>
      </w:r>
      <w:bookmarkEnd w:id="92"/>
    </w:p>
    <w:tbl>
      <w:tblPr>
        <w:tblW w:w="0" w:type="auto"/>
        <w:tblLook w:val="00A0" w:firstRow="1" w:lastRow="0" w:firstColumn="1" w:lastColumn="0" w:noHBand="0" w:noVBand="0"/>
      </w:tblPr>
      <w:tblGrid>
        <w:gridCol w:w="9243"/>
      </w:tblGrid>
      <w:tr w:rsidR="00460371" w:rsidTr="00717DB3">
        <w:tc>
          <w:tcPr>
            <w:tcW w:w="9243" w:type="dxa"/>
          </w:tcPr>
          <w:tbl>
            <w:tblPr>
              <w:tblW w:w="9017"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1445"/>
              <w:gridCol w:w="2524"/>
              <w:gridCol w:w="1555"/>
              <w:gridCol w:w="103"/>
              <w:gridCol w:w="866"/>
              <w:gridCol w:w="793"/>
              <w:gridCol w:w="1731"/>
            </w:tblGrid>
            <w:tr w:rsidR="00460371" w:rsidRPr="005530B8" w:rsidTr="00157362">
              <w:trPr>
                <w:cantSplit/>
                <w:trHeight w:val="256"/>
                <w:tblHeader/>
                <w:jc w:val="center"/>
              </w:trPr>
              <w:tc>
                <w:tcPr>
                  <w:tcW w:w="1445" w:type="dxa"/>
                  <w:shd w:val="clear" w:color="auto" w:fill="BFBFBF" w:themeFill="background1" w:themeFillShade="BF"/>
                  <w:noWrap/>
                  <w:vAlign w:val="center"/>
                </w:tcPr>
                <w:p w:rsidR="00460371" w:rsidRPr="004C561E" w:rsidRDefault="00460371" w:rsidP="00AD4FFC">
                  <w:pPr>
                    <w:tabs>
                      <w:tab w:val="left" w:pos="1162"/>
                    </w:tabs>
                    <w:spacing w:before="80" w:after="80"/>
                    <w:jc w:val="center"/>
                    <w:rPr>
                      <w:rFonts w:cs="Calibri"/>
                      <w:b/>
                      <w:bCs/>
                      <w:sz w:val="18"/>
                      <w:szCs w:val="18"/>
                      <w:lang w:eastAsia="en-AU"/>
                    </w:rPr>
                  </w:pPr>
                  <w:r w:rsidRPr="004C561E">
                    <w:rPr>
                      <w:rFonts w:cs="Calibri"/>
                      <w:b/>
                      <w:bCs/>
                      <w:sz w:val="18"/>
                      <w:szCs w:val="18"/>
                      <w:lang w:eastAsia="en-AU"/>
                    </w:rPr>
                    <w:t>Variable</w:t>
                  </w:r>
                </w:p>
              </w:tc>
              <w:tc>
                <w:tcPr>
                  <w:tcW w:w="7572" w:type="dxa"/>
                  <w:gridSpan w:val="6"/>
                  <w:shd w:val="clear" w:color="auto" w:fill="BFBFBF" w:themeFill="background1" w:themeFillShade="BF"/>
                  <w:noWrap/>
                  <w:vAlign w:val="center"/>
                </w:tcPr>
                <w:p w:rsidR="00460371" w:rsidRPr="004C561E" w:rsidRDefault="00460371" w:rsidP="00AD4FFC">
                  <w:pPr>
                    <w:tabs>
                      <w:tab w:val="left" w:pos="1162"/>
                    </w:tabs>
                    <w:spacing w:before="80" w:after="80"/>
                    <w:jc w:val="center"/>
                    <w:rPr>
                      <w:rFonts w:cs="Calibri"/>
                      <w:b/>
                      <w:bCs/>
                      <w:sz w:val="18"/>
                      <w:szCs w:val="18"/>
                      <w:lang w:eastAsia="en-AU"/>
                    </w:rPr>
                  </w:pPr>
                  <w:r w:rsidRPr="004C561E">
                    <w:rPr>
                      <w:rFonts w:cs="Calibri"/>
                      <w:b/>
                      <w:bCs/>
                      <w:sz w:val="18"/>
                      <w:szCs w:val="18"/>
                      <w:lang w:eastAsia="en-AU"/>
                    </w:rPr>
                    <w:t>Episodes that meet the inclusion criteria</w:t>
                  </w:r>
                </w:p>
              </w:tc>
            </w:tr>
            <w:tr w:rsidR="00090A2D" w:rsidRPr="005530B8" w:rsidTr="00157362">
              <w:trPr>
                <w:cantSplit/>
                <w:trHeight w:val="154"/>
                <w:jc w:val="center"/>
              </w:trPr>
              <w:tc>
                <w:tcPr>
                  <w:tcW w:w="1445" w:type="dxa"/>
                  <w:noWrap/>
                </w:tcPr>
                <w:p w:rsidR="00090A2D" w:rsidRPr="005530B8" w:rsidRDefault="00090A2D" w:rsidP="00AD4FFC">
                  <w:pPr>
                    <w:tabs>
                      <w:tab w:val="left" w:pos="1162"/>
                    </w:tabs>
                    <w:spacing w:before="60" w:after="60"/>
                    <w:rPr>
                      <w:rFonts w:cs="Calibri"/>
                      <w:color w:val="000000"/>
                      <w:sz w:val="18"/>
                      <w:szCs w:val="18"/>
                      <w:lang w:eastAsia="en-AU"/>
                    </w:rPr>
                  </w:pPr>
                  <w:r>
                    <w:rPr>
                      <w:rFonts w:cs="Calibri"/>
                      <w:color w:val="000000"/>
                      <w:sz w:val="18"/>
                      <w:szCs w:val="18"/>
                      <w:lang w:eastAsia="en-AU"/>
                    </w:rPr>
                    <w:t>Care type</w:t>
                  </w:r>
                </w:p>
              </w:tc>
              <w:tc>
                <w:tcPr>
                  <w:tcW w:w="4079" w:type="dxa"/>
                  <w:gridSpan w:val="2"/>
                  <w:tcBorders>
                    <w:right w:val="nil"/>
                  </w:tcBorders>
                  <w:noWrap/>
                  <w:vAlign w:val="center"/>
                </w:tcPr>
                <w:p w:rsidR="00090A2D" w:rsidRDefault="00090A2D" w:rsidP="00AD4FFC">
                  <w:pPr>
                    <w:tabs>
                      <w:tab w:val="left" w:pos="1162"/>
                    </w:tabs>
                    <w:spacing w:before="60" w:after="60"/>
                    <w:rPr>
                      <w:rFonts w:cs="Calibri"/>
                      <w:color w:val="000000"/>
                      <w:sz w:val="18"/>
                      <w:szCs w:val="18"/>
                      <w:lang w:eastAsia="en-AU"/>
                    </w:rPr>
                  </w:pPr>
                  <w:r w:rsidRPr="002B2E35">
                    <w:rPr>
                      <w:rFonts w:cs="Calibri"/>
                      <w:color w:val="000000"/>
                      <w:sz w:val="18"/>
                      <w:szCs w:val="18"/>
                      <w:lang w:eastAsia="en-AU"/>
                    </w:rPr>
                    <w:t>1 Acute care</w:t>
                  </w:r>
                </w:p>
                <w:p w:rsidR="00090A2D" w:rsidRPr="002B2E35" w:rsidRDefault="00090A2D" w:rsidP="00AD4FFC">
                  <w:pPr>
                    <w:tabs>
                      <w:tab w:val="left" w:pos="1162"/>
                    </w:tabs>
                    <w:spacing w:before="60" w:after="60"/>
                    <w:rPr>
                      <w:rFonts w:cs="Calibri"/>
                      <w:color w:val="000000"/>
                      <w:sz w:val="18"/>
                      <w:szCs w:val="18"/>
                      <w:lang w:eastAsia="en-AU"/>
                    </w:rPr>
                  </w:pPr>
                  <w:r w:rsidRPr="002B2E35">
                    <w:rPr>
                      <w:rFonts w:cs="Calibri"/>
                      <w:color w:val="000000"/>
                      <w:sz w:val="18"/>
                      <w:szCs w:val="18"/>
                      <w:lang w:eastAsia="en-AU"/>
                    </w:rPr>
                    <w:t xml:space="preserve">7 Newborn care and </w:t>
                  </w:r>
                  <w:r>
                    <w:rPr>
                      <w:rFonts w:cs="Calibri"/>
                      <w:color w:val="000000"/>
                      <w:sz w:val="18"/>
                      <w:szCs w:val="18"/>
                      <w:lang w:eastAsia="en-AU"/>
                    </w:rPr>
                    <w:t>q</w:t>
                  </w:r>
                  <w:r w:rsidRPr="002B2E35">
                    <w:rPr>
                      <w:rFonts w:cs="Calibri"/>
                      <w:color w:val="000000"/>
                      <w:sz w:val="18"/>
                      <w:szCs w:val="18"/>
                      <w:lang w:eastAsia="en-AU"/>
                    </w:rPr>
                    <w:t>ualified days &gt; 0</w:t>
                  </w:r>
                </w:p>
              </w:tc>
              <w:tc>
                <w:tcPr>
                  <w:tcW w:w="969" w:type="dxa"/>
                  <w:gridSpan w:val="2"/>
                  <w:tcBorders>
                    <w:left w:val="nil"/>
                    <w:right w:val="nil"/>
                  </w:tcBorders>
                  <w:vAlign w:val="center"/>
                </w:tcPr>
                <w:p w:rsidR="00090A2D" w:rsidRPr="005530B8" w:rsidRDefault="00090A2D" w:rsidP="00AD4FFC">
                  <w:pPr>
                    <w:tabs>
                      <w:tab w:val="left" w:pos="1162"/>
                    </w:tabs>
                    <w:spacing w:before="60" w:after="60"/>
                    <w:rPr>
                      <w:rFonts w:cs="Calibri"/>
                      <w:color w:val="000000"/>
                      <w:sz w:val="18"/>
                      <w:szCs w:val="18"/>
                      <w:lang w:eastAsia="en-AU"/>
                    </w:rPr>
                  </w:pPr>
                </w:p>
              </w:tc>
              <w:tc>
                <w:tcPr>
                  <w:tcW w:w="2524" w:type="dxa"/>
                  <w:gridSpan w:val="2"/>
                  <w:tcBorders>
                    <w:left w:val="nil"/>
                  </w:tcBorders>
                  <w:vAlign w:val="center"/>
                </w:tcPr>
                <w:p w:rsidR="00090A2D" w:rsidRPr="005530B8" w:rsidRDefault="00090A2D" w:rsidP="00AD4FFC">
                  <w:pPr>
                    <w:tabs>
                      <w:tab w:val="left" w:pos="1162"/>
                    </w:tabs>
                    <w:spacing w:before="60" w:after="60"/>
                    <w:rPr>
                      <w:rFonts w:cs="Calibri"/>
                      <w:color w:val="000000"/>
                      <w:sz w:val="18"/>
                      <w:szCs w:val="18"/>
                      <w:lang w:eastAsia="en-AU"/>
                    </w:rPr>
                  </w:pPr>
                </w:p>
              </w:tc>
            </w:tr>
            <w:tr w:rsidR="00460371" w:rsidRPr="005530B8" w:rsidTr="00157362">
              <w:trPr>
                <w:cantSplit/>
                <w:trHeight w:val="95"/>
                <w:jc w:val="center"/>
              </w:trPr>
              <w:tc>
                <w:tcPr>
                  <w:tcW w:w="1445" w:type="dxa"/>
                  <w:tcBorders>
                    <w:bottom w:val="nil"/>
                  </w:tcBorders>
                  <w:noWrap/>
                </w:tcPr>
                <w:p w:rsidR="00460371" w:rsidRPr="005530B8" w:rsidRDefault="00460371" w:rsidP="00AD4FFC">
                  <w:pPr>
                    <w:tabs>
                      <w:tab w:val="left" w:pos="1162"/>
                    </w:tabs>
                    <w:spacing w:before="60" w:after="60"/>
                    <w:rPr>
                      <w:rFonts w:cs="Calibri"/>
                      <w:color w:val="000000"/>
                      <w:sz w:val="18"/>
                      <w:szCs w:val="18"/>
                      <w:lang w:eastAsia="en-AU"/>
                    </w:rPr>
                  </w:pPr>
                  <w:r>
                    <w:rPr>
                      <w:rFonts w:cs="Calibri"/>
                      <w:color w:val="000000"/>
                      <w:sz w:val="18"/>
                      <w:szCs w:val="18"/>
                      <w:lang w:eastAsia="en-AU"/>
                    </w:rPr>
                    <w:t>Funding source/ Election status</w:t>
                  </w:r>
                </w:p>
              </w:tc>
              <w:tc>
                <w:tcPr>
                  <w:tcW w:w="4182" w:type="dxa"/>
                  <w:gridSpan w:val="3"/>
                  <w:tcBorders>
                    <w:bottom w:val="single" w:sz="4" w:space="0" w:color="auto"/>
                    <w:right w:val="single" w:sz="4" w:space="0" w:color="auto"/>
                  </w:tcBorders>
                  <w:shd w:val="clear" w:color="auto" w:fill="BFBFBF" w:themeFill="background1" w:themeFillShade="BF"/>
                  <w:noWrap/>
                  <w:vAlign w:val="center"/>
                </w:tcPr>
                <w:p w:rsidR="00460371" w:rsidRPr="007F7235" w:rsidRDefault="00460371" w:rsidP="00AD4FFC">
                  <w:pPr>
                    <w:tabs>
                      <w:tab w:val="left" w:pos="1162"/>
                    </w:tabs>
                    <w:spacing w:after="0"/>
                    <w:rPr>
                      <w:rFonts w:cs="Calibri"/>
                      <w:b/>
                      <w:bCs/>
                      <w:sz w:val="18"/>
                      <w:szCs w:val="18"/>
                      <w:lang w:eastAsia="en-AU"/>
                    </w:rPr>
                  </w:pPr>
                  <w:r w:rsidRPr="007F7235">
                    <w:rPr>
                      <w:rFonts w:cs="Calibri"/>
                      <w:b/>
                      <w:bCs/>
                      <w:sz w:val="18"/>
                      <w:szCs w:val="18"/>
                      <w:lang w:eastAsia="en-AU"/>
                    </w:rPr>
                    <w:t>Funding Source</w:t>
                  </w:r>
                  <w:r>
                    <w:rPr>
                      <w:rFonts w:cs="Calibri"/>
                      <w:b/>
                      <w:bCs/>
                      <w:sz w:val="18"/>
                      <w:szCs w:val="18"/>
                      <w:lang w:eastAsia="en-AU"/>
                    </w:rPr>
                    <w:t xml:space="preserve"> (</w:t>
                  </w:r>
                  <w:r w:rsidR="000C75BC">
                    <w:rPr>
                      <w:rFonts w:cs="Calibri"/>
                      <w:b/>
                      <w:bCs/>
                      <w:sz w:val="18"/>
                      <w:szCs w:val="18"/>
                      <w:lang w:eastAsia="en-AU"/>
                    </w:rPr>
                    <w:t>2016-17</w:t>
                  </w:r>
                  <w:r>
                    <w:rPr>
                      <w:rFonts w:cs="Calibri"/>
                      <w:b/>
                      <w:bCs/>
                      <w:sz w:val="18"/>
                      <w:szCs w:val="18"/>
                      <w:lang w:eastAsia="en-AU"/>
                    </w:rPr>
                    <w:t xml:space="preserve"> codes)</w:t>
                  </w:r>
                </w:p>
              </w:tc>
              <w:tc>
                <w:tcPr>
                  <w:tcW w:w="1659" w:type="dxa"/>
                  <w:gridSpan w:val="2"/>
                  <w:tcBorders>
                    <w:left w:val="single" w:sz="4" w:space="0" w:color="auto"/>
                    <w:bottom w:val="single" w:sz="4" w:space="0" w:color="auto"/>
                  </w:tcBorders>
                  <w:shd w:val="clear" w:color="auto" w:fill="BFBFBF" w:themeFill="background1" w:themeFillShade="BF"/>
                  <w:vAlign w:val="center"/>
                </w:tcPr>
                <w:p w:rsidR="00460371" w:rsidRPr="007F7235" w:rsidRDefault="00460371" w:rsidP="00AD4FFC">
                  <w:pPr>
                    <w:tabs>
                      <w:tab w:val="left" w:pos="1162"/>
                    </w:tabs>
                    <w:spacing w:after="0"/>
                    <w:jc w:val="center"/>
                    <w:rPr>
                      <w:rFonts w:cs="Calibri"/>
                      <w:b/>
                      <w:bCs/>
                      <w:sz w:val="18"/>
                      <w:szCs w:val="18"/>
                      <w:lang w:eastAsia="en-AU"/>
                    </w:rPr>
                  </w:pPr>
                  <w:r w:rsidRPr="007F7235">
                    <w:rPr>
                      <w:rFonts w:cs="Calibri"/>
                      <w:b/>
                      <w:bCs/>
                      <w:sz w:val="18"/>
                      <w:szCs w:val="18"/>
                      <w:lang w:eastAsia="en-AU"/>
                    </w:rPr>
                    <w:t>Public hospitals</w:t>
                  </w:r>
                </w:p>
              </w:tc>
              <w:tc>
                <w:tcPr>
                  <w:tcW w:w="1731" w:type="dxa"/>
                  <w:tcBorders>
                    <w:left w:val="single" w:sz="4" w:space="0" w:color="auto"/>
                    <w:bottom w:val="single" w:sz="4" w:space="0" w:color="auto"/>
                  </w:tcBorders>
                  <w:shd w:val="clear" w:color="auto" w:fill="BFBFBF" w:themeFill="background1" w:themeFillShade="BF"/>
                  <w:vAlign w:val="center"/>
                </w:tcPr>
                <w:p w:rsidR="00460371" w:rsidRPr="007F7235" w:rsidRDefault="00460371" w:rsidP="00AD4FFC">
                  <w:pPr>
                    <w:tabs>
                      <w:tab w:val="left" w:pos="1162"/>
                    </w:tabs>
                    <w:spacing w:after="0"/>
                    <w:jc w:val="center"/>
                    <w:rPr>
                      <w:rFonts w:cs="Calibri"/>
                      <w:b/>
                      <w:bCs/>
                      <w:sz w:val="18"/>
                      <w:szCs w:val="18"/>
                      <w:lang w:eastAsia="en-AU"/>
                    </w:rPr>
                  </w:pPr>
                  <w:r w:rsidRPr="007F7235">
                    <w:rPr>
                      <w:rFonts w:cs="Calibri"/>
                      <w:b/>
                      <w:bCs/>
                      <w:sz w:val="18"/>
                      <w:szCs w:val="18"/>
                      <w:lang w:eastAsia="en-AU"/>
                    </w:rPr>
                    <w:t>Private hospitals</w:t>
                  </w:r>
                </w:p>
              </w:tc>
            </w:tr>
            <w:tr w:rsidR="00460371" w:rsidRPr="005530B8" w:rsidTr="00157362">
              <w:trPr>
                <w:cantSplit/>
                <w:trHeight w:val="196"/>
                <w:jc w:val="center"/>
              </w:trPr>
              <w:tc>
                <w:tcPr>
                  <w:tcW w:w="1445" w:type="dxa"/>
                  <w:tcBorders>
                    <w:top w:val="nil"/>
                    <w:bottom w:val="nil"/>
                  </w:tcBorders>
                  <w:noWrap/>
                </w:tcPr>
                <w:p w:rsidR="00460371" w:rsidRDefault="00460371" w:rsidP="00AD4FFC">
                  <w:pPr>
                    <w:tabs>
                      <w:tab w:val="left" w:pos="1162"/>
                    </w:tabs>
                    <w:spacing w:before="60" w:after="60"/>
                    <w:rPr>
                      <w:rFonts w:cs="Calibri"/>
                      <w:color w:val="000000"/>
                      <w:sz w:val="18"/>
                      <w:szCs w:val="18"/>
                      <w:lang w:eastAsia="en-AU"/>
                    </w:rPr>
                  </w:pPr>
                </w:p>
              </w:tc>
              <w:tc>
                <w:tcPr>
                  <w:tcW w:w="4182" w:type="dxa"/>
                  <w:gridSpan w:val="3"/>
                  <w:tcBorders>
                    <w:top w:val="single" w:sz="4" w:space="0" w:color="auto"/>
                    <w:bottom w:val="single" w:sz="4" w:space="0" w:color="auto"/>
                    <w:right w:val="single" w:sz="4" w:space="0" w:color="auto"/>
                  </w:tcBorders>
                  <w:noWrap/>
                </w:tcPr>
                <w:p w:rsidR="00460371" w:rsidRPr="0034628B" w:rsidRDefault="00460371" w:rsidP="00AD4FFC">
                  <w:pPr>
                    <w:tabs>
                      <w:tab w:val="left" w:pos="1162"/>
                    </w:tabs>
                    <w:spacing w:before="60" w:after="60"/>
                    <w:rPr>
                      <w:rFonts w:cs="Calibri"/>
                      <w:color w:val="000000"/>
                      <w:sz w:val="18"/>
                      <w:szCs w:val="18"/>
                      <w:lang w:eastAsia="en-AU"/>
                    </w:rPr>
                  </w:pPr>
                  <w:r w:rsidRPr="0034628B">
                    <w:rPr>
                      <w:rFonts w:cs="Calibri"/>
                      <w:color w:val="000000"/>
                      <w:sz w:val="18"/>
                      <w:szCs w:val="18"/>
                      <w:lang w:eastAsia="en-AU"/>
                    </w:rPr>
                    <w:t>01 Health Service Budget</w:t>
                  </w:r>
                </w:p>
                <w:p w:rsidR="00460371" w:rsidRPr="005530B8" w:rsidRDefault="00460371" w:rsidP="00AD4FFC">
                  <w:pPr>
                    <w:tabs>
                      <w:tab w:val="left" w:pos="1162"/>
                    </w:tabs>
                    <w:spacing w:before="60" w:after="60"/>
                    <w:rPr>
                      <w:rFonts w:cs="Calibri"/>
                      <w:color w:val="000000"/>
                      <w:sz w:val="18"/>
                      <w:szCs w:val="18"/>
                      <w:lang w:eastAsia="en-AU"/>
                    </w:rPr>
                  </w:pPr>
                  <w:r w:rsidRPr="0034628B">
                    <w:rPr>
                      <w:rFonts w:cs="Calibri"/>
                      <w:color w:val="000000"/>
                      <w:sz w:val="18"/>
                      <w:szCs w:val="18"/>
                      <w:lang w:eastAsia="en-AU"/>
                    </w:rPr>
                    <w:t>(Not covered elsewhere)</w:t>
                  </w:r>
                </w:p>
              </w:tc>
              <w:tc>
                <w:tcPr>
                  <w:tcW w:w="1659" w:type="dxa"/>
                  <w:gridSpan w:val="2"/>
                  <w:tcBorders>
                    <w:top w:val="single" w:sz="4" w:space="0" w:color="auto"/>
                    <w:left w:val="single" w:sz="4" w:space="0" w:color="auto"/>
                    <w:bottom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sidRPr="0034628B">
                    <w:rPr>
                      <w:rFonts w:cs="Calibri"/>
                      <w:color w:val="000000"/>
                      <w:sz w:val="18"/>
                      <w:szCs w:val="18"/>
                      <w:lang w:eastAsia="en-AU"/>
                    </w:rPr>
                    <w:t>Included</w:t>
                  </w:r>
                </w:p>
              </w:tc>
              <w:tc>
                <w:tcPr>
                  <w:tcW w:w="1731" w:type="dxa"/>
                  <w:tcBorders>
                    <w:top w:val="single" w:sz="4" w:space="0" w:color="auto"/>
                    <w:left w:val="single" w:sz="4" w:space="0" w:color="auto"/>
                    <w:bottom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sidRPr="0034628B">
                    <w:rPr>
                      <w:rFonts w:cs="Calibri"/>
                      <w:color w:val="000000"/>
                      <w:sz w:val="18"/>
                      <w:szCs w:val="18"/>
                      <w:lang w:eastAsia="en-AU"/>
                    </w:rPr>
                    <w:t>Included</w:t>
                  </w:r>
                </w:p>
              </w:tc>
            </w:tr>
            <w:tr w:rsidR="00460371" w:rsidRPr="005530B8" w:rsidTr="00157362">
              <w:trPr>
                <w:cantSplit/>
                <w:trHeight w:val="207"/>
                <w:jc w:val="center"/>
              </w:trPr>
              <w:tc>
                <w:tcPr>
                  <w:tcW w:w="1445" w:type="dxa"/>
                  <w:tcBorders>
                    <w:top w:val="nil"/>
                    <w:bottom w:val="nil"/>
                  </w:tcBorders>
                  <w:noWrap/>
                </w:tcPr>
                <w:p w:rsidR="00460371" w:rsidRDefault="00460371" w:rsidP="00AD4FFC">
                  <w:pPr>
                    <w:tabs>
                      <w:tab w:val="left" w:pos="1162"/>
                    </w:tabs>
                    <w:spacing w:before="60" w:after="60"/>
                    <w:rPr>
                      <w:rFonts w:cs="Calibri"/>
                      <w:color w:val="000000"/>
                      <w:sz w:val="18"/>
                      <w:szCs w:val="18"/>
                      <w:lang w:eastAsia="en-AU"/>
                    </w:rPr>
                  </w:pPr>
                </w:p>
              </w:tc>
              <w:tc>
                <w:tcPr>
                  <w:tcW w:w="4182" w:type="dxa"/>
                  <w:gridSpan w:val="3"/>
                  <w:tcBorders>
                    <w:top w:val="single" w:sz="4" w:space="0" w:color="auto"/>
                    <w:bottom w:val="single" w:sz="4" w:space="0" w:color="auto"/>
                    <w:right w:val="single" w:sz="4" w:space="0" w:color="auto"/>
                  </w:tcBorders>
                  <w:noWrap/>
                </w:tcPr>
                <w:p w:rsidR="00460371" w:rsidRPr="007F7235" w:rsidRDefault="00460371" w:rsidP="00AD4FFC">
                  <w:pPr>
                    <w:tabs>
                      <w:tab w:val="left" w:pos="1162"/>
                    </w:tabs>
                    <w:spacing w:before="60" w:after="60"/>
                    <w:rPr>
                      <w:rFonts w:cs="Calibri"/>
                      <w:color w:val="000000"/>
                      <w:sz w:val="18"/>
                      <w:szCs w:val="18"/>
                      <w:lang w:eastAsia="en-AU"/>
                    </w:rPr>
                  </w:pPr>
                  <w:r w:rsidRPr="000B5280">
                    <w:rPr>
                      <w:rFonts w:cs="Calibri"/>
                      <w:color w:val="000000"/>
                      <w:sz w:val="18"/>
                      <w:szCs w:val="18"/>
                      <w:lang w:eastAsia="en-AU"/>
                    </w:rPr>
                    <w:t xml:space="preserve">02 </w:t>
                  </w:r>
                  <w:r w:rsidRPr="007F7235">
                    <w:rPr>
                      <w:rFonts w:cs="Calibri"/>
                      <w:color w:val="000000"/>
                      <w:sz w:val="18"/>
                      <w:szCs w:val="18"/>
                      <w:lang w:eastAsia="en-AU"/>
                    </w:rPr>
                    <w:t xml:space="preserve">Health Service Budget </w:t>
                  </w:r>
                </w:p>
                <w:p w:rsidR="00460371" w:rsidRPr="005530B8" w:rsidRDefault="00460371" w:rsidP="00AD4FFC">
                  <w:pPr>
                    <w:tabs>
                      <w:tab w:val="left" w:pos="1162"/>
                    </w:tabs>
                    <w:spacing w:before="60" w:after="60"/>
                    <w:rPr>
                      <w:rFonts w:cs="Calibri"/>
                      <w:color w:val="000000"/>
                      <w:sz w:val="18"/>
                      <w:szCs w:val="18"/>
                      <w:lang w:eastAsia="en-AU"/>
                    </w:rPr>
                  </w:pPr>
                  <w:r w:rsidRPr="007F7235">
                    <w:rPr>
                      <w:rFonts w:cs="Calibri"/>
                      <w:color w:val="000000"/>
                      <w:sz w:val="18"/>
                      <w:szCs w:val="18"/>
                      <w:lang w:eastAsia="en-AU"/>
                    </w:rPr>
                    <w:t>(due to eligibility for Reciprocal Health Care Agreement)</w:t>
                  </w:r>
                </w:p>
              </w:tc>
              <w:tc>
                <w:tcPr>
                  <w:tcW w:w="1659" w:type="dxa"/>
                  <w:gridSpan w:val="2"/>
                  <w:tcBorders>
                    <w:top w:val="single" w:sz="4" w:space="0" w:color="auto"/>
                    <w:left w:val="single" w:sz="4" w:space="0" w:color="auto"/>
                    <w:bottom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sidRPr="000B5280">
                    <w:rPr>
                      <w:rFonts w:cs="Calibri"/>
                      <w:color w:val="000000"/>
                      <w:sz w:val="18"/>
                      <w:szCs w:val="18"/>
                      <w:lang w:eastAsia="en-AU"/>
                    </w:rPr>
                    <w:t>Included</w:t>
                  </w:r>
                </w:p>
              </w:tc>
              <w:tc>
                <w:tcPr>
                  <w:tcW w:w="1731" w:type="dxa"/>
                  <w:tcBorders>
                    <w:top w:val="single" w:sz="4" w:space="0" w:color="auto"/>
                    <w:left w:val="single" w:sz="4" w:space="0" w:color="auto"/>
                    <w:bottom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Pr>
                      <w:rFonts w:cs="Calibri"/>
                      <w:color w:val="000000"/>
                      <w:sz w:val="18"/>
                      <w:szCs w:val="18"/>
                      <w:lang w:eastAsia="en-AU"/>
                    </w:rPr>
                    <w:t>Included</w:t>
                  </w:r>
                </w:p>
              </w:tc>
            </w:tr>
            <w:tr w:rsidR="00460371" w:rsidRPr="005530B8" w:rsidTr="00157362">
              <w:trPr>
                <w:cantSplit/>
                <w:trHeight w:val="161"/>
                <w:jc w:val="center"/>
              </w:trPr>
              <w:tc>
                <w:tcPr>
                  <w:tcW w:w="1445" w:type="dxa"/>
                  <w:tcBorders>
                    <w:top w:val="nil"/>
                    <w:bottom w:val="nil"/>
                  </w:tcBorders>
                  <w:noWrap/>
                </w:tcPr>
                <w:p w:rsidR="00460371" w:rsidRDefault="00460371" w:rsidP="00AD4FFC">
                  <w:pPr>
                    <w:tabs>
                      <w:tab w:val="left" w:pos="1162"/>
                    </w:tabs>
                    <w:spacing w:before="60" w:after="60"/>
                    <w:rPr>
                      <w:rFonts w:cs="Calibri"/>
                      <w:color w:val="000000"/>
                      <w:sz w:val="18"/>
                      <w:szCs w:val="18"/>
                      <w:lang w:eastAsia="en-AU"/>
                    </w:rPr>
                  </w:pPr>
                </w:p>
              </w:tc>
              <w:tc>
                <w:tcPr>
                  <w:tcW w:w="4182" w:type="dxa"/>
                  <w:gridSpan w:val="3"/>
                  <w:tcBorders>
                    <w:top w:val="single" w:sz="4" w:space="0" w:color="auto"/>
                    <w:bottom w:val="single" w:sz="4" w:space="0" w:color="auto"/>
                    <w:right w:val="single" w:sz="4" w:space="0" w:color="auto"/>
                  </w:tcBorders>
                  <w:noWrap/>
                </w:tcPr>
                <w:p w:rsidR="00460371" w:rsidRPr="005530B8" w:rsidRDefault="00460371" w:rsidP="00AD4FFC">
                  <w:pPr>
                    <w:tabs>
                      <w:tab w:val="left" w:pos="1162"/>
                    </w:tabs>
                    <w:spacing w:before="60" w:after="60"/>
                    <w:rPr>
                      <w:rFonts w:cs="Calibri"/>
                      <w:color w:val="000000"/>
                      <w:sz w:val="18"/>
                      <w:szCs w:val="18"/>
                      <w:lang w:eastAsia="en-AU"/>
                    </w:rPr>
                  </w:pPr>
                  <w:r>
                    <w:rPr>
                      <w:rFonts w:cs="Calibri"/>
                      <w:color w:val="000000"/>
                      <w:sz w:val="18"/>
                      <w:szCs w:val="18"/>
                      <w:lang w:eastAsia="en-AU"/>
                    </w:rPr>
                    <w:t>08</w:t>
                  </w:r>
                  <w:r w:rsidRPr="0034628B">
                    <w:rPr>
                      <w:rFonts w:cs="Calibri"/>
                      <w:color w:val="000000"/>
                      <w:sz w:val="18"/>
                      <w:szCs w:val="18"/>
                      <w:lang w:eastAsia="en-AU"/>
                    </w:rPr>
                    <w:t xml:space="preserve"> Other hospital or public authority (contracted care)</w:t>
                  </w:r>
                </w:p>
              </w:tc>
              <w:tc>
                <w:tcPr>
                  <w:tcW w:w="1659" w:type="dxa"/>
                  <w:gridSpan w:val="2"/>
                  <w:tcBorders>
                    <w:top w:val="single" w:sz="4" w:space="0" w:color="auto"/>
                    <w:left w:val="single" w:sz="4" w:space="0" w:color="auto"/>
                    <w:bottom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Pr>
                      <w:rFonts w:cs="Calibri"/>
                      <w:color w:val="000000"/>
                      <w:sz w:val="18"/>
                      <w:szCs w:val="18"/>
                      <w:lang w:eastAsia="en-AU"/>
                    </w:rPr>
                    <w:t>Included</w:t>
                  </w:r>
                </w:p>
              </w:tc>
              <w:tc>
                <w:tcPr>
                  <w:tcW w:w="1731" w:type="dxa"/>
                  <w:tcBorders>
                    <w:top w:val="single" w:sz="4" w:space="0" w:color="auto"/>
                    <w:left w:val="single" w:sz="4" w:space="0" w:color="auto"/>
                    <w:bottom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sidRPr="0034628B">
                    <w:rPr>
                      <w:rFonts w:cs="Calibri"/>
                      <w:color w:val="000000"/>
                      <w:sz w:val="18"/>
                      <w:szCs w:val="18"/>
                      <w:lang w:eastAsia="en-AU"/>
                    </w:rPr>
                    <w:t>Included where election status is public</w:t>
                  </w:r>
                </w:p>
              </w:tc>
            </w:tr>
            <w:tr w:rsidR="00460371" w:rsidRPr="005530B8" w:rsidTr="00157362">
              <w:trPr>
                <w:cantSplit/>
                <w:trHeight w:val="173"/>
                <w:jc w:val="center"/>
              </w:trPr>
              <w:tc>
                <w:tcPr>
                  <w:tcW w:w="1445" w:type="dxa"/>
                  <w:tcBorders>
                    <w:top w:val="nil"/>
                    <w:bottom w:val="nil"/>
                  </w:tcBorders>
                  <w:noWrap/>
                </w:tcPr>
                <w:p w:rsidR="00460371" w:rsidRDefault="00460371" w:rsidP="00AD4FFC">
                  <w:pPr>
                    <w:tabs>
                      <w:tab w:val="left" w:pos="1162"/>
                    </w:tabs>
                    <w:spacing w:before="60" w:after="60"/>
                    <w:rPr>
                      <w:rFonts w:cs="Calibri"/>
                      <w:color w:val="000000"/>
                      <w:sz w:val="18"/>
                      <w:szCs w:val="18"/>
                      <w:lang w:eastAsia="en-AU"/>
                    </w:rPr>
                  </w:pPr>
                </w:p>
              </w:tc>
              <w:tc>
                <w:tcPr>
                  <w:tcW w:w="4182" w:type="dxa"/>
                  <w:gridSpan w:val="3"/>
                  <w:tcBorders>
                    <w:top w:val="single" w:sz="4" w:space="0" w:color="auto"/>
                    <w:bottom w:val="single" w:sz="4" w:space="0" w:color="auto"/>
                    <w:right w:val="single" w:sz="4" w:space="0" w:color="auto"/>
                  </w:tcBorders>
                  <w:noWrap/>
                </w:tcPr>
                <w:p w:rsidR="00460371" w:rsidRPr="005530B8" w:rsidRDefault="00460371" w:rsidP="00AD4FFC">
                  <w:pPr>
                    <w:tabs>
                      <w:tab w:val="left" w:pos="1162"/>
                    </w:tabs>
                    <w:spacing w:before="60" w:after="60"/>
                    <w:rPr>
                      <w:rFonts w:cs="Calibri"/>
                      <w:color w:val="000000"/>
                      <w:sz w:val="18"/>
                      <w:szCs w:val="18"/>
                      <w:lang w:eastAsia="en-AU"/>
                    </w:rPr>
                  </w:pPr>
                  <w:r w:rsidRPr="007F7235">
                    <w:rPr>
                      <w:rFonts w:cs="Calibri"/>
                      <w:color w:val="000000"/>
                      <w:sz w:val="18"/>
                      <w:szCs w:val="18"/>
                      <w:lang w:eastAsia="en-AU"/>
                    </w:rPr>
                    <w:t>09 Private Health Insurance</w:t>
                  </w:r>
                </w:p>
              </w:tc>
              <w:tc>
                <w:tcPr>
                  <w:tcW w:w="1659" w:type="dxa"/>
                  <w:gridSpan w:val="2"/>
                  <w:tcBorders>
                    <w:top w:val="single" w:sz="4" w:space="0" w:color="auto"/>
                    <w:left w:val="single" w:sz="4" w:space="0" w:color="auto"/>
                    <w:bottom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sidRPr="000B5280">
                    <w:rPr>
                      <w:rFonts w:cs="Calibri"/>
                      <w:color w:val="000000"/>
                      <w:sz w:val="18"/>
                      <w:szCs w:val="18"/>
                      <w:lang w:eastAsia="en-AU"/>
                    </w:rPr>
                    <w:t>Included</w:t>
                  </w:r>
                </w:p>
              </w:tc>
              <w:tc>
                <w:tcPr>
                  <w:tcW w:w="1731" w:type="dxa"/>
                  <w:tcBorders>
                    <w:top w:val="single" w:sz="4" w:space="0" w:color="auto"/>
                    <w:left w:val="single" w:sz="4" w:space="0" w:color="auto"/>
                    <w:bottom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sidRPr="000B5280">
                    <w:rPr>
                      <w:rFonts w:cs="Calibri"/>
                      <w:color w:val="000000"/>
                      <w:sz w:val="18"/>
                      <w:szCs w:val="18"/>
                      <w:lang w:eastAsia="en-AU"/>
                    </w:rPr>
                    <w:t>Excluded</w:t>
                  </w:r>
                </w:p>
              </w:tc>
            </w:tr>
            <w:tr w:rsidR="00460371" w:rsidRPr="005530B8" w:rsidTr="00157362">
              <w:trPr>
                <w:cantSplit/>
                <w:trHeight w:val="230"/>
                <w:jc w:val="center"/>
              </w:trPr>
              <w:tc>
                <w:tcPr>
                  <w:tcW w:w="1445" w:type="dxa"/>
                  <w:tcBorders>
                    <w:top w:val="nil"/>
                  </w:tcBorders>
                  <w:noWrap/>
                </w:tcPr>
                <w:p w:rsidR="00460371" w:rsidRDefault="00460371" w:rsidP="00AD4FFC">
                  <w:pPr>
                    <w:tabs>
                      <w:tab w:val="left" w:pos="1162"/>
                    </w:tabs>
                    <w:spacing w:before="60" w:after="60"/>
                    <w:rPr>
                      <w:rFonts w:cs="Calibri"/>
                      <w:color w:val="000000"/>
                      <w:sz w:val="18"/>
                      <w:szCs w:val="18"/>
                      <w:lang w:eastAsia="en-AU"/>
                    </w:rPr>
                  </w:pPr>
                </w:p>
              </w:tc>
              <w:tc>
                <w:tcPr>
                  <w:tcW w:w="4182" w:type="dxa"/>
                  <w:gridSpan w:val="3"/>
                  <w:tcBorders>
                    <w:top w:val="single" w:sz="4" w:space="0" w:color="auto"/>
                    <w:right w:val="single" w:sz="4" w:space="0" w:color="auto"/>
                  </w:tcBorders>
                  <w:noWrap/>
                </w:tcPr>
                <w:p w:rsidR="00460371" w:rsidRPr="005530B8" w:rsidRDefault="00460371" w:rsidP="00AD4FFC">
                  <w:pPr>
                    <w:tabs>
                      <w:tab w:val="left" w:pos="1162"/>
                    </w:tabs>
                    <w:spacing w:before="60" w:after="60"/>
                    <w:rPr>
                      <w:rFonts w:cs="Calibri"/>
                      <w:color w:val="000000"/>
                      <w:sz w:val="18"/>
                      <w:szCs w:val="18"/>
                      <w:lang w:eastAsia="en-AU"/>
                    </w:rPr>
                  </w:pPr>
                  <w:r>
                    <w:rPr>
                      <w:rFonts w:cs="Calibri"/>
                      <w:color w:val="000000"/>
                      <w:sz w:val="18"/>
                      <w:szCs w:val="18"/>
                      <w:lang w:eastAsia="en-AU"/>
                    </w:rPr>
                    <w:t xml:space="preserve">13 </w:t>
                  </w:r>
                  <w:r w:rsidRPr="0034628B">
                    <w:rPr>
                      <w:rFonts w:cs="Calibri"/>
                      <w:color w:val="000000"/>
                      <w:sz w:val="18"/>
                      <w:szCs w:val="18"/>
                      <w:lang w:eastAsia="en-AU"/>
                    </w:rPr>
                    <w:t>Self-funded</w:t>
                  </w:r>
                </w:p>
              </w:tc>
              <w:tc>
                <w:tcPr>
                  <w:tcW w:w="1659" w:type="dxa"/>
                  <w:gridSpan w:val="2"/>
                  <w:tcBorders>
                    <w:top w:val="single" w:sz="4" w:space="0" w:color="auto"/>
                    <w:left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sidRPr="000B5280">
                    <w:rPr>
                      <w:rFonts w:cs="Calibri"/>
                      <w:color w:val="000000"/>
                      <w:sz w:val="18"/>
                      <w:szCs w:val="18"/>
                      <w:lang w:eastAsia="en-AU"/>
                    </w:rPr>
                    <w:t>Included</w:t>
                  </w:r>
                </w:p>
              </w:tc>
              <w:tc>
                <w:tcPr>
                  <w:tcW w:w="1731" w:type="dxa"/>
                  <w:tcBorders>
                    <w:top w:val="single" w:sz="4" w:space="0" w:color="auto"/>
                    <w:left w:val="single" w:sz="4" w:space="0" w:color="auto"/>
                  </w:tcBorders>
                </w:tcPr>
                <w:p w:rsidR="00460371" w:rsidRPr="005530B8" w:rsidRDefault="00460371" w:rsidP="00AD4FFC">
                  <w:pPr>
                    <w:tabs>
                      <w:tab w:val="left" w:pos="1162"/>
                    </w:tabs>
                    <w:spacing w:before="60" w:after="60"/>
                    <w:rPr>
                      <w:rFonts w:cs="Calibri"/>
                      <w:color w:val="000000"/>
                      <w:sz w:val="18"/>
                      <w:szCs w:val="18"/>
                      <w:lang w:eastAsia="en-AU"/>
                    </w:rPr>
                  </w:pPr>
                  <w:r>
                    <w:rPr>
                      <w:rFonts w:cs="Calibri"/>
                      <w:color w:val="000000"/>
                      <w:sz w:val="18"/>
                      <w:szCs w:val="18"/>
                      <w:lang w:eastAsia="en-AU"/>
                    </w:rPr>
                    <w:t>Excluded</w:t>
                  </w:r>
                </w:p>
              </w:tc>
            </w:tr>
            <w:tr w:rsidR="009B4A55" w:rsidRPr="005530B8" w:rsidTr="00157362">
              <w:trPr>
                <w:cantSplit/>
                <w:trHeight w:val="231"/>
                <w:jc w:val="center"/>
              </w:trPr>
              <w:tc>
                <w:tcPr>
                  <w:tcW w:w="1445" w:type="dxa"/>
                  <w:noWrap/>
                </w:tcPr>
                <w:p w:rsidR="009B4A55" w:rsidRPr="005530B8" w:rsidRDefault="009B4A55" w:rsidP="00AD4FFC">
                  <w:pPr>
                    <w:tabs>
                      <w:tab w:val="left" w:pos="1162"/>
                    </w:tabs>
                    <w:spacing w:before="60" w:after="60"/>
                    <w:rPr>
                      <w:rFonts w:cs="Calibri"/>
                      <w:color w:val="000000"/>
                      <w:sz w:val="18"/>
                      <w:szCs w:val="18"/>
                      <w:lang w:eastAsia="en-AU"/>
                    </w:rPr>
                  </w:pPr>
                  <w:r>
                    <w:rPr>
                      <w:rFonts w:cs="Calibri"/>
                      <w:color w:val="000000"/>
                      <w:sz w:val="18"/>
                      <w:szCs w:val="18"/>
                      <w:lang w:eastAsia="en-AU"/>
                    </w:rPr>
                    <w:t>Hospital size &amp; location</w:t>
                  </w:r>
                </w:p>
              </w:tc>
              <w:tc>
                <w:tcPr>
                  <w:tcW w:w="2524" w:type="dxa"/>
                  <w:tcBorders>
                    <w:right w:val="nil"/>
                  </w:tcBorders>
                  <w:noWrap/>
                </w:tcPr>
                <w:p w:rsidR="009B4A55" w:rsidRPr="005530B8" w:rsidRDefault="009B4A55" w:rsidP="00AD4FFC">
                  <w:pPr>
                    <w:tabs>
                      <w:tab w:val="left" w:pos="1162"/>
                    </w:tabs>
                    <w:spacing w:before="60" w:after="60"/>
                    <w:rPr>
                      <w:rFonts w:cs="Calibri"/>
                      <w:color w:val="000000"/>
                      <w:sz w:val="18"/>
                      <w:szCs w:val="18"/>
                      <w:lang w:eastAsia="en-AU"/>
                    </w:rPr>
                  </w:pPr>
                  <w:r>
                    <w:rPr>
                      <w:rFonts w:cs="Calibri"/>
                      <w:color w:val="000000"/>
                      <w:sz w:val="18"/>
                      <w:szCs w:val="18"/>
                      <w:lang w:eastAsia="en-AU"/>
                    </w:rPr>
                    <w:t xml:space="preserve">As per the </w:t>
                  </w:r>
                  <w:r w:rsidRPr="000338BE">
                    <w:rPr>
                      <w:rFonts w:cs="Calibri"/>
                      <w:i/>
                      <w:color w:val="000000"/>
                      <w:sz w:val="18"/>
                      <w:szCs w:val="18"/>
                      <w:lang w:eastAsia="en-AU"/>
                    </w:rPr>
                    <w:t>Determination</w:t>
                  </w:r>
                  <w:r>
                    <w:rPr>
                      <w:rFonts w:cs="Calibri"/>
                      <w:i/>
                      <w:color w:val="000000"/>
                      <w:sz w:val="18"/>
                      <w:szCs w:val="18"/>
                      <w:lang w:eastAsia="en-AU"/>
                    </w:rPr>
                    <w:t xml:space="preserve">. </w:t>
                  </w:r>
                </w:p>
              </w:tc>
              <w:tc>
                <w:tcPr>
                  <w:tcW w:w="2524" w:type="dxa"/>
                  <w:gridSpan w:val="3"/>
                  <w:tcBorders>
                    <w:left w:val="nil"/>
                    <w:right w:val="nil"/>
                  </w:tcBorders>
                </w:tcPr>
                <w:p w:rsidR="009B4A55" w:rsidRPr="005530B8" w:rsidRDefault="009B4A55" w:rsidP="00AD4FFC">
                  <w:pPr>
                    <w:tabs>
                      <w:tab w:val="left" w:pos="1162"/>
                    </w:tabs>
                    <w:spacing w:before="60" w:after="60"/>
                    <w:rPr>
                      <w:rFonts w:cs="Calibri"/>
                      <w:color w:val="000000"/>
                      <w:sz w:val="18"/>
                      <w:szCs w:val="18"/>
                      <w:lang w:eastAsia="en-AU"/>
                    </w:rPr>
                  </w:pPr>
                </w:p>
              </w:tc>
              <w:tc>
                <w:tcPr>
                  <w:tcW w:w="2524" w:type="dxa"/>
                  <w:gridSpan w:val="2"/>
                  <w:tcBorders>
                    <w:left w:val="nil"/>
                  </w:tcBorders>
                </w:tcPr>
                <w:p w:rsidR="009B4A55" w:rsidRPr="005530B8" w:rsidRDefault="009B4A55" w:rsidP="00AD4FFC">
                  <w:pPr>
                    <w:tabs>
                      <w:tab w:val="left" w:pos="1162"/>
                    </w:tabs>
                    <w:spacing w:before="60" w:after="60"/>
                    <w:rPr>
                      <w:rFonts w:cs="Calibri"/>
                      <w:color w:val="000000"/>
                      <w:sz w:val="18"/>
                      <w:szCs w:val="18"/>
                      <w:lang w:eastAsia="en-AU"/>
                    </w:rPr>
                  </w:pPr>
                </w:p>
              </w:tc>
            </w:tr>
            <w:tr w:rsidR="00460371" w:rsidRPr="005530B8" w:rsidTr="00157362">
              <w:trPr>
                <w:cantSplit/>
                <w:trHeight w:val="231"/>
                <w:jc w:val="center"/>
              </w:trPr>
              <w:tc>
                <w:tcPr>
                  <w:tcW w:w="1445" w:type="dxa"/>
                  <w:noWrap/>
                </w:tcPr>
                <w:p w:rsidR="00460371" w:rsidRDefault="00E4094C" w:rsidP="00AD4FFC">
                  <w:pPr>
                    <w:tabs>
                      <w:tab w:val="left" w:pos="1162"/>
                    </w:tabs>
                    <w:spacing w:before="60" w:after="60"/>
                    <w:rPr>
                      <w:rFonts w:cs="Calibri"/>
                      <w:color w:val="000000"/>
                      <w:sz w:val="18"/>
                      <w:szCs w:val="18"/>
                      <w:lang w:eastAsia="en-AU"/>
                    </w:rPr>
                  </w:pPr>
                  <w:r>
                    <w:rPr>
                      <w:rFonts w:cs="Calibri"/>
                      <w:color w:val="000000"/>
                      <w:sz w:val="18"/>
                      <w:szCs w:val="18"/>
                      <w:lang w:eastAsia="en-AU"/>
                    </w:rPr>
                    <w:t>Error AR</w:t>
                  </w:r>
                  <w:r>
                    <w:rPr>
                      <w:rFonts w:cs="Calibri"/>
                      <w:color w:val="000000"/>
                      <w:sz w:val="18"/>
                      <w:szCs w:val="18"/>
                      <w:lang w:eastAsia="en-AU"/>
                    </w:rPr>
                    <w:noBreakHyphen/>
                  </w:r>
                  <w:r w:rsidR="00460371">
                    <w:rPr>
                      <w:rFonts w:cs="Calibri"/>
                      <w:color w:val="000000"/>
                      <w:sz w:val="18"/>
                      <w:szCs w:val="18"/>
                      <w:lang w:eastAsia="en-AU"/>
                    </w:rPr>
                    <w:t>DRGs</w:t>
                  </w:r>
                </w:p>
              </w:tc>
              <w:tc>
                <w:tcPr>
                  <w:tcW w:w="7572" w:type="dxa"/>
                  <w:gridSpan w:val="6"/>
                  <w:noWrap/>
                </w:tcPr>
                <w:p w:rsidR="00460371" w:rsidRDefault="00460371">
                  <w:pPr>
                    <w:tabs>
                      <w:tab w:val="left" w:pos="1162"/>
                    </w:tabs>
                    <w:spacing w:before="60" w:after="60"/>
                    <w:rPr>
                      <w:rFonts w:cs="Calibri"/>
                      <w:color w:val="000000"/>
                      <w:sz w:val="18"/>
                      <w:szCs w:val="18"/>
                      <w:lang w:eastAsia="en-AU"/>
                    </w:rPr>
                  </w:pPr>
                  <w:r w:rsidRPr="00704D86">
                    <w:rPr>
                      <w:rFonts w:cs="Calibri"/>
                      <w:color w:val="000000"/>
                      <w:sz w:val="18"/>
                      <w:szCs w:val="18"/>
                      <w:lang w:eastAsia="en-AU"/>
                    </w:rPr>
                    <w:t xml:space="preserve">Episodes with an ‘error’ AR-DRG are not assigned an NWAU. </w:t>
                  </w:r>
                  <w:r>
                    <w:rPr>
                      <w:rFonts w:cs="Calibri"/>
                      <w:color w:val="000000"/>
                      <w:sz w:val="18"/>
                      <w:szCs w:val="18"/>
                      <w:lang w:eastAsia="en-AU"/>
                    </w:rPr>
                    <w:t>These include AR-DRGs v</w:t>
                  </w:r>
                  <w:r w:rsidR="00C006FF">
                    <w:rPr>
                      <w:rFonts w:cs="Calibri"/>
                      <w:color w:val="000000"/>
                      <w:sz w:val="18"/>
                      <w:szCs w:val="18"/>
                      <w:lang w:eastAsia="en-AU"/>
                    </w:rPr>
                    <w:t>8</w:t>
                  </w:r>
                  <w:r>
                    <w:rPr>
                      <w:rFonts w:cs="Calibri"/>
                      <w:color w:val="000000"/>
                      <w:sz w:val="18"/>
                      <w:szCs w:val="18"/>
                      <w:lang w:eastAsia="en-AU"/>
                    </w:rPr>
                    <w:t xml:space="preserve"> 960Z, 961Z, and 963Z.</w:t>
                  </w:r>
                </w:p>
              </w:tc>
            </w:tr>
          </w:tbl>
          <w:p w:rsidR="00460371" w:rsidRDefault="00460371" w:rsidP="00AD4FFC">
            <w:pPr>
              <w:tabs>
                <w:tab w:val="left" w:pos="1162"/>
              </w:tabs>
              <w:spacing w:after="0"/>
            </w:pPr>
          </w:p>
        </w:tc>
      </w:tr>
    </w:tbl>
    <w:p w:rsidR="00460371" w:rsidRPr="00BD39DD" w:rsidRDefault="00460371" w:rsidP="00AD4FFC">
      <w:pPr>
        <w:pStyle w:val="Heading3"/>
        <w:keepLines w:val="0"/>
        <w:numPr>
          <w:ilvl w:val="2"/>
          <w:numId w:val="35"/>
        </w:numPr>
        <w:tabs>
          <w:tab w:val="left" w:pos="1162"/>
        </w:tabs>
        <w:spacing w:before="240" w:after="120"/>
      </w:pPr>
      <w:bookmarkStart w:id="93" w:name="_Toc318905723"/>
      <w:bookmarkStart w:id="94" w:name="_Toc380754695"/>
      <w:bookmarkStart w:id="95" w:name="_Toc444528574"/>
      <w:r w:rsidRPr="00BD39DD">
        <w:t>Classification</w:t>
      </w:r>
      <w:bookmarkEnd w:id="93"/>
      <w:bookmarkEnd w:id="94"/>
      <w:bookmarkEnd w:id="95"/>
    </w:p>
    <w:p w:rsidR="00460371" w:rsidRDefault="00460371" w:rsidP="00AD4FFC">
      <w:pPr>
        <w:tabs>
          <w:tab w:val="left" w:pos="1162"/>
        </w:tabs>
        <w:rPr>
          <w:rFonts w:cs="Arial"/>
          <w:szCs w:val="20"/>
        </w:rPr>
      </w:pPr>
      <w:r w:rsidRPr="004C6E9F">
        <w:rPr>
          <w:rFonts w:cs="Arial"/>
          <w:szCs w:val="20"/>
        </w:rPr>
        <w:t xml:space="preserve">Australian Refined Diagnosis Related Groups (AR-DRGs) are used to classify </w:t>
      </w:r>
      <w:r w:rsidR="001C6800">
        <w:rPr>
          <w:rFonts w:cs="Arial"/>
          <w:szCs w:val="20"/>
        </w:rPr>
        <w:t>admitted acute</w:t>
      </w:r>
      <w:r w:rsidRPr="004C6E9F">
        <w:rPr>
          <w:rFonts w:cs="Arial"/>
          <w:szCs w:val="20"/>
        </w:rPr>
        <w:t xml:space="preserve"> care</w:t>
      </w:r>
      <w:r>
        <w:rPr>
          <w:rFonts w:cs="Arial"/>
          <w:szCs w:val="20"/>
        </w:rPr>
        <w:t xml:space="preserve">. </w:t>
      </w:r>
      <w:r w:rsidRPr="004C6E9F">
        <w:rPr>
          <w:rFonts w:cs="Arial"/>
          <w:szCs w:val="20"/>
        </w:rPr>
        <w:t xml:space="preserve">The version applying for </w:t>
      </w:r>
      <w:r w:rsidR="008E0156">
        <w:rPr>
          <w:rFonts w:cs="Arial"/>
          <w:szCs w:val="20"/>
        </w:rPr>
        <w:t>pricing</w:t>
      </w:r>
      <w:r w:rsidRPr="004C6E9F">
        <w:rPr>
          <w:rFonts w:cs="Arial"/>
          <w:szCs w:val="20"/>
        </w:rPr>
        <w:t xml:space="preserve"> in </w:t>
      </w:r>
      <w:r w:rsidR="000C75BC">
        <w:rPr>
          <w:rFonts w:cs="Arial"/>
          <w:szCs w:val="20"/>
        </w:rPr>
        <w:t>2016-17</w:t>
      </w:r>
      <w:r w:rsidRPr="004C6E9F">
        <w:rPr>
          <w:rFonts w:cs="Arial"/>
          <w:szCs w:val="20"/>
        </w:rPr>
        <w:t xml:space="preserve"> is </w:t>
      </w:r>
      <w:r>
        <w:rPr>
          <w:rFonts w:cs="Arial"/>
          <w:szCs w:val="20"/>
        </w:rPr>
        <w:t>AR-DRG v</w:t>
      </w:r>
      <w:r w:rsidR="00317145">
        <w:rPr>
          <w:rFonts w:cs="Arial"/>
          <w:szCs w:val="20"/>
        </w:rPr>
        <w:t>8</w:t>
      </w:r>
      <w:r>
        <w:rPr>
          <w:rFonts w:cs="Arial"/>
          <w:szCs w:val="20"/>
        </w:rPr>
        <w:t>.</w:t>
      </w:r>
    </w:p>
    <w:p w:rsidR="007E1382" w:rsidRDefault="007E1382" w:rsidP="00AD4FFC">
      <w:pPr>
        <w:tabs>
          <w:tab w:val="left" w:pos="1162"/>
        </w:tabs>
        <w:rPr>
          <w:rFonts w:cs="Arial"/>
          <w:i/>
          <w:szCs w:val="20"/>
          <w:u w:val="single"/>
        </w:rPr>
      </w:pPr>
      <w:r w:rsidRPr="006044ED">
        <w:rPr>
          <w:rFonts w:cs="Arial"/>
          <w:i/>
          <w:szCs w:val="20"/>
          <w:u w:val="single"/>
        </w:rPr>
        <w:t>Rehabilitation DRGs</w:t>
      </w:r>
    </w:p>
    <w:p w:rsidR="007E1382" w:rsidRDefault="007E1382" w:rsidP="00AD4FFC">
      <w:pPr>
        <w:tabs>
          <w:tab w:val="left" w:pos="1162"/>
        </w:tabs>
        <w:rPr>
          <w:rFonts w:cs="Arial"/>
          <w:szCs w:val="20"/>
        </w:rPr>
      </w:pPr>
      <w:r>
        <w:rPr>
          <w:rFonts w:cs="Arial"/>
          <w:szCs w:val="20"/>
        </w:rPr>
        <w:t>The 2013-14 activity data used to develop the NEP16 acute admitted</w:t>
      </w:r>
      <w:r w:rsidR="00C136F9">
        <w:rPr>
          <w:rFonts w:cs="Arial"/>
          <w:szCs w:val="20"/>
        </w:rPr>
        <w:t xml:space="preserve"> cost model is coded using eighth</w:t>
      </w:r>
      <w:r>
        <w:rPr>
          <w:rFonts w:cs="Arial"/>
          <w:szCs w:val="20"/>
        </w:rPr>
        <w:t xml:space="preserve"> edition ICD-10-AM. Under eight</w:t>
      </w:r>
      <w:r w:rsidR="00B36606">
        <w:rPr>
          <w:rFonts w:cs="Arial"/>
          <w:szCs w:val="20"/>
        </w:rPr>
        <w:t>h</w:t>
      </w:r>
      <w:r>
        <w:rPr>
          <w:rFonts w:cs="Arial"/>
          <w:szCs w:val="20"/>
        </w:rPr>
        <w:t xml:space="preserve"> edition coding, a principal diagnosis of Z50</w:t>
      </w:r>
      <w:r w:rsidR="00B36606">
        <w:rPr>
          <w:rFonts w:cs="Arial"/>
          <w:szCs w:val="20"/>
        </w:rPr>
        <w:t xml:space="preserve"> – </w:t>
      </w:r>
      <w:r w:rsidR="00B36606">
        <w:rPr>
          <w:rFonts w:cs="Arial"/>
          <w:i/>
          <w:szCs w:val="20"/>
        </w:rPr>
        <w:t>Care involving use of rehabilitation procedures,</w:t>
      </w:r>
      <w:r w:rsidR="00B36606">
        <w:rPr>
          <w:rFonts w:cs="Arial"/>
          <w:szCs w:val="20"/>
        </w:rPr>
        <w:t xml:space="preserve"> is allowed to be grouped to</w:t>
      </w:r>
      <w:r>
        <w:rPr>
          <w:rFonts w:cs="Arial"/>
          <w:szCs w:val="20"/>
        </w:rPr>
        <w:t xml:space="preserve"> DRGs (Z60A – </w:t>
      </w:r>
      <w:r w:rsidRPr="006044ED">
        <w:rPr>
          <w:rFonts w:cs="Arial"/>
          <w:i/>
          <w:szCs w:val="20"/>
        </w:rPr>
        <w:t>Rehabilitation, Major Com</w:t>
      </w:r>
      <w:r w:rsidR="00B36606">
        <w:rPr>
          <w:rFonts w:cs="Arial"/>
          <w:i/>
          <w:szCs w:val="20"/>
        </w:rPr>
        <w:t>p</w:t>
      </w:r>
      <w:r w:rsidRPr="006044ED">
        <w:rPr>
          <w:rFonts w:cs="Arial"/>
          <w:i/>
          <w:szCs w:val="20"/>
        </w:rPr>
        <w:t>lexity</w:t>
      </w:r>
      <w:r w:rsidR="00B36606">
        <w:rPr>
          <w:rFonts w:cs="Arial"/>
          <w:i/>
          <w:szCs w:val="20"/>
        </w:rPr>
        <w:t xml:space="preserve"> </w:t>
      </w:r>
      <w:r w:rsidR="00B36606">
        <w:rPr>
          <w:rFonts w:cs="Arial"/>
          <w:szCs w:val="20"/>
        </w:rPr>
        <w:t xml:space="preserve">and </w:t>
      </w:r>
      <w:r w:rsidR="00B36606">
        <w:rPr>
          <w:rFonts w:cs="Arial"/>
          <w:i/>
          <w:szCs w:val="20"/>
        </w:rPr>
        <w:t xml:space="preserve">Z60B – </w:t>
      </w:r>
      <w:r w:rsidR="00B36606" w:rsidRPr="006044ED">
        <w:rPr>
          <w:rFonts w:cs="Arial"/>
          <w:i/>
          <w:szCs w:val="20"/>
        </w:rPr>
        <w:t>Rehabilitation, Minor Complexity</w:t>
      </w:r>
      <w:r w:rsidR="00B36606">
        <w:rPr>
          <w:rFonts w:cs="Arial"/>
          <w:szCs w:val="20"/>
        </w:rPr>
        <w:t xml:space="preserve">).  </w:t>
      </w:r>
    </w:p>
    <w:p w:rsidR="00B36606" w:rsidRPr="00B36606" w:rsidRDefault="00B36606" w:rsidP="00AD4FFC">
      <w:pPr>
        <w:tabs>
          <w:tab w:val="left" w:pos="1162"/>
        </w:tabs>
        <w:rPr>
          <w:rFonts w:cs="Arial"/>
          <w:szCs w:val="20"/>
        </w:rPr>
      </w:pPr>
      <w:r>
        <w:rPr>
          <w:rFonts w:cs="Arial"/>
          <w:szCs w:val="20"/>
        </w:rPr>
        <w:t>Ninth edition coding, introduced on 1 July 2015, disallows the Z50 diagnosis codes as a principal diagnosis. Instead, episodes that would previously have fallen into the Z60 DRGs are allocated to a DRG based on the</w:t>
      </w:r>
      <w:r w:rsidR="00C136F9">
        <w:rPr>
          <w:rFonts w:cs="Arial"/>
          <w:szCs w:val="20"/>
        </w:rPr>
        <w:t>ir first valid secondary diagnosis code (for example fractured neck of femur or stroke)</w:t>
      </w:r>
      <w:r>
        <w:rPr>
          <w:rFonts w:cs="Arial"/>
          <w:szCs w:val="20"/>
        </w:rPr>
        <w:t>. As a result, no patients are assigned to Z60A and Z60B DRGs.</w:t>
      </w:r>
    </w:p>
    <w:p w:rsidR="00460371" w:rsidRDefault="00460371" w:rsidP="00AD4FFC">
      <w:pPr>
        <w:pStyle w:val="Heading2"/>
        <w:keepLines w:val="0"/>
        <w:numPr>
          <w:ilvl w:val="1"/>
          <w:numId w:val="35"/>
        </w:numPr>
        <w:tabs>
          <w:tab w:val="left" w:pos="1162"/>
        </w:tabs>
        <w:spacing w:after="60"/>
      </w:pPr>
      <w:bookmarkStart w:id="96" w:name="_Toc318905726"/>
      <w:bookmarkStart w:id="97" w:name="_Toc380754696"/>
      <w:bookmarkStart w:id="98" w:name="_Toc444528575"/>
      <w:r w:rsidRPr="009E7816">
        <w:t xml:space="preserve">Analysis of costs to derive NWAU for </w:t>
      </w:r>
      <w:r w:rsidR="001C6800">
        <w:t>admitted acute</w:t>
      </w:r>
      <w:r w:rsidRPr="009E7816">
        <w:t xml:space="preserve"> care</w:t>
      </w:r>
      <w:bookmarkEnd w:id="96"/>
      <w:bookmarkEnd w:id="97"/>
      <w:bookmarkEnd w:id="98"/>
    </w:p>
    <w:p w:rsidR="00460371" w:rsidRPr="004C6E9F" w:rsidRDefault="00460371" w:rsidP="00AD4FFC">
      <w:pPr>
        <w:tabs>
          <w:tab w:val="left" w:pos="1162"/>
        </w:tabs>
        <w:spacing w:before="120"/>
        <w:rPr>
          <w:rFonts w:cs="Arial"/>
          <w:szCs w:val="20"/>
        </w:rPr>
      </w:pPr>
      <w:r w:rsidRPr="004C6E9F">
        <w:rPr>
          <w:rFonts w:cs="Arial"/>
          <w:szCs w:val="20"/>
        </w:rPr>
        <w:t xml:space="preserve">This section provides an overview of the steps involved in developing the NWAU for </w:t>
      </w:r>
      <w:r w:rsidR="001C6800">
        <w:rPr>
          <w:rFonts w:cs="Arial"/>
          <w:szCs w:val="20"/>
        </w:rPr>
        <w:t>admitted acute</w:t>
      </w:r>
      <w:r w:rsidRPr="004C6E9F">
        <w:rPr>
          <w:rFonts w:cs="Arial"/>
          <w:szCs w:val="20"/>
        </w:rPr>
        <w:t xml:space="preserve"> care</w:t>
      </w:r>
      <w:r>
        <w:rPr>
          <w:rFonts w:cs="Arial"/>
          <w:szCs w:val="20"/>
        </w:rPr>
        <w:t xml:space="preserve">. </w:t>
      </w:r>
      <w:r w:rsidRPr="004C6E9F">
        <w:rPr>
          <w:rFonts w:cs="Arial"/>
          <w:szCs w:val="20"/>
        </w:rPr>
        <w:t xml:space="preserve">Detailed information in relation to each of the components of the model is included below. </w:t>
      </w:r>
      <w:r>
        <w:rPr>
          <w:rFonts w:cs="Arial"/>
          <w:szCs w:val="20"/>
        </w:rPr>
        <w:t>In summary</w:t>
      </w:r>
      <w:r w:rsidRPr="004C6E9F">
        <w:rPr>
          <w:rFonts w:cs="Arial"/>
          <w:szCs w:val="20"/>
        </w:rPr>
        <w:t xml:space="preserve">, the steps involved in developing the NWAU for </w:t>
      </w:r>
      <w:r w:rsidR="001C6800">
        <w:rPr>
          <w:rFonts w:cs="Arial"/>
          <w:szCs w:val="20"/>
        </w:rPr>
        <w:t>admitted acute</w:t>
      </w:r>
      <w:r w:rsidRPr="004C6E9F">
        <w:rPr>
          <w:rFonts w:cs="Arial"/>
          <w:szCs w:val="20"/>
        </w:rPr>
        <w:t xml:space="preserve"> care </w:t>
      </w:r>
      <w:r>
        <w:rPr>
          <w:rFonts w:cs="Arial"/>
          <w:szCs w:val="20"/>
        </w:rPr>
        <w:t>are:</w:t>
      </w:r>
    </w:p>
    <w:p w:rsidR="00460371" w:rsidRPr="004C6E9F" w:rsidRDefault="00460371" w:rsidP="00AD4FFC">
      <w:pPr>
        <w:pStyle w:val="ListParagraph"/>
        <w:numPr>
          <w:ilvl w:val="0"/>
          <w:numId w:val="17"/>
        </w:numPr>
        <w:tabs>
          <w:tab w:val="left" w:pos="1162"/>
        </w:tabs>
        <w:spacing w:before="80" w:after="0"/>
        <w:ind w:left="714" w:hanging="357"/>
        <w:rPr>
          <w:rFonts w:cs="Arial"/>
          <w:szCs w:val="20"/>
        </w:rPr>
      </w:pPr>
      <w:r w:rsidRPr="004C6E9F">
        <w:rPr>
          <w:rFonts w:cs="Arial"/>
          <w:szCs w:val="20"/>
        </w:rPr>
        <w:t>P</w:t>
      </w:r>
      <w:r>
        <w:rPr>
          <w:rFonts w:cs="Arial"/>
          <w:szCs w:val="20"/>
        </w:rPr>
        <w:t>repare data</w:t>
      </w:r>
      <w:r w:rsidR="00BE1344">
        <w:rPr>
          <w:rFonts w:cs="Arial"/>
          <w:szCs w:val="20"/>
        </w:rPr>
        <w:t xml:space="preserve"> including the removal of other Commonwealth expenditure (in particular the pharmaceutical and blood programs)</w:t>
      </w:r>
      <w:r>
        <w:rPr>
          <w:rFonts w:cs="Arial"/>
          <w:szCs w:val="20"/>
        </w:rPr>
        <w:t>.</w:t>
      </w:r>
    </w:p>
    <w:p w:rsidR="00460371" w:rsidRPr="004C6E9F" w:rsidRDefault="00460371" w:rsidP="00AD4FFC">
      <w:pPr>
        <w:pStyle w:val="ListParagraph"/>
        <w:numPr>
          <w:ilvl w:val="0"/>
          <w:numId w:val="17"/>
        </w:numPr>
        <w:tabs>
          <w:tab w:val="left" w:pos="1162"/>
        </w:tabs>
        <w:spacing w:before="80" w:after="0"/>
        <w:ind w:left="714" w:hanging="357"/>
        <w:rPr>
          <w:rFonts w:cs="Arial"/>
          <w:szCs w:val="20"/>
        </w:rPr>
      </w:pPr>
      <w:r w:rsidRPr="004C6E9F">
        <w:rPr>
          <w:rFonts w:cs="Arial"/>
          <w:szCs w:val="20"/>
        </w:rPr>
        <w:t>Stratif</w:t>
      </w:r>
      <w:r>
        <w:rPr>
          <w:rFonts w:cs="Arial"/>
          <w:szCs w:val="20"/>
        </w:rPr>
        <w:t>y</w:t>
      </w:r>
      <w:r w:rsidRPr="004C6E9F">
        <w:rPr>
          <w:rFonts w:cs="Arial"/>
          <w:szCs w:val="20"/>
        </w:rPr>
        <w:t xml:space="preserve"> and weigh</w:t>
      </w:r>
      <w:r>
        <w:rPr>
          <w:rFonts w:cs="Arial"/>
          <w:szCs w:val="20"/>
        </w:rPr>
        <w:t>t</w:t>
      </w:r>
      <w:r w:rsidRPr="004C6E9F">
        <w:rPr>
          <w:rFonts w:cs="Arial"/>
          <w:szCs w:val="20"/>
        </w:rPr>
        <w:t xml:space="preserve"> cost data to activity data</w:t>
      </w:r>
      <w:r>
        <w:rPr>
          <w:rFonts w:cs="Arial"/>
          <w:szCs w:val="20"/>
        </w:rPr>
        <w:t>.</w:t>
      </w:r>
    </w:p>
    <w:p w:rsidR="00460371" w:rsidRPr="004C6E9F" w:rsidRDefault="00460371" w:rsidP="00AD4FFC">
      <w:pPr>
        <w:pStyle w:val="ListParagraph"/>
        <w:numPr>
          <w:ilvl w:val="0"/>
          <w:numId w:val="17"/>
        </w:numPr>
        <w:tabs>
          <w:tab w:val="left" w:pos="1162"/>
        </w:tabs>
        <w:spacing w:before="80" w:after="0"/>
        <w:ind w:left="714" w:hanging="357"/>
        <w:rPr>
          <w:rFonts w:cs="Arial"/>
          <w:szCs w:val="20"/>
        </w:rPr>
      </w:pPr>
      <w:r w:rsidRPr="004C6E9F">
        <w:rPr>
          <w:rFonts w:cs="Arial"/>
          <w:szCs w:val="20"/>
        </w:rPr>
        <w:t>Calculat</w:t>
      </w:r>
      <w:r>
        <w:rPr>
          <w:rFonts w:cs="Arial"/>
          <w:szCs w:val="20"/>
        </w:rPr>
        <w:t>e</w:t>
      </w:r>
      <w:r w:rsidRPr="004C6E9F">
        <w:rPr>
          <w:rFonts w:cs="Arial"/>
          <w:szCs w:val="20"/>
        </w:rPr>
        <w:t xml:space="preserve"> inlier bounds from activity data</w:t>
      </w:r>
      <w:r>
        <w:rPr>
          <w:rFonts w:cs="Arial"/>
          <w:szCs w:val="20"/>
        </w:rPr>
        <w:t>.</w:t>
      </w:r>
    </w:p>
    <w:p w:rsidR="00460371" w:rsidRPr="004C6E9F" w:rsidRDefault="00460371" w:rsidP="00AD4FFC">
      <w:pPr>
        <w:pStyle w:val="ListParagraph"/>
        <w:numPr>
          <w:ilvl w:val="0"/>
          <w:numId w:val="17"/>
        </w:numPr>
        <w:tabs>
          <w:tab w:val="left" w:pos="1162"/>
        </w:tabs>
        <w:spacing w:before="80" w:after="0"/>
        <w:ind w:left="714" w:hanging="357"/>
        <w:rPr>
          <w:rFonts w:cs="Arial"/>
          <w:szCs w:val="20"/>
        </w:rPr>
      </w:pPr>
      <w:r w:rsidRPr="004C6E9F">
        <w:rPr>
          <w:rFonts w:cs="Arial"/>
          <w:szCs w:val="20"/>
        </w:rPr>
        <w:t>Classify episodes into relevant categories including inliers, short</w:t>
      </w:r>
      <w:r>
        <w:rPr>
          <w:rFonts w:cs="Arial"/>
          <w:szCs w:val="20"/>
        </w:rPr>
        <w:t>-stay</w:t>
      </w:r>
      <w:r w:rsidRPr="004C6E9F">
        <w:rPr>
          <w:rFonts w:cs="Arial"/>
          <w:szCs w:val="20"/>
        </w:rPr>
        <w:t xml:space="preserve"> and long</w:t>
      </w:r>
      <w:r>
        <w:rPr>
          <w:rFonts w:cs="Arial"/>
          <w:szCs w:val="20"/>
        </w:rPr>
        <w:t>-</w:t>
      </w:r>
      <w:r w:rsidRPr="004C6E9F">
        <w:rPr>
          <w:rFonts w:cs="Arial"/>
          <w:szCs w:val="20"/>
        </w:rPr>
        <w:t xml:space="preserve">stay outliers, </w:t>
      </w:r>
      <w:r>
        <w:rPr>
          <w:rFonts w:cs="Arial"/>
          <w:szCs w:val="20"/>
        </w:rPr>
        <w:t>d</w:t>
      </w:r>
      <w:r w:rsidRPr="004C6E9F">
        <w:rPr>
          <w:rFonts w:cs="Arial"/>
          <w:szCs w:val="20"/>
        </w:rPr>
        <w:t xml:space="preserve">esignated </w:t>
      </w:r>
      <w:r>
        <w:rPr>
          <w:rFonts w:cs="Arial"/>
          <w:szCs w:val="20"/>
        </w:rPr>
        <w:t>same-day</w:t>
      </w:r>
      <w:r w:rsidRPr="004C6E9F">
        <w:rPr>
          <w:rFonts w:cs="Arial"/>
          <w:szCs w:val="20"/>
        </w:rPr>
        <w:t xml:space="preserve"> AR-DRGs, paediatric status, </w:t>
      </w:r>
      <w:r w:rsidR="00DF77B4">
        <w:rPr>
          <w:rFonts w:cs="Arial"/>
          <w:szCs w:val="20"/>
        </w:rPr>
        <w:t>Indigenous</w:t>
      </w:r>
      <w:r w:rsidRPr="004C6E9F">
        <w:rPr>
          <w:rFonts w:cs="Arial"/>
          <w:szCs w:val="20"/>
        </w:rPr>
        <w:t xml:space="preserve"> status and remoteness area status</w:t>
      </w:r>
      <w:r>
        <w:rPr>
          <w:rFonts w:cs="Arial"/>
          <w:szCs w:val="20"/>
        </w:rPr>
        <w:t>, and those reporting radiotherapy procedures.</w:t>
      </w:r>
    </w:p>
    <w:p w:rsidR="00460371" w:rsidRPr="004C6E9F" w:rsidRDefault="00460371" w:rsidP="00AD4FFC">
      <w:pPr>
        <w:pStyle w:val="ListParagraph"/>
        <w:numPr>
          <w:ilvl w:val="0"/>
          <w:numId w:val="17"/>
        </w:numPr>
        <w:tabs>
          <w:tab w:val="left" w:pos="1162"/>
        </w:tabs>
        <w:spacing w:before="80" w:after="0"/>
        <w:ind w:left="714" w:hanging="357"/>
        <w:rPr>
          <w:rFonts w:cs="Arial"/>
          <w:szCs w:val="20"/>
        </w:rPr>
      </w:pPr>
      <w:r w:rsidRPr="004C6E9F">
        <w:rPr>
          <w:rFonts w:cs="Arial"/>
          <w:szCs w:val="20"/>
        </w:rPr>
        <w:t xml:space="preserve">Determine </w:t>
      </w:r>
      <w:r>
        <w:rPr>
          <w:rFonts w:cs="Arial"/>
          <w:szCs w:val="20"/>
        </w:rPr>
        <w:t>cost</w:t>
      </w:r>
      <w:r w:rsidRPr="004C6E9F">
        <w:rPr>
          <w:rFonts w:cs="Arial"/>
          <w:szCs w:val="20"/>
        </w:rPr>
        <w:t xml:space="preserve"> level for ICU </w:t>
      </w:r>
      <w:r>
        <w:rPr>
          <w:rFonts w:cs="Arial"/>
          <w:szCs w:val="20"/>
        </w:rPr>
        <w:t>a</w:t>
      </w:r>
      <w:r w:rsidRPr="004C6E9F">
        <w:rPr>
          <w:rFonts w:cs="Arial"/>
          <w:szCs w:val="20"/>
        </w:rPr>
        <w:t>djustment and deduct associated costs</w:t>
      </w:r>
      <w:r>
        <w:rPr>
          <w:rFonts w:cs="Arial"/>
          <w:szCs w:val="20"/>
        </w:rPr>
        <w:t>.</w:t>
      </w:r>
    </w:p>
    <w:p w:rsidR="00460371" w:rsidRPr="004C6E9F" w:rsidRDefault="00460371" w:rsidP="00AD4FFC">
      <w:pPr>
        <w:pStyle w:val="ListParagraph"/>
        <w:numPr>
          <w:ilvl w:val="0"/>
          <w:numId w:val="17"/>
        </w:numPr>
        <w:tabs>
          <w:tab w:val="left" w:pos="1162"/>
        </w:tabs>
        <w:spacing w:before="80" w:after="0"/>
        <w:ind w:left="714" w:hanging="357"/>
        <w:rPr>
          <w:rFonts w:cs="Arial"/>
          <w:szCs w:val="20"/>
        </w:rPr>
      </w:pPr>
      <w:r w:rsidRPr="004C6E9F">
        <w:rPr>
          <w:rFonts w:cs="Arial"/>
          <w:szCs w:val="20"/>
        </w:rPr>
        <w:t xml:space="preserve">Derive initial parameters for </w:t>
      </w:r>
      <w:r>
        <w:rPr>
          <w:rFonts w:cs="Arial"/>
          <w:szCs w:val="20"/>
        </w:rPr>
        <w:t xml:space="preserve">AR-DRG inlier/outlier model </w:t>
      </w:r>
      <w:r w:rsidRPr="004C6E9F">
        <w:rPr>
          <w:rFonts w:cs="Arial"/>
          <w:szCs w:val="20"/>
        </w:rPr>
        <w:t>and ensure predicted costs align with actual costs</w:t>
      </w:r>
      <w:r>
        <w:rPr>
          <w:rFonts w:cs="Arial"/>
          <w:szCs w:val="20"/>
        </w:rPr>
        <w:t xml:space="preserve"> by AR-DRG.</w:t>
      </w:r>
    </w:p>
    <w:p w:rsidR="00460371" w:rsidRPr="00D73FE8" w:rsidRDefault="00460371" w:rsidP="00AD4FFC">
      <w:pPr>
        <w:pStyle w:val="ListParagraph"/>
        <w:numPr>
          <w:ilvl w:val="0"/>
          <w:numId w:val="17"/>
        </w:numPr>
        <w:tabs>
          <w:tab w:val="left" w:pos="1162"/>
        </w:tabs>
        <w:spacing w:before="80" w:after="0"/>
        <w:ind w:left="714" w:hanging="357"/>
        <w:rPr>
          <w:rFonts w:cs="Arial"/>
          <w:szCs w:val="20"/>
        </w:rPr>
      </w:pPr>
      <w:r w:rsidRPr="004C6E9F">
        <w:rPr>
          <w:rFonts w:cs="Arial"/>
          <w:szCs w:val="20"/>
        </w:rPr>
        <w:t xml:space="preserve">Derive </w:t>
      </w:r>
      <w:r>
        <w:rPr>
          <w:rFonts w:cs="Arial"/>
          <w:szCs w:val="20"/>
        </w:rPr>
        <w:t xml:space="preserve">paediatric adjustment, specialist psychiatric age adjustment (see Section </w:t>
      </w:r>
      <w:r>
        <w:rPr>
          <w:rFonts w:cs="Arial"/>
          <w:szCs w:val="20"/>
        </w:rPr>
        <w:fldChar w:fldCharType="begin"/>
      </w:r>
      <w:r>
        <w:rPr>
          <w:rFonts w:cs="Arial"/>
          <w:szCs w:val="20"/>
        </w:rPr>
        <w:instrText xml:space="preserve"> REF _Ref342306507 \w \h </w:instrText>
      </w:r>
      <w:r w:rsidR="00E045B9">
        <w:rPr>
          <w:rFonts w:cs="Arial"/>
          <w:szCs w:val="20"/>
        </w:rPr>
        <w:instrText xml:space="preserve"> \* MERGEFORMAT </w:instrText>
      </w:r>
      <w:r>
        <w:rPr>
          <w:rFonts w:cs="Arial"/>
          <w:szCs w:val="20"/>
        </w:rPr>
      </w:r>
      <w:r>
        <w:rPr>
          <w:rFonts w:cs="Arial"/>
          <w:szCs w:val="20"/>
        </w:rPr>
        <w:fldChar w:fldCharType="separate"/>
      </w:r>
      <w:r w:rsidR="0027530C">
        <w:rPr>
          <w:rFonts w:cs="Arial"/>
          <w:szCs w:val="20"/>
        </w:rPr>
        <w:t>3</w:t>
      </w:r>
      <w:r>
        <w:rPr>
          <w:rFonts w:cs="Arial"/>
          <w:szCs w:val="20"/>
        </w:rPr>
        <w:fldChar w:fldCharType="end"/>
      </w:r>
      <w:r>
        <w:rPr>
          <w:rFonts w:cs="Arial"/>
          <w:szCs w:val="20"/>
        </w:rPr>
        <w:t xml:space="preserve">), </w:t>
      </w:r>
      <w:r w:rsidR="00DF77B4">
        <w:rPr>
          <w:rFonts w:cs="Arial"/>
          <w:szCs w:val="20"/>
        </w:rPr>
        <w:t>Indigenous</w:t>
      </w:r>
      <w:r w:rsidRPr="004C6E9F">
        <w:rPr>
          <w:rFonts w:cs="Arial"/>
          <w:szCs w:val="20"/>
        </w:rPr>
        <w:t xml:space="preserve"> </w:t>
      </w:r>
      <w:r>
        <w:rPr>
          <w:rFonts w:cs="Arial"/>
          <w:szCs w:val="20"/>
        </w:rPr>
        <w:t>adjustment, remoteness adjustment, radiotherapy adjustment</w:t>
      </w:r>
      <w:r w:rsidR="00F731FB">
        <w:rPr>
          <w:rFonts w:cs="Arial"/>
          <w:szCs w:val="20"/>
        </w:rPr>
        <w:t xml:space="preserve"> and dialysis adjustment</w:t>
      </w:r>
      <w:r>
        <w:rPr>
          <w:rFonts w:cs="Arial"/>
          <w:szCs w:val="20"/>
        </w:rPr>
        <w:t>.</w:t>
      </w:r>
    </w:p>
    <w:p w:rsidR="00460371" w:rsidRDefault="00460371" w:rsidP="00AD4FFC">
      <w:pPr>
        <w:pStyle w:val="ListParagraph"/>
        <w:numPr>
          <w:ilvl w:val="0"/>
          <w:numId w:val="17"/>
        </w:numPr>
        <w:tabs>
          <w:tab w:val="left" w:pos="1162"/>
        </w:tabs>
        <w:spacing w:before="80" w:after="0"/>
        <w:ind w:left="714" w:hanging="357"/>
        <w:rPr>
          <w:rFonts w:cs="Arial"/>
          <w:szCs w:val="20"/>
        </w:rPr>
      </w:pPr>
      <w:r>
        <w:rPr>
          <w:rFonts w:cs="Arial"/>
          <w:szCs w:val="20"/>
        </w:rPr>
        <w:t xml:space="preserve">Derive </w:t>
      </w:r>
      <w:r w:rsidRPr="004C6E9F">
        <w:rPr>
          <w:rFonts w:cs="Arial"/>
          <w:szCs w:val="20"/>
        </w:rPr>
        <w:t xml:space="preserve">private patient </w:t>
      </w:r>
      <w:r>
        <w:rPr>
          <w:rFonts w:cs="Arial"/>
          <w:szCs w:val="20"/>
        </w:rPr>
        <w:t>service adjustment and private patient accommodation adjustment</w:t>
      </w:r>
      <w:r w:rsidRPr="004C6E9F">
        <w:rPr>
          <w:rFonts w:cs="Arial"/>
          <w:szCs w:val="20"/>
        </w:rPr>
        <w:t>.</w:t>
      </w:r>
    </w:p>
    <w:p w:rsidR="00460371" w:rsidRPr="007D74F6" w:rsidRDefault="00460371" w:rsidP="00AD4FFC">
      <w:pPr>
        <w:pStyle w:val="ListParagraph"/>
        <w:numPr>
          <w:ilvl w:val="0"/>
          <w:numId w:val="17"/>
        </w:numPr>
        <w:tabs>
          <w:tab w:val="left" w:pos="1162"/>
        </w:tabs>
        <w:spacing w:before="80" w:after="0"/>
        <w:ind w:left="714" w:hanging="357"/>
        <w:rPr>
          <w:rFonts w:cs="Arial"/>
          <w:szCs w:val="20"/>
        </w:rPr>
      </w:pPr>
      <w:r w:rsidRPr="007D74F6">
        <w:rPr>
          <w:rFonts w:cs="Arial"/>
          <w:szCs w:val="20"/>
        </w:rPr>
        <w:t>Incorporate data trimmed in data preparation process.</w:t>
      </w:r>
    </w:p>
    <w:p w:rsidR="00460371" w:rsidRDefault="00460371" w:rsidP="00AD4FFC">
      <w:pPr>
        <w:tabs>
          <w:tab w:val="left" w:pos="1162"/>
        </w:tabs>
        <w:spacing w:before="240"/>
        <w:rPr>
          <w:rFonts w:cs="Arial"/>
          <w:szCs w:val="20"/>
        </w:rPr>
      </w:pPr>
      <w:r w:rsidRPr="004C6E9F">
        <w:rPr>
          <w:rFonts w:cs="Arial"/>
          <w:szCs w:val="20"/>
        </w:rPr>
        <w:t>These steps are described in further detail below.</w:t>
      </w:r>
    </w:p>
    <w:p w:rsidR="00460371" w:rsidRPr="00BD39DD" w:rsidRDefault="00460371" w:rsidP="00AD4FFC">
      <w:pPr>
        <w:pStyle w:val="Heading3"/>
        <w:keepLines w:val="0"/>
        <w:numPr>
          <w:ilvl w:val="2"/>
          <w:numId w:val="35"/>
        </w:numPr>
        <w:tabs>
          <w:tab w:val="left" w:pos="1162"/>
        </w:tabs>
        <w:spacing w:before="240" w:after="120"/>
      </w:pPr>
      <w:bookmarkStart w:id="99" w:name="_Ref342385231"/>
      <w:bookmarkStart w:id="100" w:name="_Toc380754697"/>
      <w:bookmarkStart w:id="101" w:name="_Toc444528576"/>
      <w:r w:rsidRPr="00BD39DD">
        <w:t>Data preparation</w:t>
      </w:r>
      <w:bookmarkEnd w:id="99"/>
      <w:bookmarkEnd w:id="100"/>
      <w:bookmarkEnd w:id="101"/>
    </w:p>
    <w:p w:rsidR="00BE1344" w:rsidRDefault="00BE1344" w:rsidP="00AD4FFC">
      <w:pPr>
        <w:tabs>
          <w:tab w:val="left" w:pos="1162"/>
        </w:tabs>
        <w:rPr>
          <w:rFonts w:cs="Arial"/>
          <w:szCs w:val="20"/>
        </w:rPr>
      </w:pPr>
      <w:bookmarkStart w:id="102" w:name="_Ref342305207"/>
      <w:r w:rsidRPr="00E74059">
        <w:rPr>
          <w:rFonts w:cs="Arial"/>
          <w:szCs w:val="20"/>
        </w:rPr>
        <w:t xml:space="preserve">The </w:t>
      </w:r>
      <w:r w:rsidR="0048408B">
        <w:rPr>
          <w:rFonts w:cs="Arial"/>
          <w:szCs w:val="20"/>
        </w:rPr>
        <w:t>2013-14</w:t>
      </w:r>
      <w:r w:rsidRPr="00E74059">
        <w:rPr>
          <w:rFonts w:cs="Arial"/>
          <w:szCs w:val="20"/>
        </w:rPr>
        <w:t xml:space="preserve"> NHCDC cost data was first adjusted to remove those costs associated with the spending under other Commonwealth programs. </w:t>
      </w:r>
      <w:r w:rsidRPr="008D4C15">
        <w:rPr>
          <w:rFonts w:cs="Arial"/>
          <w:szCs w:val="20"/>
        </w:rPr>
        <w:t xml:space="preserve">Costs associated with the Commonwealth’s pharmaceutical programs were identified by matching the NHCDC at the patient level with a record of the Commonwealth pharmaceutical payments. The residual unmatched payments were apportioned according to the distribution of costs associated with the matched records. All reported blood costs were removed from the NHCDC. The amounts deducted from the reported costs are identified in Chapter 2 of the </w:t>
      </w:r>
      <w:r w:rsidR="0048408B" w:rsidRPr="008D4C15">
        <w:rPr>
          <w:rFonts w:cs="Arial"/>
          <w:szCs w:val="20"/>
        </w:rPr>
        <w:t>NEP</w:t>
      </w:r>
      <w:r w:rsidR="0048408B">
        <w:rPr>
          <w:rFonts w:cs="Arial"/>
          <w:szCs w:val="20"/>
        </w:rPr>
        <w:t>16</w:t>
      </w:r>
      <w:r w:rsidR="0048408B" w:rsidRPr="008D4C15">
        <w:rPr>
          <w:rFonts w:cs="Arial"/>
          <w:szCs w:val="20"/>
        </w:rPr>
        <w:t xml:space="preserve"> </w:t>
      </w:r>
      <w:r w:rsidRPr="008D4C15">
        <w:rPr>
          <w:rFonts w:cs="Arial"/>
          <w:szCs w:val="20"/>
        </w:rPr>
        <w:t xml:space="preserve">Determination. </w:t>
      </w:r>
    </w:p>
    <w:p w:rsidR="00FF4DCF" w:rsidRPr="00FF4DCF" w:rsidRDefault="00FF4DCF" w:rsidP="00AD4FFC">
      <w:pPr>
        <w:tabs>
          <w:tab w:val="left" w:pos="1162"/>
        </w:tabs>
        <w:rPr>
          <w:rFonts w:cs="Arial"/>
          <w:szCs w:val="20"/>
        </w:rPr>
      </w:pPr>
      <w:r w:rsidRPr="00FF4DCF">
        <w:rPr>
          <w:rFonts w:cs="Arial"/>
          <w:szCs w:val="20"/>
        </w:rPr>
        <w:t xml:space="preserve">For the financial year </w:t>
      </w:r>
      <w:r w:rsidR="0048408B">
        <w:rPr>
          <w:rFonts w:cs="Arial"/>
          <w:szCs w:val="20"/>
        </w:rPr>
        <w:t>2013-14</w:t>
      </w:r>
      <w:r w:rsidRPr="00FF4DCF">
        <w:rPr>
          <w:rFonts w:cs="Arial"/>
          <w:szCs w:val="20"/>
        </w:rPr>
        <w:t xml:space="preserve">, an activity-level cost sample </w:t>
      </w:r>
      <w:r w:rsidRPr="00DF77B4">
        <w:rPr>
          <w:rFonts w:cs="Arial"/>
          <w:szCs w:val="20"/>
        </w:rPr>
        <w:t xml:space="preserve">of </w:t>
      </w:r>
      <w:r w:rsidR="00B42664">
        <w:rPr>
          <w:rFonts w:cs="Arial"/>
          <w:szCs w:val="20"/>
        </w:rPr>
        <w:t>4,916,854</w:t>
      </w:r>
      <w:r w:rsidR="00953CE0">
        <w:rPr>
          <w:rFonts w:cs="Arial"/>
          <w:szCs w:val="20"/>
        </w:rPr>
        <w:t xml:space="preserve"> </w:t>
      </w:r>
      <w:r w:rsidR="001C6800">
        <w:rPr>
          <w:rFonts w:cs="Arial"/>
          <w:szCs w:val="20"/>
        </w:rPr>
        <w:t>admitted acute</w:t>
      </w:r>
      <w:r w:rsidRPr="00FF4DCF">
        <w:rPr>
          <w:rFonts w:cs="Arial"/>
          <w:szCs w:val="20"/>
        </w:rPr>
        <w:t xml:space="preserve"> records (with both the admission and separation dates within this period), was partitioned into two groups for modelling purposes. The first group was evaluated as fit for use to develop AR</w:t>
      </w:r>
      <w:r w:rsidRPr="00FF4DCF">
        <w:rPr>
          <w:rFonts w:cs="Arial"/>
          <w:szCs w:val="20"/>
        </w:rPr>
        <w:noBreakHyphen/>
        <w:t xml:space="preserve">DRG cost profiles for the </w:t>
      </w:r>
      <w:r w:rsidR="0048408B">
        <w:rPr>
          <w:rFonts w:cs="Arial"/>
          <w:szCs w:val="20"/>
        </w:rPr>
        <w:t>2013-14</w:t>
      </w:r>
      <w:r w:rsidRPr="00FF4DCF">
        <w:rPr>
          <w:rFonts w:cs="Arial"/>
          <w:szCs w:val="20"/>
        </w:rPr>
        <w:t xml:space="preserve"> cost model and a second group identified as not fit for this purpose.</w:t>
      </w:r>
    </w:p>
    <w:p w:rsidR="00FF4DCF" w:rsidRPr="00FF4DCF" w:rsidRDefault="00FF4DCF" w:rsidP="00AD4FFC">
      <w:pPr>
        <w:tabs>
          <w:tab w:val="left" w:pos="1162"/>
        </w:tabs>
        <w:rPr>
          <w:rFonts w:cs="Arial"/>
          <w:szCs w:val="20"/>
        </w:rPr>
      </w:pPr>
      <w:r w:rsidRPr="00FF4DCF">
        <w:rPr>
          <w:rFonts w:cs="Arial"/>
          <w:szCs w:val="20"/>
        </w:rPr>
        <w:t xml:space="preserve">The second group was </w:t>
      </w:r>
      <w:r w:rsidR="00953CE0">
        <w:rPr>
          <w:rFonts w:cs="Arial"/>
          <w:szCs w:val="20"/>
        </w:rPr>
        <w:t xml:space="preserve">later </w:t>
      </w:r>
      <w:r w:rsidRPr="00FF4DCF">
        <w:rPr>
          <w:rFonts w:cs="Arial"/>
          <w:szCs w:val="20"/>
        </w:rPr>
        <w:t>incorporated into the cost model to calibrate the overall level of costs within the model (see Section </w:t>
      </w:r>
      <w:r w:rsidRPr="00FF4DCF">
        <w:rPr>
          <w:rFonts w:cs="Arial"/>
          <w:szCs w:val="20"/>
        </w:rPr>
        <w:fldChar w:fldCharType="begin"/>
      </w:r>
      <w:r w:rsidRPr="00FF4DCF">
        <w:rPr>
          <w:rFonts w:cs="Arial"/>
          <w:szCs w:val="20"/>
        </w:rPr>
        <w:instrText xml:space="preserve"> REF _Ref349667532 \r \h  \* MERGEFORMAT </w:instrText>
      </w:r>
      <w:r w:rsidRPr="00FF4DCF">
        <w:rPr>
          <w:rFonts w:cs="Arial"/>
          <w:szCs w:val="20"/>
        </w:rPr>
      </w:r>
      <w:r w:rsidRPr="00FF4DCF">
        <w:rPr>
          <w:rFonts w:cs="Arial"/>
          <w:szCs w:val="20"/>
        </w:rPr>
        <w:fldChar w:fldCharType="separate"/>
      </w:r>
      <w:r w:rsidR="0027530C">
        <w:rPr>
          <w:rFonts w:cs="Arial"/>
          <w:szCs w:val="20"/>
        </w:rPr>
        <w:t>2.2.10</w:t>
      </w:r>
      <w:r w:rsidRPr="00FF4DCF">
        <w:rPr>
          <w:rFonts w:cs="Arial"/>
          <w:szCs w:val="20"/>
        </w:rPr>
        <w:fldChar w:fldCharType="end"/>
      </w:r>
      <w:r w:rsidRPr="00FF4DCF">
        <w:rPr>
          <w:rFonts w:cs="Arial"/>
          <w:szCs w:val="20"/>
        </w:rPr>
        <w:t>).</w:t>
      </w:r>
    </w:p>
    <w:p w:rsidR="00FF4DCF" w:rsidRPr="00FF4DCF" w:rsidRDefault="00FF4DCF" w:rsidP="00AD4FFC">
      <w:pPr>
        <w:tabs>
          <w:tab w:val="left" w:pos="1162"/>
        </w:tabs>
        <w:rPr>
          <w:rFonts w:cs="Arial"/>
          <w:szCs w:val="20"/>
        </w:rPr>
      </w:pPr>
      <w:r w:rsidRPr="00FF4DCF">
        <w:rPr>
          <w:rFonts w:cs="Arial"/>
          <w:szCs w:val="20"/>
        </w:rPr>
        <w:t xml:space="preserve">Patient level cost data from four establishments, totalling </w:t>
      </w:r>
      <w:r w:rsidR="00B42664">
        <w:rPr>
          <w:rFonts w:cs="Arial"/>
          <w:szCs w:val="20"/>
        </w:rPr>
        <w:t>41,867</w:t>
      </w:r>
      <w:r w:rsidR="00953CE0" w:rsidRPr="00FF4DCF">
        <w:rPr>
          <w:rFonts w:cs="Arial"/>
          <w:szCs w:val="20"/>
        </w:rPr>
        <w:t xml:space="preserve"> </w:t>
      </w:r>
      <w:r w:rsidRPr="00FF4DCF">
        <w:rPr>
          <w:rFonts w:cs="Arial"/>
          <w:szCs w:val="20"/>
        </w:rPr>
        <w:t>episodes, was removed from the sample, based on jurisdictional advice.</w:t>
      </w:r>
    </w:p>
    <w:p w:rsidR="00FF4DCF" w:rsidRPr="00FF4DCF" w:rsidRDefault="00FF4DCF" w:rsidP="00AD4FFC">
      <w:pPr>
        <w:tabs>
          <w:tab w:val="left" w:pos="1162"/>
        </w:tabs>
        <w:rPr>
          <w:rFonts w:cs="Arial"/>
          <w:szCs w:val="20"/>
        </w:rPr>
      </w:pPr>
      <w:r w:rsidRPr="00FF4DCF">
        <w:rPr>
          <w:rFonts w:cs="Arial"/>
          <w:szCs w:val="20"/>
        </w:rPr>
        <w:t xml:space="preserve">A preliminary model with length of stay and DRG as explanatory variables of patient cost was derived and applied to the remaining sample. The </w:t>
      </w:r>
      <w:r w:rsidR="00B42664">
        <w:rPr>
          <w:rFonts w:cs="Arial"/>
          <w:szCs w:val="20"/>
        </w:rPr>
        <w:t>639</w:t>
      </w:r>
      <w:r w:rsidR="00B42664" w:rsidRPr="00FF4DCF">
        <w:rPr>
          <w:rFonts w:cs="Arial"/>
          <w:szCs w:val="20"/>
        </w:rPr>
        <w:t xml:space="preserve"> </w:t>
      </w:r>
      <w:r w:rsidRPr="00FF4DCF">
        <w:rPr>
          <w:rFonts w:cs="Arial"/>
          <w:szCs w:val="20"/>
        </w:rPr>
        <w:t>Hospital-DRG combinations with extremely high or low cost to funding ratios were also excluded from the patient level modelling.</w:t>
      </w:r>
    </w:p>
    <w:p w:rsidR="00FF4DCF" w:rsidRPr="00FF4DCF" w:rsidRDefault="00FF4DCF" w:rsidP="00AD4FFC">
      <w:pPr>
        <w:tabs>
          <w:tab w:val="left" w:pos="1162"/>
        </w:tabs>
        <w:rPr>
          <w:rFonts w:cs="Arial"/>
          <w:szCs w:val="20"/>
        </w:rPr>
      </w:pPr>
      <w:r w:rsidRPr="00FF4DCF">
        <w:rPr>
          <w:rFonts w:cs="Arial"/>
          <w:szCs w:val="20"/>
        </w:rPr>
        <w:t xml:space="preserve">The sample was further reduced by </w:t>
      </w:r>
      <w:r w:rsidR="00B42664">
        <w:rPr>
          <w:rFonts w:cs="Arial"/>
          <w:szCs w:val="20"/>
        </w:rPr>
        <w:t>11,415</w:t>
      </w:r>
      <w:r w:rsidR="00D81721">
        <w:rPr>
          <w:rFonts w:cs="Arial"/>
          <w:szCs w:val="20"/>
        </w:rPr>
        <w:t xml:space="preserve"> </w:t>
      </w:r>
      <w:r w:rsidRPr="00FF4DCF">
        <w:rPr>
          <w:rFonts w:cs="Arial"/>
          <w:szCs w:val="20"/>
        </w:rPr>
        <w:t xml:space="preserve">by restricting the records with total in-scope costs (excluding depreciation and ED costs) </w:t>
      </w:r>
      <w:r w:rsidR="007479A9">
        <w:rPr>
          <w:rFonts w:cs="Arial"/>
          <w:szCs w:val="20"/>
        </w:rPr>
        <w:t xml:space="preserve">to </w:t>
      </w:r>
      <w:r w:rsidRPr="00FF4DCF">
        <w:rPr>
          <w:rFonts w:cs="Arial"/>
          <w:szCs w:val="20"/>
        </w:rPr>
        <w:t xml:space="preserve">greater than $23. </w:t>
      </w:r>
    </w:p>
    <w:p w:rsidR="00FF4DCF" w:rsidRPr="00FF4DCF" w:rsidRDefault="00FF4DCF" w:rsidP="00AD4FFC">
      <w:pPr>
        <w:tabs>
          <w:tab w:val="left" w:pos="1162"/>
        </w:tabs>
        <w:rPr>
          <w:rFonts w:cs="Arial"/>
          <w:szCs w:val="20"/>
        </w:rPr>
      </w:pPr>
      <w:r w:rsidRPr="00FF4DCF">
        <w:rPr>
          <w:rFonts w:cs="Arial"/>
          <w:szCs w:val="20"/>
        </w:rPr>
        <w:t xml:space="preserve">The remaining sample was then analysed by AR-DRG, and observations with extreme outlier costs were identified and removed. This was done by ranking observations by cost and identifying those values that recorded an extreme jump in cost over </w:t>
      </w:r>
      <w:r w:rsidRPr="0048408B">
        <w:rPr>
          <w:rFonts w:cs="Arial"/>
          <w:szCs w:val="20"/>
        </w:rPr>
        <w:t>300</w:t>
      </w:r>
      <w:r w:rsidRPr="00FF4DCF">
        <w:rPr>
          <w:rFonts w:cs="Arial"/>
          <w:szCs w:val="20"/>
        </w:rPr>
        <w:t xml:space="preserve"> per cent (or a decrease in cost of less than </w:t>
      </w:r>
      <w:r w:rsidRPr="0048408B">
        <w:rPr>
          <w:rFonts w:cs="Arial"/>
          <w:szCs w:val="20"/>
        </w:rPr>
        <w:t>25</w:t>
      </w:r>
      <w:r w:rsidRPr="00FF4DCF">
        <w:rPr>
          <w:rFonts w:cs="Arial"/>
          <w:szCs w:val="20"/>
        </w:rPr>
        <w:t xml:space="preserve"> per cent) from the previous observation, as illustrated in</w:t>
      </w:r>
      <w:r w:rsidR="00DC42AD">
        <w:rPr>
          <w:rFonts w:cs="Arial"/>
          <w:szCs w:val="20"/>
        </w:rPr>
        <w:t xml:space="preserve"> Figure 2</w:t>
      </w:r>
      <w:r w:rsidRPr="00FF4DCF">
        <w:rPr>
          <w:rFonts w:cs="Arial"/>
          <w:szCs w:val="20"/>
        </w:rPr>
        <w:t xml:space="preserve">. In total, </w:t>
      </w:r>
      <w:r w:rsidR="00B42664">
        <w:rPr>
          <w:rFonts w:cs="Arial"/>
          <w:szCs w:val="20"/>
        </w:rPr>
        <w:t>98</w:t>
      </w:r>
      <w:r w:rsidR="00B42664" w:rsidRPr="00FF4DCF">
        <w:rPr>
          <w:rFonts w:cs="Arial"/>
          <w:szCs w:val="20"/>
        </w:rPr>
        <w:t xml:space="preserve"> </w:t>
      </w:r>
      <w:r w:rsidRPr="00FF4DCF">
        <w:rPr>
          <w:rFonts w:cs="Arial"/>
          <w:szCs w:val="20"/>
        </w:rPr>
        <w:t>records were removed at this stage.</w:t>
      </w:r>
    </w:p>
    <w:p w:rsidR="00C74612" w:rsidRDefault="00FF4DCF" w:rsidP="00967419">
      <w:pPr>
        <w:tabs>
          <w:tab w:val="left" w:pos="1162"/>
        </w:tabs>
        <w:rPr>
          <w:rFonts w:ascii="Arial" w:eastAsia="Times New Roman" w:hAnsi="Arial" w:cstheme="minorHAnsi"/>
          <w:b/>
          <w:color w:val="000000"/>
          <w:sz w:val="20"/>
          <w:szCs w:val="20"/>
          <w:lang w:eastAsia="en-AU"/>
        </w:rPr>
      </w:pPr>
      <w:r w:rsidRPr="00FF4DCF">
        <w:rPr>
          <w:rFonts w:cs="Arial"/>
          <w:szCs w:val="20"/>
        </w:rPr>
        <w:t xml:space="preserve">The final stage of extreme outlier identification was undertaken by first deriving a preliminary regression model using length of stay and DRG, and analysing the resulting cost ratios. Following this, another </w:t>
      </w:r>
      <w:r w:rsidR="00B42664">
        <w:rPr>
          <w:rFonts w:cs="Arial"/>
          <w:szCs w:val="20"/>
        </w:rPr>
        <w:t>243</w:t>
      </w:r>
      <w:r w:rsidR="00B42664" w:rsidRPr="00FF4DCF">
        <w:rPr>
          <w:rFonts w:cs="Arial"/>
          <w:szCs w:val="20"/>
        </w:rPr>
        <w:t xml:space="preserve"> </w:t>
      </w:r>
      <w:r w:rsidRPr="00FF4DCF">
        <w:rPr>
          <w:rFonts w:cs="Arial"/>
          <w:szCs w:val="20"/>
        </w:rPr>
        <w:t xml:space="preserve">individual records with extremely high or low cost ratios were removed. The resulting sample of </w:t>
      </w:r>
      <w:r w:rsidR="00B42664">
        <w:rPr>
          <w:rFonts w:cs="Arial"/>
          <w:szCs w:val="20"/>
        </w:rPr>
        <w:t>4,857,314</w:t>
      </w:r>
      <w:r w:rsidRPr="00FF4DCF">
        <w:rPr>
          <w:rFonts w:cs="Arial"/>
          <w:szCs w:val="20"/>
        </w:rPr>
        <w:t xml:space="preserve"> separations was identified for use in creating AR-DRG cost profiles.</w:t>
      </w:r>
    </w:p>
    <w:p w:rsidR="00151D4A" w:rsidRDefault="00151D4A">
      <w:pPr>
        <w:pStyle w:val="table"/>
      </w:pPr>
    </w:p>
    <w:p w:rsidR="00151D4A" w:rsidRDefault="00151D4A">
      <w:pPr>
        <w:pStyle w:val="table"/>
      </w:pPr>
    </w:p>
    <w:p w:rsidR="00460371" w:rsidRDefault="00460371">
      <w:pPr>
        <w:pStyle w:val="table"/>
      </w:pPr>
      <w:r>
        <w:t xml:space="preserve">Figure </w:t>
      </w:r>
      <w:r w:rsidR="00FE788C">
        <w:fldChar w:fldCharType="begin"/>
      </w:r>
      <w:r w:rsidR="00FE788C">
        <w:instrText xml:space="preserve"> SEQ Figure \* ARABIC </w:instrText>
      </w:r>
      <w:r w:rsidR="00FE788C">
        <w:fldChar w:fldCharType="separate"/>
      </w:r>
      <w:r w:rsidR="0027530C">
        <w:rPr>
          <w:noProof/>
        </w:rPr>
        <w:t>2</w:t>
      </w:r>
      <w:r w:rsidR="00FE788C">
        <w:rPr>
          <w:noProof/>
        </w:rPr>
        <w:fldChar w:fldCharType="end"/>
      </w:r>
      <w:bookmarkEnd w:id="102"/>
      <w:r>
        <w:t xml:space="preserve">: </w:t>
      </w:r>
      <w:r w:rsidRPr="00D041D5">
        <w:t>Illustration of outlier identification</w:t>
      </w:r>
    </w:p>
    <w:p w:rsidR="00967419" w:rsidRDefault="00460371" w:rsidP="00AD4FFC">
      <w:pPr>
        <w:tabs>
          <w:tab w:val="left" w:pos="1162"/>
        </w:tabs>
        <w:jc w:val="center"/>
        <w:rPr>
          <w:rFonts w:cs="Arial"/>
        </w:rPr>
      </w:pPr>
      <w:r w:rsidRPr="00474424">
        <w:rPr>
          <w:noProof/>
          <w:lang w:eastAsia="en-AU"/>
        </w:rPr>
        <w:drawing>
          <wp:inline distT="0" distB="0" distL="0" distR="0" wp14:anchorId="787D2E0A" wp14:editId="755C2A5E">
            <wp:extent cx="5729605" cy="1178560"/>
            <wp:effectExtent l="0" t="0" r="0" b="0"/>
            <wp:docPr id="13" name="Picture 13" descr="This figure shows markers representing relative values are illustrated along a horizontal axis representing cost with increasing costs as the axis moves to the right. &#10;&#10;The distance between two markers along the cost axis is referred to as the cost change interval. &#10;&#10;A value is regarded as an outlier if its increase in cost is over 500 per cent (or decrease in cost to less than 20 per cent) of the previous observation. An outlier sits on the far right of the cost axis. The cost change interval between it and the previous value (to the immediate left of it) is over five times greater than the cost change interval between the previous pair of valu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5729605" cy="1178560"/>
                    </a:xfrm>
                    <a:prstGeom prst="rect">
                      <a:avLst/>
                    </a:prstGeom>
                    <a:noFill/>
                    <a:ln>
                      <a:noFill/>
                    </a:ln>
                  </pic:spPr>
                </pic:pic>
              </a:graphicData>
            </a:graphic>
          </wp:inline>
        </w:drawing>
      </w:r>
    </w:p>
    <w:p w:rsidR="00460371" w:rsidRPr="009708FF" w:rsidRDefault="00460371" w:rsidP="00AD4FFC">
      <w:pPr>
        <w:pStyle w:val="Heading3"/>
        <w:keepLines w:val="0"/>
        <w:numPr>
          <w:ilvl w:val="2"/>
          <w:numId w:val="35"/>
        </w:numPr>
        <w:tabs>
          <w:tab w:val="left" w:pos="1162"/>
        </w:tabs>
        <w:spacing w:before="240" w:after="120"/>
      </w:pPr>
      <w:bookmarkStart w:id="103" w:name="_Ref342385246"/>
      <w:bookmarkStart w:id="104" w:name="_Toc380754698"/>
      <w:bookmarkStart w:id="105" w:name="_Toc444528577"/>
      <w:r w:rsidRPr="009708FF">
        <w:t>Stratification and weighting</w:t>
      </w:r>
      <w:bookmarkEnd w:id="103"/>
      <w:bookmarkEnd w:id="104"/>
      <w:bookmarkEnd w:id="105"/>
    </w:p>
    <w:p w:rsidR="00460371" w:rsidRPr="00881D36" w:rsidRDefault="00460371" w:rsidP="00AD4FFC">
      <w:pPr>
        <w:tabs>
          <w:tab w:val="left" w:pos="1162"/>
        </w:tabs>
        <w:rPr>
          <w:rFonts w:cs="Arial"/>
          <w:szCs w:val="20"/>
        </w:rPr>
      </w:pPr>
      <w:r w:rsidRPr="00881D36">
        <w:rPr>
          <w:rFonts w:cs="Arial"/>
          <w:szCs w:val="20"/>
        </w:rPr>
        <w:t xml:space="preserve">Weighting of the </w:t>
      </w:r>
      <w:r>
        <w:rPr>
          <w:rFonts w:cs="Arial"/>
          <w:szCs w:val="20"/>
        </w:rPr>
        <w:t xml:space="preserve">entire </w:t>
      </w:r>
      <w:r w:rsidRPr="00881D36">
        <w:rPr>
          <w:rFonts w:cs="Arial"/>
          <w:szCs w:val="20"/>
        </w:rPr>
        <w:t xml:space="preserve">sample of costed activity from ABF establishments up to the population of all </w:t>
      </w:r>
      <w:r>
        <w:rPr>
          <w:rFonts w:cs="Arial"/>
          <w:szCs w:val="20"/>
        </w:rPr>
        <w:t xml:space="preserve">in-scope </w:t>
      </w:r>
      <w:r w:rsidR="001C6800">
        <w:rPr>
          <w:rFonts w:cs="Arial"/>
          <w:szCs w:val="20"/>
        </w:rPr>
        <w:t>admitted acute</w:t>
      </w:r>
      <w:r w:rsidRPr="00881D36">
        <w:rPr>
          <w:rFonts w:cs="Arial"/>
          <w:szCs w:val="20"/>
        </w:rPr>
        <w:t xml:space="preserve"> activity from ABF establishments occurred in two stages. The two-stage approach was required to </w:t>
      </w:r>
      <w:r>
        <w:rPr>
          <w:rFonts w:cs="Arial"/>
          <w:szCs w:val="20"/>
        </w:rPr>
        <w:t>account</w:t>
      </w:r>
      <w:r w:rsidRPr="00881D36">
        <w:rPr>
          <w:rFonts w:cs="Arial"/>
          <w:szCs w:val="20"/>
        </w:rPr>
        <w:t xml:space="preserve"> for the</w:t>
      </w:r>
      <w:r>
        <w:rPr>
          <w:rFonts w:cs="Arial"/>
          <w:szCs w:val="20"/>
        </w:rPr>
        <w:t xml:space="preserve"> cost data sample not including any </w:t>
      </w:r>
      <w:r w:rsidRPr="00881D36">
        <w:rPr>
          <w:rFonts w:cs="Arial"/>
          <w:szCs w:val="20"/>
        </w:rPr>
        <w:t xml:space="preserve">activity with an admission date prior to 1 July </w:t>
      </w:r>
      <w:r w:rsidR="0048408B" w:rsidRPr="00881D36">
        <w:rPr>
          <w:rFonts w:cs="Arial"/>
          <w:szCs w:val="20"/>
        </w:rPr>
        <w:t>20</w:t>
      </w:r>
      <w:r w:rsidR="0048408B">
        <w:rPr>
          <w:rFonts w:cs="Arial"/>
          <w:szCs w:val="20"/>
        </w:rPr>
        <w:t>13</w:t>
      </w:r>
      <w:r w:rsidRPr="00881D36">
        <w:rPr>
          <w:rFonts w:cs="Arial"/>
          <w:szCs w:val="20"/>
        </w:rPr>
        <w:t>.</w:t>
      </w:r>
    </w:p>
    <w:p w:rsidR="00460371" w:rsidRPr="00881D36" w:rsidRDefault="00460371" w:rsidP="00AD4FFC">
      <w:pPr>
        <w:tabs>
          <w:tab w:val="left" w:pos="1162"/>
        </w:tabs>
        <w:rPr>
          <w:rFonts w:cs="Arial"/>
          <w:szCs w:val="20"/>
        </w:rPr>
      </w:pPr>
      <w:r w:rsidRPr="00881D36">
        <w:rPr>
          <w:rFonts w:cs="Arial"/>
          <w:szCs w:val="20"/>
        </w:rPr>
        <w:t xml:space="preserve">The first stage of the weighting process stratified and weighted the ABF sample up to the population of all </w:t>
      </w:r>
      <w:r w:rsidR="0048408B">
        <w:rPr>
          <w:rFonts w:cs="Arial"/>
          <w:szCs w:val="20"/>
        </w:rPr>
        <w:t>2013-14</w:t>
      </w:r>
      <w:r>
        <w:rPr>
          <w:rFonts w:cs="Arial"/>
          <w:szCs w:val="20"/>
        </w:rPr>
        <w:t xml:space="preserve"> </w:t>
      </w:r>
      <w:r w:rsidRPr="00881D36">
        <w:rPr>
          <w:rFonts w:cs="Arial"/>
          <w:szCs w:val="20"/>
        </w:rPr>
        <w:t xml:space="preserve">ABF </w:t>
      </w:r>
      <w:r w:rsidR="001C6800">
        <w:rPr>
          <w:rFonts w:cs="Arial"/>
          <w:szCs w:val="20"/>
        </w:rPr>
        <w:t>admitted acute</w:t>
      </w:r>
      <w:r w:rsidRPr="00881D36">
        <w:rPr>
          <w:rFonts w:cs="Arial"/>
          <w:szCs w:val="20"/>
        </w:rPr>
        <w:t xml:space="preserve"> activity with an admission date on or after 1</w:t>
      </w:r>
      <w:r w:rsidR="008949CE">
        <w:rPr>
          <w:rFonts w:cs="Arial"/>
          <w:szCs w:val="20"/>
        </w:rPr>
        <w:t> </w:t>
      </w:r>
      <w:r w:rsidRPr="00881D36">
        <w:rPr>
          <w:rFonts w:cs="Arial"/>
          <w:szCs w:val="20"/>
        </w:rPr>
        <w:t xml:space="preserve">July </w:t>
      </w:r>
      <w:r w:rsidR="0048408B" w:rsidRPr="00881D36">
        <w:rPr>
          <w:rFonts w:cs="Arial"/>
          <w:szCs w:val="20"/>
        </w:rPr>
        <w:t>20</w:t>
      </w:r>
      <w:r w:rsidR="0048408B">
        <w:rPr>
          <w:rFonts w:cs="Arial"/>
          <w:szCs w:val="20"/>
        </w:rPr>
        <w:t>13</w:t>
      </w:r>
      <w:r w:rsidRPr="00881D36">
        <w:rPr>
          <w:rFonts w:cs="Arial"/>
          <w:szCs w:val="20"/>
        </w:rPr>
        <w:t xml:space="preserve">. The stratification </w:t>
      </w:r>
      <w:r>
        <w:rPr>
          <w:rFonts w:cs="Arial"/>
          <w:szCs w:val="20"/>
        </w:rPr>
        <w:t>is</w:t>
      </w:r>
      <w:r w:rsidRPr="00881D36">
        <w:rPr>
          <w:rFonts w:cs="Arial"/>
          <w:szCs w:val="20"/>
        </w:rPr>
        <w:t xml:space="preserve"> based on establishment state/territory</w:t>
      </w:r>
      <w:r>
        <w:rPr>
          <w:rFonts w:cs="Arial"/>
          <w:szCs w:val="20"/>
        </w:rPr>
        <w:t>, size, location and paediatric specialty.</w:t>
      </w:r>
      <w:r w:rsidRPr="00881D36">
        <w:rPr>
          <w:rFonts w:cs="Arial"/>
          <w:szCs w:val="20"/>
        </w:rPr>
        <w:t xml:space="preserve"> </w:t>
      </w:r>
      <w:r>
        <w:rPr>
          <w:rFonts w:cs="Arial"/>
          <w:szCs w:val="20"/>
        </w:rPr>
        <w:t xml:space="preserve">Establishments are classified by size using </w:t>
      </w:r>
      <w:r w:rsidR="00365FF4">
        <w:rPr>
          <w:rFonts w:cs="Arial"/>
          <w:szCs w:val="20"/>
        </w:rPr>
        <w:t>2015-16</w:t>
      </w:r>
      <w:r w:rsidRPr="00881D36">
        <w:rPr>
          <w:rFonts w:cs="Arial"/>
          <w:szCs w:val="20"/>
        </w:rPr>
        <w:t xml:space="preserve"> </w:t>
      </w:r>
      <w:r w:rsidR="001C6800">
        <w:rPr>
          <w:rFonts w:cs="Arial"/>
          <w:szCs w:val="20"/>
        </w:rPr>
        <w:t>admitted acute</w:t>
      </w:r>
      <w:r w:rsidRPr="00881D36">
        <w:rPr>
          <w:rFonts w:cs="Arial"/>
          <w:szCs w:val="20"/>
        </w:rPr>
        <w:t xml:space="preserve"> NWAU calculated on </w:t>
      </w:r>
      <w:r w:rsidR="00365FF4">
        <w:rPr>
          <w:rFonts w:cs="Arial"/>
          <w:szCs w:val="20"/>
        </w:rPr>
        <w:t>2013-14</w:t>
      </w:r>
      <w:r w:rsidRPr="00881D36">
        <w:rPr>
          <w:rFonts w:cs="Arial"/>
          <w:szCs w:val="20"/>
        </w:rPr>
        <w:t xml:space="preserve"> </w:t>
      </w:r>
      <w:r>
        <w:rPr>
          <w:rFonts w:cs="Arial"/>
          <w:szCs w:val="20"/>
        </w:rPr>
        <w:t xml:space="preserve">activity </w:t>
      </w:r>
      <w:r w:rsidRPr="00881D36">
        <w:rPr>
          <w:rFonts w:cs="Arial"/>
          <w:szCs w:val="20"/>
        </w:rPr>
        <w:t>data</w:t>
      </w:r>
      <w:r w:rsidR="00CD72F6">
        <w:rPr>
          <w:rFonts w:cs="Arial"/>
          <w:szCs w:val="20"/>
        </w:rPr>
        <w:t xml:space="preserve"> (i.e. </w:t>
      </w:r>
      <w:r w:rsidR="00332C5A">
        <w:rPr>
          <w:rFonts w:cs="Arial"/>
          <w:szCs w:val="20"/>
        </w:rPr>
        <w:t>NWAU15</w:t>
      </w:r>
      <w:r w:rsidR="00967419">
        <w:rPr>
          <w:rFonts w:cs="Arial"/>
          <w:szCs w:val="20"/>
        </w:rPr>
        <w:t xml:space="preserve"> </w:t>
      </w:r>
      <w:r w:rsidR="00CD72F6">
        <w:rPr>
          <w:rFonts w:cs="Arial"/>
          <w:szCs w:val="20"/>
        </w:rPr>
        <w:t xml:space="preserve">calculator applied to </w:t>
      </w:r>
      <w:r w:rsidR="00365FF4">
        <w:rPr>
          <w:rFonts w:cs="Arial"/>
          <w:szCs w:val="20"/>
        </w:rPr>
        <w:t>2013-14</w:t>
      </w:r>
      <w:r w:rsidR="00CD72F6">
        <w:rPr>
          <w:rFonts w:cs="Arial"/>
          <w:szCs w:val="20"/>
        </w:rPr>
        <w:t xml:space="preserve"> data)</w:t>
      </w:r>
      <w:r w:rsidRPr="00881D36">
        <w:rPr>
          <w:rFonts w:cs="Arial"/>
          <w:szCs w:val="20"/>
        </w:rPr>
        <w:t xml:space="preserve">. </w:t>
      </w:r>
    </w:p>
    <w:p w:rsidR="00460371" w:rsidRPr="00881D36" w:rsidRDefault="00460371" w:rsidP="00AD4FFC">
      <w:pPr>
        <w:tabs>
          <w:tab w:val="left" w:pos="1162"/>
        </w:tabs>
        <w:rPr>
          <w:rFonts w:cs="Arial"/>
          <w:szCs w:val="20"/>
        </w:rPr>
      </w:pPr>
      <w:r w:rsidRPr="00881D36">
        <w:rPr>
          <w:rFonts w:cs="Arial"/>
          <w:szCs w:val="20"/>
        </w:rPr>
        <w:t xml:space="preserve">The second stage of the weighting process weighted the </w:t>
      </w:r>
      <w:r w:rsidR="00365FF4">
        <w:rPr>
          <w:rFonts w:cs="Arial"/>
          <w:szCs w:val="20"/>
        </w:rPr>
        <w:t>2013-14</w:t>
      </w:r>
      <w:r>
        <w:rPr>
          <w:rFonts w:cs="Arial"/>
          <w:szCs w:val="20"/>
        </w:rPr>
        <w:t xml:space="preserve"> </w:t>
      </w:r>
      <w:r w:rsidRPr="00881D36">
        <w:rPr>
          <w:rFonts w:cs="Arial"/>
          <w:szCs w:val="20"/>
        </w:rPr>
        <w:t xml:space="preserve">activity with admission date </w:t>
      </w:r>
      <w:r w:rsidR="00DD7D45">
        <w:rPr>
          <w:rFonts w:cs="Arial"/>
          <w:szCs w:val="20"/>
        </w:rPr>
        <w:t>prior to</w:t>
      </w:r>
      <w:r w:rsidRPr="00881D36">
        <w:rPr>
          <w:rFonts w:cs="Arial"/>
          <w:szCs w:val="20"/>
        </w:rPr>
        <w:t xml:space="preserve"> 1 July </w:t>
      </w:r>
      <w:r w:rsidR="00365FF4" w:rsidRPr="00881D36">
        <w:rPr>
          <w:rFonts w:cs="Arial"/>
          <w:szCs w:val="20"/>
        </w:rPr>
        <w:t>20</w:t>
      </w:r>
      <w:r w:rsidR="00365FF4">
        <w:rPr>
          <w:rFonts w:cs="Arial"/>
          <w:szCs w:val="20"/>
        </w:rPr>
        <w:t>13</w:t>
      </w:r>
      <w:r>
        <w:rPr>
          <w:rFonts w:cs="Arial"/>
          <w:szCs w:val="20"/>
        </w:rPr>
        <w:t>,</w:t>
      </w:r>
      <w:r w:rsidRPr="00881D36">
        <w:rPr>
          <w:rFonts w:cs="Arial"/>
          <w:szCs w:val="20"/>
        </w:rPr>
        <w:t xml:space="preserve"> up to all activity with separation date</w:t>
      </w:r>
      <w:r>
        <w:rPr>
          <w:rFonts w:cs="Arial"/>
          <w:szCs w:val="20"/>
        </w:rPr>
        <w:t>s</w:t>
      </w:r>
      <w:r w:rsidRPr="00881D36">
        <w:rPr>
          <w:rFonts w:cs="Arial"/>
          <w:szCs w:val="20"/>
        </w:rPr>
        <w:t xml:space="preserve"> within </w:t>
      </w:r>
      <w:r w:rsidR="00DA4C99">
        <w:rPr>
          <w:rFonts w:cs="Arial"/>
          <w:szCs w:val="20"/>
        </w:rPr>
        <w:t>2013-14</w:t>
      </w:r>
      <w:r w:rsidRPr="00881D36">
        <w:rPr>
          <w:rFonts w:cs="Arial"/>
          <w:szCs w:val="20"/>
        </w:rPr>
        <w:t xml:space="preserve">. This weighting </w:t>
      </w:r>
      <w:r>
        <w:rPr>
          <w:rFonts w:cs="Arial"/>
          <w:szCs w:val="20"/>
        </w:rPr>
        <w:t>is</w:t>
      </w:r>
      <w:r w:rsidRPr="00881D36">
        <w:rPr>
          <w:rFonts w:cs="Arial"/>
          <w:szCs w:val="20"/>
        </w:rPr>
        <w:t xml:space="preserve"> done by </w:t>
      </w:r>
      <w:r>
        <w:rPr>
          <w:rFonts w:cs="Arial"/>
          <w:szCs w:val="20"/>
        </w:rPr>
        <w:t>l</w:t>
      </w:r>
      <w:r w:rsidRPr="00881D36">
        <w:rPr>
          <w:rFonts w:cs="Arial"/>
          <w:szCs w:val="20"/>
        </w:rPr>
        <w:t xml:space="preserve">ength of </w:t>
      </w:r>
      <w:r>
        <w:rPr>
          <w:rFonts w:cs="Arial"/>
          <w:szCs w:val="20"/>
        </w:rPr>
        <w:t>s</w:t>
      </w:r>
      <w:r w:rsidRPr="00881D36">
        <w:rPr>
          <w:rFonts w:cs="Arial"/>
          <w:szCs w:val="20"/>
        </w:rPr>
        <w:t>tay quartile</w:t>
      </w:r>
      <w:r>
        <w:rPr>
          <w:rFonts w:cs="Arial"/>
          <w:szCs w:val="20"/>
        </w:rPr>
        <w:t>s</w:t>
      </w:r>
      <w:r w:rsidRPr="00881D36">
        <w:rPr>
          <w:rFonts w:cs="Arial"/>
          <w:szCs w:val="20"/>
        </w:rPr>
        <w:t xml:space="preserve"> within</w:t>
      </w:r>
      <w:r>
        <w:rPr>
          <w:rFonts w:cs="Arial"/>
          <w:szCs w:val="20"/>
        </w:rPr>
        <w:t xml:space="preserve"> AR-DRG</w:t>
      </w:r>
      <w:r w:rsidRPr="00881D36">
        <w:rPr>
          <w:rFonts w:cs="Arial"/>
          <w:szCs w:val="20"/>
        </w:rPr>
        <w:t>.</w:t>
      </w:r>
      <w:r>
        <w:rPr>
          <w:rFonts w:cs="Arial"/>
          <w:szCs w:val="20"/>
        </w:rPr>
        <w:t xml:space="preserve"> Same-day activity received a weight of 1 in this process, as there are no </w:t>
      </w:r>
      <w:r w:rsidR="00DA4C99">
        <w:rPr>
          <w:rFonts w:cs="Arial"/>
          <w:szCs w:val="20"/>
        </w:rPr>
        <w:t>2013-14</w:t>
      </w:r>
      <w:r>
        <w:rPr>
          <w:rFonts w:cs="Arial"/>
          <w:szCs w:val="20"/>
        </w:rPr>
        <w:t xml:space="preserve"> same-day separations with admission dates prior to 1 July </w:t>
      </w:r>
      <w:r w:rsidR="00DA4C99">
        <w:rPr>
          <w:rFonts w:cs="Arial"/>
          <w:szCs w:val="20"/>
        </w:rPr>
        <w:t>2013</w:t>
      </w:r>
      <w:r>
        <w:rPr>
          <w:rFonts w:cs="Arial"/>
          <w:szCs w:val="20"/>
        </w:rPr>
        <w:t>.</w:t>
      </w:r>
    </w:p>
    <w:p w:rsidR="00460371" w:rsidRDefault="00460371" w:rsidP="00AD4FFC">
      <w:pPr>
        <w:tabs>
          <w:tab w:val="left" w:pos="1162"/>
        </w:tabs>
        <w:rPr>
          <w:rFonts w:cs="Arial"/>
        </w:rPr>
      </w:pPr>
      <w:r>
        <w:rPr>
          <w:rFonts w:cs="Arial"/>
        </w:rPr>
        <w:t>Note that the resulting sample-to-population weights are used throughout all stages of the cost model development.</w:t>
      </w:r>
    </w:p>
    <w:p w:rsidR="00460371" w:rsidRPr="009708FF" w:rsidRDefault="00460371" w:rsidP="00AD4FFC">
      <w:pPr>
        <w:pStyle w:val="Heading3"/>
        <w:keepLines w:val="0"/>
        <w:numPr>
          <w:ilvl w:val="2"/>
          <w:numId w:val="35"/>
        </w:numPr>
        <w:tabs>
          <w:tab w:val="left" w:pos="1162"/>
        </w:tabs>
        <w:spacing w:before="240" w:after="120"/>
      </w:pPr>
      <w:bookmarkStart w:id="106" w:name="_Ref342387300"/>
      <w:bookmarkStart w:id="107" w:name="_Toc380754699"/>
      <w:bookmarkStart w:id="108" w:name="_Toc444528578"/>
      <w:r>
        <w:t>Inlier bounds</w:t>
      </w:r>
      <w:bookmarkEnd w:id="106"/>
      <w:bookmarkEnd w:id="107"/>
      <w:bookmarkEnd w:id="108"/>
    </w:p>
    <w:p w:rsidR="00F919F3" w:rsidRPr="00E33EAE" w:rsidRDefault="00460371" w:rsidP="00AD4FFC">
      <w:pPr>
        <w:tabs>
          <w:tab w:val="left" w:pos="1162"/>
        </w:tabs>
        <w:rPr>
          <w:rFonts w:cs="Arial"/>
          <w:szCs w:val="20"/>
        </w:rPr>
      </w:pPr>
      <w:r w:rsidRPr="00E33EAE">
        <w:rPr>
          <w:rFonts w:cs="Arial"/>
          <w:szCs w:val="20"/>
        </w:rPr>
        <w:t>The L3H3 method was applied to the population of in-scope activity from ABF establishments to identify inlier bounds outside of which are short-stay and long-stay outliers. The method excludes same-day episodes occurring in AR</w:t>
      </w:r>
      <w:r w:rsidR="000A513F" w:rsidRPr="00E33EAE">
        <w:rPr>
          <w:rFonts w:cs="Arial"/>
          <w:szCs w:val="20"/>
        </w:rPr>
        <w:noBreakHyphen/>
      </w:r>
      <w:r w:rsidRPr="00E33EAE">
        <w:rPr>
          <w:rFonts w:cs="Arial"/>
          <w:szCs w:val="20"/>
        </w:rPr>
        <w:t xml:space="preserve">DRGs designated for a separate same-day payment, and uses length of stay adjusted to remove ICU days for ICU-unbundled AR-DRGs. </w:t>
      </w:r>
    </w:p>
    <w:p w:rsidR="00265B8F" w:rsidRPr="00E33EAE" w:rsidRDefault="008E24B0" w:rsidP="00AD4FFC">
      <w:pPr>
        <w:tabs>
          <w:tab w:val="left" w:pos="1162"/>
        </w:tabs>
        <w:rPr>
          <w:rFonts w:cs="Arial"/>
          <w:szCs w:val="20"/>
        </w:rPr>
      </w:pPr>
      <w:r>
        <w:rPr>
          <w:rFonts w:cs="Arial"/>
          <w:szCs w:val="20"/>
        </w:rPr>
        <w:t xml:space="preserve">L1.5H1.5 was approved for Mental Health Major Diagnostic Categories (MDC) 19 and 20, as well as 21 DRGs that had very high cost long stay outliers. </w:t>
      </w:r>
      <w:r w:rsidR="00265B8F" w:rsidRPr="00E33EAE">
        <w:rPr>
          <w:rFonts w:cs="Arial"/>
          <w:szCs w:val="20"/>
        </w:rPr>
        <w:t xml:space="preserve">The list of 21 DRGs where the L1.5H1.5 method has been used to determine the inlier bounds is provided at </w:t>
      </w:r>
      <w:r w:rsidR="000D3A87">
        <w:rPr>
          <w:rStyle w:val="Hyperlink"/>
          <w:b/>
        </w:rPr>
        <w:t>Attachment </w:t>
      </w:r>
      <w:r w:rsidR="00265B8F" w:rsidRPr="00E33EAE">
        <w:rPr>
          <w:rStyle w:val="Hyperlink"/>
          <w:b/>
        </w:rPr>
        <w:t>C</w:t>
      </w:r>
      <w:r w:rsidR="00265B8F" w:rsidRPr="00E33EAE">
        <w:rPr>
          <w:rFonts w:cs="Arial"/>
          <w:szCs w:val="20"/>
        </w:rPr>
        <w:t xml:space="preserve">. </w:t>
      </w:r>
    </w:p>
    <w:p w:rsidR="00E045B9" w:rsidRPr="00E33EAE" w:rsidRDefault="00460371" w:rsidP="00AD4FFC">
      <w:pPr>
        <w:tabs>
          <w:tab w:val="left" w:pos="1162"/>
        </w:tabs>
        <w:rPr>
          <w:rFonts w:cs="Arial"/>
          <w:szCs w:val="20"/>
        </w:rPr>
      </w:pPr>
      <w:r w:rsidRPr="00E33EAE">
        <w:rPr>
          <w:rFonts w:cs="Arial"/>
          <w:szCs w:val="20"/>
        </w:rPr>
        <w:t>The steps are:</w:t>
      </w:r>
    </w:p>
    <w:p w:rsidR="00460371" w:rsidRPr="00E33EAE" w:rsidRDefault="00460371" w:rsidP="00C245E0">
      <w:pPr>
        <w:pStyle w:val="ListParagraph"/>
        <w:numPr>
          <w:ilvl w:val="0"/>
          <w:numId w:val="48"/>
        </w:numPr>
        <w:tabs>
          <w:tab w:val="left" w:pos="1162"/>
        </w:tabs>
        <w:spacing w:before="80" w:after="0"/>
        <w:rPr>
          <w:rFonts w:cs="Arial"/>
          <w:szCs w:val="20"/>
        </w:rPr>
      </w:pPr>
      <w:r w:rsidRPr="00E33EAE">
        <w:rPr>
          <w:rFonts w:cs="Arial"/>
          <w:szCs w:val="20"/>
        </w:rPr>
        <w:t xml:space="preserve">Calculate the national mean length of stay for each AR-DRG. </w:t>
      </w:r>
    </w:p>
    <w:p w:rsidR="00460371" w:rsidRPr="00E33EAE" w:rsidRDefault="00460371" w:rsidP="00C245E0">
      <w:pPr>
        <w:pStyle w:val="ListParagraph"/>
        <w:numPr>
          <w:ilvl w:val="0"/>
          <w:numId w:val="48"/>
        </w:numPr>
        <w:tabs>
          <w:tab w:val="left" w:pos="1162"/>
        </w:tabs>
        <w:spacing w:before="80" w:after="0"/>
        <w:ind w:left="714" w:hanging="357"/>
        <w:rPr>
          <w:rFonts w:cs="Arial"/>
          <w:szCs w:val="20"/>
        </w:rPr>
      </w:pPr>
      <w:r w:rsidRPr="00E33EAE">
        <w:rPr>
          <w:rFonts w:cs="Arial"/>
          <w:szCs w:val="20"/>
        </w:rPr>
        <w:t>Calculate the inlier lower bound for each AR-DRG. This is based on the calculation: national mean length of stay divided by 3 (1.5 for Mental Health</w:t>
      </w:r>
      <w:r w:rsidR="00DB2A7C" w:rsidRPr="00E33EAE">
        <w:rPr>
          <w:rFonts w:cs="Arial"/>
          <w:szCs w:val="20"/>
        </w:rPr>
        <w:t xml:space="preserve"> and the 21 specified DRGs</w:t>
      </w:r>
      <w:r w:rsidRPr="00E33EAE">
        <w:rPr>
          <w:rFonts w:cs="Arial"/>
          <w:szCs w:val="20"/>
        </w:rPr>
        <w:t>). The result was truncated. This means that it was rounded down to the next lowest integer (e.g. if the result was 3.6, the inlier lower bound was set to 3).</w:t>
      </w:r>
    </w:p>
    <w:p w:rsidR="00460371" w:rsidRPr="00E33EAE" w:rsidRDefault="00460371" w:rsidP="00C245E0">
      <w:pPr>
        <w:pStyle w:val="ListParagraph"/>
        <w:numPr>
          <w:ilvl w:val="0"/>
          <w:numId w:val="48"/>
        </w:numPr>
        <w:tabs>
          <w:tab w:val="left" w:pos="1162"/>
        </w:tabs>
        <w:spacing w:before="80" w:after="0"/>
        <w:ind w:left="714" w:hanging="357"/>
        <w:rPr>
          <w:rFonts w:cs="Arial"/>
          <w:szCs w:val="20"/>
        </w:rPr>
      </w:pPr>
      <w:r w:rsidRPr="00E33EAE">
        <w:rPr>
          <w:rFonts w:cs="Arial"/>
          <w:szCs w:val="20"/>
        </w:rPr>
        <w:t>Calculate the inlier upper bound for each AR-DRG. This is based on the calculation: national mean length of stay multiplied by 3 (1.5 for Mental Health</w:t>
      </w:r>
      <w:r w:rsidR="00FD1DA3" w:rsidRPr="00E33EAE">
        <w:rPr>
          <w:rFonts w:cs="Arial"/>
          <w:szCs w:val="20"/>
        </w:rPr>
        <w:t xml:space="preserve"> and the 21</w:t>
      </w:r>
      <w:r w:rsidR="00490245" w:rsidRPr="00E33EAE">
        <w:rPr>
          <w:rFonts w:cs="Arial"/>
          <w:szCs w:val="20"/>
        </w:rPr>
        <w:t> </w:t>
      </w:r>
      <w:r w:rsidR="00FD1DA3" w:rsidRPr="00E33EAE">
        <w:rPr>
          <w:rFonts w:cs="Arial"/>
          <w:szCs w:val="20"/>
        </w:rPr>
        <w:t>specified DRGs</w:t>
      </w:r>
      <w:r w:rsidRPr="00E33EAE">
        <w:rPr>
          <w:rFonts w:cs="Arial"/>
          <w:szCs w:val="20"/>
        </w:rPr>
        <w:t>). The result was rounded to the nearest integer (e.g. 10.2 would result in the upper bound being set to 10, whereas 10.7 would result in the upper bound being set to 11).</w:t>
      </w:r>
    </w:p>
    <w:p w:rsidR="00460371" w:rsidRPr="00E33EAE" w:rsidRDefault="00460371" w:rsidP="00C245E0">
      <w:pPr>
        <w:pStyle w:val="ListParagraph"/>
        <w:numPr>
          <w:ilvl w:val="0"/>
          <w:numId w:val="48"/>
        </w:numPr>
        <w:tabs>
          <w:tab w:val="left" w:pos="1162"/>
        </w:tabs>
        <w:spacing w:before="80" w:after="0"/>
        <w:ind w:left="714" w:hanging="357"/>
        <w:rPr>
          <w:rFonts w:cs="Arial"/>
          <w:szCs w:val="20"/>
        </w:rPr>
      </w:pPr>
      <w:r w:rsidRPr="00E33EAE">
        <w:rPr>
          <w:rFonts w:cs="Arial"/>
          <w:szCs w:val="20"/>
        </w:rPr>
        <w:t>Episodes with an ICU-adjusted length of stay equal to or between the two inlier bounds of the AR</w:t>
      </w:r>
      <w:r w:rsidRPr="00E33EAE">
        <w:rPr>
          <w:rFonts w:cs="Arial"/>
          <w:szCs w:val="20"/>
        </w:rPr>
        <w:noBreakHyphen/>
        <w:t>DRG to which they belong are considered inlier episodes.</w:t>
      </w:r>
    </w:p>
    <w:p w:rsidR="00460371" w:rsidRDefault="00460371" w:rsidP="00AD4FFC">
      <w:pPr>
        <w:tabs>
          <w:tab w:val="left" w:pos="1162"/>
        </w:tabs>
        <w:spacing w:before="240"/>
        <w:rPr>
          <w:rFonts w:cs="Arial"/>
          <w:szCs w:val="20"/>
        </w:rPr>
      </w:pPr>
      <w:r w:rsidRPr="00E33EAE">
        <w:rPr>
          <w:rFonts w:cs="Arial"/>
          <w:szCs w:val="20"/>
        </w:rPr>
        <w:t xml:space="preserve">Further to the above process, </w:t>
      </w:r>
      <w:r w:rsidR="00881D94">
        <w:rPr>
          <w:rFonts w:cs="Arial"/>
          <w:szCs w:val="20"/>
        </w:rPr>
        <w:t xml:space="preserve">for AR-DRGs which remain unchanged from v7 to v8, </w:t>
      </w:r>
      <w:r w:rsidRPr="00E33EAE">
        <w:rPr>
          <w:rFonts w:cs="Arial"/>
          <w:szCs w:val="20"/>
        </w:rPr>
        <w:t xml:space="preserve">changes with respect to inlier bounds from the </w:t>
      </w:r>
      <w:r w:rsidR="00FE101E">
        <w:rPr>
          <w:rFonts w:cs="Arial"/>
          <w:szCs w:val="20"/>
        </w:rPr>
        <w:t>2012-13</w:t>
      </w:r>
      <w:r w:rsidRPr="00E33EAE">
        <w:rPr>
          <w:rFonts w:cs="Arial"/>
          <w:szCs w:val="20"/>
        </w:rPr>
        <w:t xml:space="preserve"> cost model were monitored to ensure they were the result of real change and were not due to statistical noise. Wherever an AR-DRG has not been signifi</w:t>
      </w:r>
      <w:r w:rsidR="00F919F3" w:rsidRPr="00E33EAE">
        <w:rPr>
          <w:rFonts w:cs="Arial"/>
          <w:szCs w:val="20"/>
        </w:rPr>
        <w:t xml:space="preserve">cantly affected by a </w:t>
      </w:r>
      <w:r w:rsidR="00FD1DA3" w:rsidRPr="00E33EAE">
        <w:rPr>
          <w:rFonts w:cs="Arial"/>
          <w:szCs w:val="20"/>
        </w:rPr>
        <w:t>specific change in methodology</w:t>
      </w:r>
      <w:r w:rsidRPr="00E33EAE">
        <w:rPr>
          <w:rFonts w:cs="Arial"/>
          <w:szCs w:val="20"/>
        </w:rPr>
        <w:t>, 95 per cent confidence intervals around bounds are used to evaluate changes as significant or not. Changes are also evaluated in terms of their materiality (required to affect at least 1 per cent of an AR</w:t>
      </w:r>
      <w:r w:rsidRPr="00E33EAE">
        <w:rPr>
          <w:rFonts w:cs="Arial"/>
          <w:szCs w:val="20"/>
        </w:rPr>
        <w:noBreakHyphen/>
        <w:t>DRG’s separation</w:t>
      </w:r>
      <w:r w:rsidR="00D81721" w:rsidRPr="00E33EAE">
        <w:rPr>
          <w:rFonts w:cs="Arial"/>
          <w:szCs w:val="20"/>
        </w:rPr>
        <w:t>s</w:t>
      </w:r>
      <w:r w:rsidRPr="00E33EAE">
        <w:rPr>
          <w:rFonts w:cs="Arial"/>
          <w:szCs w:val="20"/>
        </w:rPr>
        <w:t xml:space="preserve"> and at least 10</w:t>
      </w:r>
      <w:r w:rsidR="00452012" w:rsidRPr="00E33EAE">
        <w:t> </w:t>
      </w:r>
      <w:r w:rsidRPr="00E33EAE">
        <w:rPr>
          <w:rFonts w:cs="Arial"/>
          <w:szCs w:val="20"/>
        </w:rPr>
        <w:t>separations).</w:t>
      </w:r>
    </w:p>
    <w:p w:rsidR="00460371" w:rsidRDefault="00460371" w:rsidP="00AD4FFC">
      <w:pPr>
        <w:pStyle w:val="Heading3"/>
        <w:keepLines w:val="0"/>
        <w:numPr>
          <w:ilvl w:val="2"/>
          <w:numId w:val="35"/>
        </w:numPr>
        <w:tabs>
          <w:tab w:val="left" w:pos="1162"/>
        </w:tabs>
        <w:spacing w:before="240" w:after="120"/>
      </w:pPr>
      <w:bookmarkStart w:id="109" w:name="_Ref319574396"/>
      <w:bookmarkStart w:id="110" w:name="_Ref319940031"/>
      <w:bookmarkStart w:id="111" w:name="_Toc380754700"/>
      <w:bookmarkStart w:id="112" w:name="_Toc444528579"/>
      <w:r w:rsidRPr="00413396">
        <w:t>Classification of patient</w:t>
      </w:r>
      <w:r>
        <w:t>-level cost data</w:t>
      </w:r>
      <w:r w:rsidRPr="00413396">
        <w:t xml:space="preserve"> in relevant categories</w:t>
      </w:r>
      <w:bookmarkEnd w:id="109"/>
      <w:bookmarkEnd w:id="110"/>
      <w:bookmarkEnd w:id="111"/>
      <w:bookmarkEnd w:id="112"/>
    </w:p>
    <w:p w:rsidR="00460371" w:rsidRPr="00C14893" w:rsidRDefault="00460371" w:rsidP="00AD4FFC">
      <w:pPr>
        <w:tabs>
          <w:tab w:val="left" w:pos="1162"/>
        </w:tabs>
        <w:rPr>
          <w:rFonts w:cs="Arial"/>
          <w:szCs w:val="20"/>
        </w:rPr>
      </w:pPr>
      <w:r w:rsidRPr="00C14893">
        <w:rPr>
          <w:rFonts w:cs="Arial"/>
          <w:szCs w:val="20"/>
        </w:rPr>
        <w:t>Prior to analysing costs, episode</w:t>
      </w:r>
      <w:r>
        <w:rPr>
          <w:rFonts w:cs="Arial"/>
          <w:szCs w:val="20"/>
        </w:rPr>
        <w:t>s</w:t>
      </w:r>
      <w:r w:rsidRPr="00C14893">
        <w:rPr>
          <w:rFonts w:cs="Arial"/>
          <w:szCs w:val="20"/>
        </w:rPr>
        <w:t xml:space="preserve"> </w:t>
      </w:r>
      <w:r>
        <w:rPr>
          <w:rFonts w:cs="Arial"/>
          <w:szCs w:val="20"/>
        </w:rPr>
        <w:t xml:space="preserve">are </w:t>
      </w:r>
      <w:r w:rsidRPr="00C14893">
        <w:rPr>
          <w:rFonts w:cs="Arial"/>
          <w:szCs w:val="20"/>
        </w:rPr>
        <w:t xml:space="preserve">assigned to categories reflecting the relevant adjustments to be made through the </w:t>
      </w:r>
      <w:r w:rsidR="00377AEC">
        <w:rPr>
          <w:rFonts w:cs="Arial"/>
          <w:szCs w:val="20"/>
        </w:rPr>
        <w:t>2013-14</w:t>
      </w:r>
      <w:r>
        <w:rPr>
          <w:rFonts w:cs="Arial"/>
          <w:szCs w:val="20"/>
        </w:rPr>
        <w:t xml:space="preserve"> cost</w:t>
      </w:r>
      <w:r w:rsidRPr="00C14893">
        <w:rPr>
          <w:rFonts w:cs="Arial"/>
          <w:szCs w:val="20"/>
        </w:rPr>
        <w:t xml:space="preserve"> model</w:t>
      </w:r>
      <w:r>
        <w:rPr>
          <w:rFonts w:cs="Arial"/>
          <w:szCs w:val="20"/>
        </w:rPr>
        <w:t xml:space="preserve">. </w:t>
      </w:r>
      <w:r w:rsidRPr="00C14893">
        <w:rPr>
          <w:rFonts w:cs="Arial"/>
          <w:szCs w:val="20"/>
        </w:rPr>
        <w:t>The steps involved include:</w:t>
      </w:r>
    </w:p>
    <w:p w:rsidR="00460371" w:rsidRPr="005C56B4" w:rsidRDefault="00460371" w:rsidP="00C245E0">
      <w:pPr>
        <w:pStyle w:val="ListParagraph"/>
        <w:numPr>
          <w:ilvl w:val="0"/>
          <w:numId w:val="49"/>
        </w:numPr>
        <w:tabs>
          <w:tab w:val="left" w:pos="1162"/>
        </w:tabs>
        <w:spacing w:before="80" w:after="0"/>
        <w:rPr>
          <w:rFonts w:cs="Arial"/>
          <w:i/>
          <w:szCs w:val="20"/>
        </w:rPr>
      </w:pPr>
      <w:r w:rsidRPr="005C56B4">
        <w:rPr>
          <w:rFonts w:cs="Arial"/>
          <w:i/>
          <w:szCs w:val="20"/>
        </w:rPr>
        <w:t>Assign</w:t>
      </w:r>
      <w:r>
        <w:rPr>
          <w:rFonts w:cs="Arial"/>
          <w:i/>
          <w:szCs w:val="20"/>
        </w:rPr>
        <w:t>ing</w:t>
      </w:r>
      <w:r w:rsidRPr="005C56B4">
        <w:rPr>
          <w:rFonts w:cs="Arial"/>
          <w:i/>
          <w:szCs w:val="20"/>
        </w:rPr>
        <w:t xml:space="preserve"> one of the following categories</w:t>
      </w:r>
      <w:r>
        <w:rPr>
          <w:rFonts w:cs="Arial"/>
          <w:i/>
          <w:szCs w:val="20"/>
        </w:rPr>
        <w:t xml:space="preserve"> to each episode</w:t>
      </w:r>
      <w:r w:rsidRPr="005C56B4">
        <w:rPr>
          <w:rFonts w:cs="Arial"/>
          <w:i/>
          <w:szCs w:val="20"/>
        </w:rPr>
        <w:t>:</w:t>
      </w:r>
    </w:p>
    <w:p w:rsidR="00460371" w:rsidRPr="005C56B4" w:rsidRDefault="00460371" w:rsidP="00C245E0">
      <w:pPr>
        <w:pStyle w:val="ListParagraph"/>
        <w:numPr>
          <w:ilvl w:val="1"/>
          <w:numId w:val="49"/>
        </w:numPr>
        <w:tabs>
          <w:tab w:val="left" w:pos="1162"/>
        </w:tabs>
        <w:spacing w:before="80" w:after="0"/>
        <w:ind w:left="1434" w:hanging="357"/>
        <w:rPr>
          <w:rFonts w:cs="Arial"/>
          <w:szCs w:val="20"/>
        </w:rPr>
      </w:pPr>
      <w:r>
        <w:rPr>
          <w:rFonts w:cs="Arial"/>
          <w:szCs w:val="20"/>
        </w:rPr>
        <w:t>Same-day</w:t>
      </w:r>
      <w:r w:rsidRPr="005C56B4">
        <w:rPr>
          <w:rFonts w:cs="Arial"/>
          <w:szCs w:val="20"/>
        </w:rPr>
        <w:t xml:space="preserve"> </w:t>
      </w:r>
      <w:r>
        <w:rPr>
          <w:rFonts w:cs="Arial"/>
          <w:szCs w:val="20"/>
        </w:rPr>
        <w:t>separation from an AR-DRG on the Designated Same-Day Payment list</w:t>
      </w:r>
    </w:p>
    <w:p w:rsidR="00460371" w:rsidRDefault="00460371" w:rsidP="00C245E0">
      <w:pPr>
        <w:pStyle w:val="ListParagraph"/>
        <w:numPr>
          <w:ilvl w:val="1"/>
          <w:numId w:val="49"/>
        </w:numPr>
        <w:tabs>
          <w:tab w:val="left" w:pos="1162"/>
        </w:tabs>
        <w:spacing w:before="80" w:after="0"/>
        <w:ind w:left="1434" w:hanging="357"/>
        <w:rPr>
          <w:rFonts w:cs="Arial"/>
          <w:szCs w:val="20"/>
        </w:rPr>
      </w:pPr>
      <w:r w:rsidRPr="005C56B4">
        <w:rPr>
          <w:rFonts w:cs="Arial"/>
          <w:szCs w:val="20"/>
        </w:rPr>
        <w:t>Short stay outlier</w:t>
      </w:r>
    </w:p>
    <w:p w:rsidR="00460371" w:rsidRPr="00A84BF6" w:rsidRDefault="00460371" w:rsidP="00C245E0">
      <w:pPr>
        <w:pStyle w:val="ListParagraph"/>
        <w:numPr>
          <w:ilvl w:val="1"/>
          <w:numId w:val="49"/>
        </w:numPr>
        <w:tabs>
          <w:tab w:val="left" w:pos="1162"/>
        </w:tabs>
        <w:spacing w:before="80" w:after="0"/>
        <w:ind w:left="1434" w:hanging="357"/>
        <w:rPr>
          <w:rFonts w:cs="Arial"/>
          <w:szCs w:val="20"/>
        </w:rPr>
      </w:pPr>
      <w:r w:rsidRPr="005C56B4">
        <w:rPr>
          <w:rFonts w:cs="Arial"/>
          <w:szCs w:val="20"/>
        </w:rPr>
        <w:t>Inlier</w:t>
      </w:r>
    </w:p>
    <w:p w:rsidR="00460371" w:rsidRPr="005C56B4" w:rsidRDefault="00460371" w:rsidP="00C245E0">
      <w:pPr>
        <w:pStyle w:val="ListParagraph"/>
        <w:numPr>
          <w:ilvl w:val="1"/>
          <w:numId w:val="49"/>
        </w:numPr>
        <w:tabs>
          <w:tab w:val="left" w:pos="1162"/>
        </w:tabs>
        <w:spacing w:before="80" w:after="0"/>
        <w:ind w:left="1434" w:hanging="357"/>
        <w:rPr>
          <w:rFonts w:cs="Arial"/>
          <w:szCs w:val="20"/>
        </w:rPr>
      </w:pPr>
      <w:r w:rsidRPr="005C56B4">
        <w:rPr>
          <w:rFonts w:cs="Arial"/>
          <w:szCs w:val="20"/>
        </w:rPr>
        <w:t>Long stay outlier</w:t>
      </w:r>
      <w:r w:rsidR="00C35A0D">
        <w:rPr>
          <w:rFonts w:cs="Arial"/>
          <w:szCs w:val="20"/>
        </w:rPr>
        <w:t>.</w:t>
      </w:r>
    </w:p>
    <w:p w:rsidR="00460371" w:rsidRPr="005C56B4" w:rsidRDefault="00460371" w:rsidP="00C245E0">
      <w:pPr>
        <w:pStyle w:val="ListParagraph"/>
        <w:numPr>
          <w:ilvl w:val="0"/>
          <w:numId w:val="49"/>
        </w:numPr>
        <w:tabs>
          <w:tab w:val="left" w:pos="1162"/>
        </w:tabs>
        <w:spacing w:before="80" w:after="0"/>
        <w:ind w:left="714" w:hanging="357"/>
        <w:rPr>
          <w:rFonts w:cs="Arial"/>
          <w:i/>
          <w:szCs w:val="20"/>
        </w:rPr>
      </w:pPr>
      <w:bookmarkStart w:id="113" w:name="_Ref319574423"/>
      <w:r w:rsidRPr="005C56B4">
        <w:rPr>
          <w:rFonts w:cs="Arial"/>
          <w:i/>
          <w:szCs w:val="20"/>
        </w:rPr>
        <w:t>Flag</w:t>
      </w:r>
      <w:r>
        <w:rPr>
          <w:rFonts w:cs="Arial"/>
          <w:i/>
          <w:szCs w:val="20"/>
        </w:rPr>
        <w:t>ging</w:t>
      </w:r>
      <w:r w:rsidRPr="005C56B4">
        <w:rPr>
          <w:rFonts w:cs="Arial"/>
          <w:i/>
          <w:szCs w:val="20"/>
        </w:rPr>
        <w:t xml:space="preserve"> episodes that are eligible for the paediatric adjustment</w:t>
      </w:r>
      <w:r>
        <w:rPr>
          <w:rFonts w:cs="Arial"/>
          <w:i/>
          <w:szCs w:val="20"/>
        </w:rPr>
        <w:t>.</w:t>
      </w:r>
      <w:r w:rsidRPr="00063E42">
        <w:rPr>
          <w:rFonts w:cs="Arial"/>
          <w:szCs w:val="20"/>
        </w:rPr>
        <w:t xml:space="preserve"> These are episodes that:</w:t>
      </w:r>
      <w:bookmarkEnd w:id="113"/>
    </w:p>
    <w:p w:rsidR="00460371" w:rsidRPr="005C56B4" w:rsidRDefault="00460371" w:rsidP="00C245E0">
      <w:pPr>
        <w:pStyle w:val="ListParagraph"/>
        <w:numPr>
          <w:ilvl w:val="1"/>
          <w:numId w:val="49"/>
        </w:numPr>
        <w:tabs>
          <w:tab w:val="left" w:pos="1162"/>
        </w:tabs>
        <w:spacing w:before="80" w:after="0"/>
        <w:ind w:left="1434" w:hanging="357"/>
        <w:rPr>
          <w:rFonts w:cs="Arial"/>
          <w:szCs w:val="20"/>
        </w:rPr>
      </w:pPr>
      <w:r w:rsidRPr="005C56B4">
        <w:rPr>
          <w:rFonts w:cs="Arial"/>
          <w:szCs w:val="20"/>
        </w:rPr>
        <w:t xml:space="preserve">Occur in </w:t>
      </w:r>
      <w:r>
        <w:rPr>
          <w:rFonts w:cs="Arial"/>
          <w:szCs w:val="20"/>
        </w:rPr>
        <w:t xml:space="preserve">establishments </w:t>
      </w:r>
      <w:r w:rsidRPr="005C56B4">
        <w:rPr>
          <w:rFonts w:cs="Arial"/>
          <w:szCs w:val="20"/>
        </w:rPr>
        <w:t xml:space="preserve">identified as </w:t>
      </w:r>
      <w:r>
        <w:rPr>
          <w:rFonts w:cs="Arial"/>
          <w:szCs w:val="20"/>
        </w:rPr>
        <w:t xml:space="preserve">delivering </w:t>
      </w:r>
      <w:r w:rsidRPr="005C56B4">
        <w:rPr>
          <w:rFonts w:cs="Arial"/>
          <w:szCs w:val="20"/>
        </w:rPr>
        <w:t>specialised paediatric service</w:t>
      </w:r>
      <w:r>
        <w:rPr>
          <w:rFonts w:cs="Arial"/>
          <w:szCs w:val="20"/>
        </w:rPr>
        <w:t>s (</w:t>
      </w:r>
      <w:r w:rsidRPr="005C56B4">
        <w:rPr>
          <w:rFonts w:cs="Arial"/>
          <w:szCs w:val="20"/>
        </w:rPr>
        <w:t>listed in</w:t>
      </w:r>
      <w:r w:rsidR="00FD1DA3">
        <w:rPr>
          <w:rFonts w:cs="Arial"/>
          <w:szCs w:val="20"/>
        </w:rPr>
        <w:t xml:space="preserve"> Appendix </w:t>
      </w:r>
      <w:r w:rsidR="00770EA2">
        <w:rPr>
          <w:rFonts w:cs="Arial"/>
          <w:szCs w:val="20"/>
        </w:rPr>
        <w:t>E</w:t>
      </w:r>
      <w:r w:rsidR="00770EA2" w:rsidRPr="005C56B4">
        <w:rPr>
          <w:rFonts w:cs="Arial"/>
          <w:szCs w:val="20"/>
        </w:rPr>
        <w:t xml:space="preserve"> </w:t>
      </w:r>
      <w:r w:rsidRPr="005C56B4">
        <w:rPr>
          <w:rFonts w:cs="Arial"/>
          <w:szCs w:val="20"/>
        </w:rPr>
        <w:t xml:space="preserve">the </w:t>
      </w:r>
      <w:r w:rsidR="00332C5A" w:rsidRPr="00B3571F">
        <w:rPr>
          <w:rFonts w:cs="Arial"/>
          <w:szCs w:val="20"/>
        </w:rPr>
        <w:t>NEP</w:t>
      </w:r>
      <w:r w:rsidR="00332C5A">
        <w:rPr>
          <w:rFonts w:cs="Arial"/>
          <w:szCs w:val="20"/>
        </w:rPr>
        <w:t>16</w:t>
      </w:r>
      <w:r w:rsidR="00332C5A" w:rsidRPr="00B3571F">
        <w:rPr>
          <w:rFonts w:cs="Arial"/>
          <w:szCs w:val="20"/>
        </w:rPr>
        <w:t xml:space="preserve"> </w:t>
      </w:r>
      <w:r w:rsidR="00FD1DA3" w:rsidRPr="00B3571F">
        <w:rPr>
          <w:rFonts w:cs="Arial"/>
          <w:szCs w:val="20"/>
        </w:rPr>
        <w:t>Determination</w:t>
      </w:r>
      <w:r w:rsidRPr="00B3571F">
        <w:rPr>
          <w:rFonts w:cs="Arial"/>
          <w:szCs w:val="20"/>
        </w:rPr>
        <w:t>)</w:t>
      </w:r>
      <w:r w:rsidR="0041687B" w:rsidRPr="00B3571F">
        <w:rPr>
          <w:rFonts w:cs="Arial"/>
          <w:szCs w:val="20"/>
        </w:rPr>
        <w:t>;</w:t>
      </w:r>
      <w:r w:rsidRPr="005C56B4">
        <w:rPr>
          <w:rFonts w:cs="Arial"/>
          <w:szCs w:val="20"/>
        </w:rPr>
        <w:t xml:space="preserve"> </w:t>
      </w:r>
    </w:p>
    <w:p w:rsidR="00460371" w:rsidRPr="005C56B4" w:rsidRDefault="00460371" w:rsidP="00C245E0">
      <w:pPr>
        <w:pStyle w:val="ListParagraph"/>
        <w:numPr>
          <w:ilvl w:val="1"/>
          <w:numId w:val="49"/>
        </w:numPr>
        <w:tabs>
          <w:tab w:val="left" w:pos="1162"/>
        </w:tabs>
        <w:spacing w:before="80" w:after="0"/>
        <w:ind w:left="1434" w:hanging="357"/>
        <w:rPr>
          <w:rFonts w:cs="Arial"/>
          <w:szCs w:val="20"/>
        </w:rPr>
      </w:pPr>
      <w:r w:rsidRPr="005C56B4">
        <w:rPr>
          <w:rFonts w:cs="Arial"/>
          <w:szCs w:val="20"/>
        </w:rPr>
        <w:t xml:space="preserve">Have an AR-DRG which is not within </w:t>
      </w:r>
      <w:r w:rsidR="000A513F">
        <w:rPr>
          <w:rFonts w:cs="Arial"/>
          <w:szCs w:val="20"/>
        </w:rPr>
        <w:t>MDC</w:t>
      </w:r>
      <w:r w:rsidRPr="005C56B4">
        <w:rPr>
          <w:rFonts w:cs="Arial"/>
          <w:szCs w:val="20"/>
        </w:rPr>
        <w:t xml:space="preserve"> 15 </w:t>
      </w:r>
      <w:r>
        <w:rPr>
          <w:rFonts w:cs="Arial"/>
          <w:szCs w:val="20"/>
        </w:rPr>
        <w:t>(</w:t>
      </w:r>
      <w:r w:rsidRPr="005C56B4">
        <w:rPr>
          <w:rFonts w:cs="Arial"/>
          <w:szCs w:val="20"/>
        </w:rPr>
        <w:t>Newborns and other neonates</w:t>
      </w:r>
      <w:r>
        <w:rPr>
          <w:rFonts w:cs="Arial"/>
          <w:szCs w:val="20"/>
        </w:rPr>
        <w:t>)</w:t>
      </w:r>
      <w:r w:rsidR="0041687B">
        <w:rPr>
          <w:rFonts w:cs="Arial"/>
          <w:szCs w:val="20"/>
        </w:rPr>
        <w:t>; and</w:t>
      </w:r>
    </w:p>
    <w:p w:rsidR="00460371" w:rsidRPr="005C56B4" w:rsidRDefault="00460371" w:rsidP="00C245E0">
      <w:pPr>
        <w:pStyle w:val="ListParagraph"/>
        <w:numPr>
          <w:ilvl w:val="1"/>
          <w:numId w:val="49"/>
        </w:numPr>
        <w:tabs>
          <w:tab w:val="left" w:pos="1162"/>
        </w:tabs>
        <w:spacing w:before="80" w:after="0"/>
        <w:ind w:left="1434" w:hanging="357"/>
        <w:rPr>
          <w:rFonts w:cs="Arial"/>
          <w:szCs w:val="20"/>
        </w:rPr>
      </w:pPr>
      <w:r>
        <w:rPr>
          <w:rFonts w:cs="Arial"/>
          <w:szCs w:val="20"/>
        </w:rPr>
        <w:t xml:space="preserve">Have </w:t>
      </w:r>
      <w:r w:rsidRPr="005C56B4">
        <w:rPr>
          <w:rFonts w:cs="Arial"/>
          <w:szCs w:val="20"/>
        </w:rPr>
        <w:t xml:space="preserve">patient </w:t>
      </w:r>
      <w:r>
        <w:rPr>
          <w:rFonts w:cs="Arial"/>
          <w:szCs w:val="20"/>
        </w:rPr>
        <w:t xml:space="preserve">age </w:t>
      </w:r>
      <w:r w:rsidRPr="005C56B4">
        <w:rPr>
          <w:rFonts w:cs="Arial"/>
          <w:szCs w:val="20"/>
        </w:rPr>
        <w:t xml:space="preserve">at admission </w:t>
      </w:r>
      <w:r>
        <w:rPr>
          <w:rFonts w:cs="Arial"/>
          <w:szCs w:val="20"/>
        </w:rPr>
        <w:t xml:space="preserve">of </w:t>
      </w:r>
      <w:r w:rsidRPr="005C56B4">
        <w:rPr>
          <w:rFonts w:cs="Arial"/>
          <w:szCs w:val="20"/>
        </w:rPr>
        <w:t>1</w:t>
      </w:r>
      <w:r w:rsidR="00E74059">
        <w:rPr>
          <w:rFonts w:cs="Arial"/>
          <w:szCs w:val="20"/>
        </w:rPr>
        <w:t>7</w:t>
      </w:r>
      <w:r w:rsidRPr="005C56B4">
        <w:rPr>
          <w:rFonts w:cs="Arial"/>
          <w:szCs w:val="20"/>
        </w:rPr>
        <w:t xml:space="preserve"> years or less. </w:t>
      </w:r>
    </w:p>
    <w:p w:rsidR="00460371" w:rsidRDefault="00460371" w:rsidP="00C245E0">
      <w:pPr>
        <w:pStyle w:val="ListParagraph"/>
        <w:numPr>
          <w:ilvl w:val="0"/>
          <w:numId w:val="49"/>
        </w:numPr>
        <w:tabs>
          <w:tab w:val="left" w:pos="1162"/>
        </w:tabs>
        <w:spacing w:before="80" w:after="0"/>
        <w:ind w:left="714" w:hanging="357"/>
        <w:rPr>
          <w:rFonts w:cs="Arial"/>
          <w:i/>
          <w:szCs w:val="20"/>
        </w:rPr>
      </w:pPr>
      <w:r>
        <w:rPr>
          <w:rFonts w:cs="Arial"/>
          <w:i/>
          <w:szCs w:val="20"/>
        </w:rPr>
        <w:t>Flagging episodes that are eligible for the specialist psychiatric age adjustment.</w:t>
      </w:r>
      <w:r w:rsidRPr="00063E42">
        <w:rPr>
          <w:rFonts w:cs="Arial"/>
          <w:szCs w:val="20"/>
        </w:rPr>
        <w:t xml:space="preserve"> These are episodes that have patient psychiatric care days and fall within the age categories specific to the adjustment</w:t>
      </w:r>
      <w:r>
        <w:rPr>
          <w:rFonts w:cs="Arial"/>
          <w:szCs w:val="20"/>
        </w:rPr>
        <w:t xml:space="preserve"> (see Section </w:t>
      </w:r>
      <w:r>
        <w:rPr>
          <w:rFonts w:cs="Arial"/>
          <w:szCs w:val="20"/>
        </w:rPr>
        <w:fldChar w:fldCharType="begin"/>
      </w:r>
      <w:r>
        <w:rPr>
          <w:rFonts w:cs="Arial"/>
          <w:szCs w:val="20"/>
        </w:rPr>
        <w:instrText xml:space="preserve"> REF _Ref342306421 \r \h </w:instrText>
      </w:r>
      <w:r w:rsidR="00AD4FFC">
        <w:rPr>
          <w:rFonts w:cs="Arial"/>
          <w:szCs w:val="20"/>
        </w:rPr>
        <w:instrText xml:space="preserve"> \* MERGEFORMAT </w:instrText>
      </w:r>
      <w:r>
        <w:rPr>
          <w:rFonts w:cs="Arial"/>
          <w:szCs w:val="20"/>
        </w:rPr>
      </w:r>
      <w:r>
        <w:rPr>
          <w:rFonts w:cs="Arial"/>
          <w:szCs w:val="20"/>
        </w:rPr>
        <w:fldChar w:fldCharType="separate"/>
      </w:r>
      <w:r w:rsidR="0027530C">
        <w:rPr>
          <w:rFonts w:cs="Arial"/>
          <w:szCs w:val="20"/>
        </w:rPr>
        <w:t>3</w:t>
      </w:r>
      <w:r>
        <w:rPr>
          <w:rFonts w:cs="Arial"/>
          <w:szCs w:val="20"/>
        </w:rPr>
        <w:fldChar w:fldCharType="end"/>
      </w:r>
      <w:r>
        <w:rPr>
          <w:rFonts w:cs="Arial"/>
          <w:szCs w:val="20"/>
        </w:rPr>
        <w:t>)</w:t>
      </w:r>
      <w:r w:rsidRPr="00063E42">
        <w:rPr>
          <w:rFonts w:cs="Arial"/>
          <w:szCs w:val="20"/>
        </w:rPr>
        <w:t>.</w:t>
      </w:r>
      <w:r>
        <w:rPr>
          <w:rFonts w:cs="Arial"/>
          <w:i/>
          <w:szCs w:val="20"/>
        </w:rPr>
        <w:t xml:space="preserve"> </w:t>
      </w:r>
      <w:r w:rsidRPr="00025791">
        <w:rPr>
          <w:rFonts w:cs="Arial"/>
          <w:szCs w:val="20"/>
        </w:rPr>
        <w:t>T</w:t>
      </w:r>
      <w:r w:rsidRPr="007508EE">
        <w:rPr>
          <w:rFonts w:cs="Arial"/>
          <w:szCs w:val="20"/>
        </w:rPr>
        <w:t xml:space="preserve">hese episodes together with all the episodes in MDCs 19 and 20 (Mental </w:t>
      </w:r>
      <w:r>
        <w:rPr>
          <w:rFonts w:cs="Arial"/>
          <w:szCs w:val="20"/>
        </w:rPr>
        <w:t>D</w:t>
      </w:r>
      <w:r w:rsidRPr="007508EE">
        <w:rPr>
          <w:rFonts w:cs="Arial"/>
          <w:szCs w:val="20"/>
        </w:rPr>
        <w:t xml:space="preserve">iseases and </w:t>
      </w:r>
      <w:r>
        <w:rPr>
          <w:rFonts w:cs="Arial"/>
          <w:szCs w:val="20"/>
        </w:rPr>
        <w:t>D</w:t>
      </w:r>
      <w:r w:rsidRPr="007508EE">
        <w:rPr>
          <w:rFonts w:cs="Arial"/>
          <w:szCs w:val="20"/>
        </w:rPr>
        <w:t>isorders</w:t>
      </w:r>
      <w:r>
        <w:rPr>
          <w:rFonts w:cs="Arial"/>
          <w:szCs w:val="20"/>
        </w:rPr>
        <w:t>,</w:t>
      </w:r>
      <w:r w:rsidRPr="007508EE">
        <w:rPr>
          <w:rFonts w:cs="Arial"/>
          <w:szCs w:val="20"/>
        </w:rPr>
        <w:t xml:space="preserve"> and Alcohol/</w:t>
      </w:r>
      <w:r>
        <w:rPr>
          <w:rFonts w:cs="Arial"/>
          <w:szCs w:val="20"/>
        </w:rPr>
        <w:t>D</w:t>
      </w:r>
      <w:r w:rsidRPr="007508EE">
        <w:rPr>
          <w:rFonts w:cs="Arial"/>
          <w:szCs w:val="20"/>
        </w:rPr>
        <w:t xml:space="preserve">rug </w:t>
      </w:r>
      <w:r>
        <w:rPr>
          <w:rFonts w:cs="Arial"/>
          <w:szCs w:val="20"/>
        </w:rPr>
        <w:t>U</w:t>
      </w:r>
      <w:r w:rsidRPr="007508EE">
        <w:rPr>
          <w:rFonts w:cs="Arial"/>
          <w:szCs w:val="20"/>
        </w:rPr>
        <w:t xml:space="preserve">se and </w:t>
      </w:r>
      <w:r>
        <w:rPr>
          <w:rFonts w:cs="Arial"/>
          <w:szCs w:val="20"/>
        </w:rPr>
        <w:t>A</w:t>
      </w:r>
      <w:r w:rsidRPr="007508EE">
        <w:rPr>
          <w:rFonts w:cs="Arial"/>
          <w:szCs w:val="20"/>
        </w:rPr>
        <w:t>lcohol/</w:t>
      </w:r>
      <w:r>
        <w:rPr>
          <w:rFonts w:cs="Arial"/>
          <w:szCs w:val="20"/>
        </w:rPr>
        <w:t>D</w:t>
      </w:r>
      <w:r w:rsidRPr="007508EE">
        <w:rPr>
          <w:rFonts w:cs="Arial"/>
          <w:szCs w:val="20"/>
        </w:rPr>
        <w:t xml:space="preserve">rug </w:t>
      </w:r>
      <w:r>
        <w:rPr>
          <w:rFonts w:cs="Arial"/>
          <w:szCs w:val="20"/>
        </w:rPr>
        <w:t>I</w:t>
      </w:r>
      <w:r w:rsidRPr="007508EE">
        <w:rPr>
          <w:rFonts w:cs="Arial"/>
          <w:szCs w:val="20"/>
        </w:rPr>
        <w:t xml:space="preserve">nduced </w:t>
      </w:r>
      <w:r>
        <w:rPr>
          <w:rFonts w:cs="Arial"/>
          <w:szCs w:val="20"/>
        </w:rPr>
        <w:t>O</w:t>
      </w:r>
      <w:r w:rsidRPr="007508EE">
        <w:rPr>
          <w:rFonts w:cs="Arial"/>
          <w:szCs w:val="20"/>
        </w:rPr>
        <w:t xml:space="preserve">rganic </w:t>
      </w:r>
      <w:r>
        <w:rPr>
          <w:rFonts w:cs="Arial"/>
          <w:szCs w:val="20"/>
        </w:rPr>
        <w:t>M</w:t>
      </w:r>
      <w:r w:rsidRPr="007508EE">
        <w:rPr>
          <w:rFonts w:cs="Arial"/>
          <w:szCs w:val="20"/>
        </w:rPr>
        <w:t xml:space="preserve">ental </w:t>
      </w:r>
      <w:r>
        <w:rPr>
          <w:rFonts w:cs="Arial"/>
          <w:szCs w:val="20"/>
        </w:rPr>
        <w:t>D</w:t>
      </w:r>
      <w:r w:rsidRPr="007508EE">
        <w:rPr>
          <w:rFonts w:cs="Arial"/>
          <w:szCs w:val="20"/>
        </w:rPr>
        <w:t xml:space="preserve">isorders respectively) </w:t>
      </w:r>
      <w:r>
        <w:rPr>
          <w:rFonts w:cs="Arial"/>
          <w:szCs w:val="20"/>
        </w:rPr>
        <w:t xml:space="preserve">are considered part of the mental health model and are </w:t>
      </w:r>
      <w:r w:rsidRPr="007508EE">
        <w:rPr>
          <w:rFonts w:cs="Arial"/>
          <w:szCs w:val="20"/>
        </w:rPr>
        <w:t xml:space="preserve">explained in </w:t>
      </w:r>
      <w:r w:rsidRPr="00DD5F72">
        <w:rPr>
          <w:rFonts w:cs="Arial"/>
          <w:szCs w:val="20"/>
        </w:rPr>
        <w:t>S</w:t>
      </w:r>
      <w:r>
        <w:rPr>
          <w:rFonts w:cs="Arial"/>
          <w:szCs w:val="20"/>
        </w:rPr>
        <w:t>ec</w:t>
      </w:r>
      <w:r w:rsidRPr="00DD5F72">
        <w:rPr>
          <w:rFonts w:cs="Arial"/>
          <w:szCs w:val="20"/>
        </w:rPr>
        <w:t xml:space="preserve">tion </w:t>
      </w:r>
      <w:r w:rsidRPr="00DD5F72">
        <w:rPr>
          <w:rFonts w:cs="Arial"/>
          <w:szCs w:val="20"/>
        </w:rPr>
        <w:fldChar w:fldCharType="begin"/>
      </w:r>
      <w:r w:rsidRPr="00DD5F72">
        <w:rPr>
          <w:rFonts w:cs="Arial"/>
          <w:szCs w:val="20"/>
        </w:rPr>
        <w:instrText xml:space="preserve"> REF _Ref342306421 \r \h  \* MERGEFORMAT </w:instrText>
      </w:r>
      <w:r w:rsidRPr="00DD5F72">
        <w:rPr>
          <w:rFonts w:cs="Arial"/>
          <w:szCs w:val="20"/>
        </w:rPr>
      </w:r>
      <w:r w:rsidRPr="00DD5F72">
        <w:rPr>
          <w:rFonts w:cs="Arial"/>
          <w:szCs w:val="20"/>
        </w:rPr>
        <w:fldChar w:fldCharType="separate"/>
      </w:r>
      <w:r w:rsidR="0027530C">
        <w:rPr>
          <w:rFonts w:cs="Arial"/>
          <w:szCs w:val="20"/>
        </w:rPr>
        <w:t>3</w:t>
      </w:r>
      <w:r w:rsidRPr="00DD5F72">
        <w:rPr>
          <w:rFonts w:cs="Arial"/>
          <w:szCs w:val="20"/>
        </w:rPr>
        <w:fldChar w:fldCharType="end"/>
      </w:r>
      <w:r w:rsidRPr="00DD5F72">
        <w:rPr>
          <w:rFonts w:cs="Arial"/>
          <w:szCs w:val="20"/>
        </w:rPr>
        <w:t>.</w:t>
      </w:r>
    </w:p>
    <w:p w:rsidR="00460371" w:rsidRPr="005C56B4" w:rsidRDefault="00460371" w:rsidP="00C245E0">
      <w:pPr>
        <w:pStyle w:val="ListParagraph"/>
        <w:numPr>
          <w:ilvl w:val="0"/>
          <w:numId w:val="49"/>
        </w:numPr>
        <w:tabs>
          <w:tab w:val="left" w:pos="1162"/>
        </w:tabs>
        <w:spacing w:before="80" w:after="0"/>
        <w:ind w:left="714" w:hanging="357"/>
        <w:rPr>
          <w:rFonts w:cs="Arial"/>
          <w:szCs w:val="20"/>
        </w:rPr>
      </w:pPr>
      <w:r w:rsidRPr="005C56B4">
        <w:rPr>
          <w:rFonts w:cs="Arial"/>
          <w:i/>
          <w:szCs w:val="20"/>
        </w:rPr>
        <w:t>Flag</w:t>
      </w:r>
      <w:r>
        <w:rPr>
          <w:rFonts w:cs="Arial"/>
          <w:i/>
          <w:szCs w:val="20"/>
        </w:rPr>
        <w:t>ging</w:t>
      </w:r>
      <w:r w:rsidRPr="005C56B4">
        <w:rPr>
          <w:rFonts w:cs="Arial"/>
          <w:i/>
          <w:szCs w:val="20"/>
        </w:rPr>
        <w:t xml:space="preserve"> episodes that are eligible for the </w:t>
      </w:r>
      <w:r w:rsidR="00DF77B4">
        <w:rPr>
          <w:rFonts w:cs="Arial"/>
          <w:i/>
          <w:szCs w:val="20"/>
        </w:rPr>
        <w:t>Indigenous</w:t>
      </w:r>
      <w:r w:rsidRPr="005C56B4">
        <w:rPr>
          <w:rFonts w:cs="Arial"/>
          <w:i/>
          <w:szCs w:val="20"/>
        </w:rPr>
        <w:t xml:space="preserve"> </w:t>
      </w:r>
      <w:r>
        <w:rPr>
          <w:rFonts w:cs="Arial"/>
          <w:i/>
          <w:szCs w:val="20"/>
        </w:rPr>
        <w:t>a</w:t>
      </w:r>
      <w:r w:rsidRPr="005C56B4">
        <w:rPr>
          <w:rFonts w:cs="Arial"/>
          <w:i/>
          <w:szCs w:val="20"/>
        </w:rPr>
        <w:t>djustment</w:t>
      </w:r>
      <w:r>
        <w:rPr>
          <w:rFonts w:cs="Arial"/>
          <w:i/>
          <w:szCs w:val="20"/>
        </w:rPr>
        <w:t xml:space="preserve">. </w:t>
      </w:r>
      <w:r w:rsidRPr="00063E42">
        <w:rPr>
          <w:rFonts w:cs="Arial"/>
          <w:szCs w:val="20"/>
        </w:rPr>
        <w:t xml:space="preserve">These are episodes with </w:t>
      </w:r>
      <w:r w:rsidR="00DF77B4">
        <w:rPr>
          <w:rFonts w:cs="Arial"/>
          <w:szCs w:val="20"/>
        </w:rPr>
        <w:t>Indigenous</w:t>
      </w:r>
      <w:r w:rsidRPr="00063E42">
        <w:rPr>
          <w:rFonts w:cs="Arial"/>
          <w:szCs w:val="20"/>
        </w:rPr>
        <w:t xml:space="preserve"> status</w:t>
      </w:r>
      <w:r w:rsidRPr="00063E42">
        <w:rPr>
          <w:rFonts w:cs="Arial"/>
          <w:szCs w:val="20"/>
          <w:vertAlign w:val="superscript"/>
        </w:rPr>
        <w:footnoteReference w:id="8"/>
      </w:r>
      <w:r w:rsidRPr="00063E42">
        <w:rPr>
          <w:rFonts w:cs="Arial"/>
          <w:szCs w:val="20"/>
        </w:rPr>
        <w:t xml:space="preserve"> of</w:t>
      </w:r>
      <w:r>
        <w:rPr>
          <w:rFonts w:cs="Arial"/>
          <w:szCs w:val="20"/>
        </w:rPr>
        <w:t xml:space="preserve"> Aboriginal and/or </w:t>
      </w:r>
      <w:r w:rsidRPr="005C56B4">
        <w:rPr>
          <w:rFonts w:cs="Arial"/>
          <w:szCs w:val="20"/>
        </w:rPr>
        <w:t>Torres Strait Islander origin</w:t>
      </w:r>
      <w:r>
        <w:rPr>
          <w:rFonts w:cs="Arial"/>
          <w:szCs w:val="20"/>
        </w:rPr>
        <w:t>.</w:t>
      </w:r>
    </w:p>
    <w:p w:rsidR="00460371" w:rsidRPr="005C56B4" w:rsidRDefault="00460371" w:rsidP="00C245E0">
      <w:pPr>
        <w:pStyle w:val="ListParagraph"/>
        <w:numPr>
          <w:ilvl w:val="0"/>
          <w:numId w:val="49"/>
        </w:numPr>
        <w:tabs>
          <w:tab w:val="left" w:pos="1162"/>
        </w:tabs>
        <w:spacing w:before="80" w:after="0"/>
        <w:ind w:left="714" w:hanging="357"/>
        <w:rPr>
          <w:rFonts w:cs="Arial"/>
          <w:i/>
          <w:szCs w:val="20"/>
        </w:rPr>
      </w:pPr>
      <w:r w:rsidRPr="005C56B4">
        <w:rPr>
          <w:rFonts w:cs="Arial"/>
          <w:i/>
          <w:szCs w:val="20"/>
        </w:rPr>
        <w:t>Fla</w:t>
      </w:r>
      <w:r w:rsidR="00717DB3">
        <w:rPr>
          <w:rFonts w:cs="Arial"/>
          <w:i/>
          <w:szCs w:val="20"/>
        </w:rPr>
        <w:t>g</w:t>
      </w:r>
      <w:r>
        <w:rPr>
          <w:rFonts w:cs="Arial"/>
          <w:i/>
          <w:szCs w:val="20"/>
        </w:rPr>
        <w:t>ging</w:t>
      </w:r>
      <w:r w:rsidRPr="005C56B4">
        <w:rPr>
          <w:rFonts w:cs="Arial"/>
          <w:i/>
          <w:szCs w:val="20"/>
        </w:rPr>
        <w:t xml:space="preserve"> episodes that are eligible for the </w:t>
      </w:r>
      <w:r>
        <w:rPr>
          <w:rFonts w:cs="Arial"/>
          <w:i/>
          <w:szCs w:val="20"/>
        </w:rPr>
        <w:t>r</w:t>
      </w:r>
      <w:r w:rsidRPr="005C56B4">
        <w:rPr>
          <w:rFonts w:cs="Arial"/>
          <w:i/>
          <w:szCs w:val="20"/>
        </w:rPr>
        <w:t>emote</w:t>
      </w:r>
      <w:r>
        <w:rPr>
          <w:rFonts w:cs="Arial"/>
          <w:i/>
          <w:szCs w:val="20"/>
        </w:rPr>
        <w:t>ness</w:t>
      </w:r>
      <w:r w:rsidRPr="005C56B4">
        <w:rPr>
          <w:rFonts w:cs="Arial"/>
          <w:i/>
          <w:szCs w:val="20"/>
        </w:rPr>
        <w:t xml:space="preserve"> adjustment</w:t>
      </w:r>
      <w:r>
        <w:rPr>
          <w:rFonts w:cs="Arial"/>
          <w:i/>
          <w:szCs w:val="20"/>
        </w:rPr>
        <w:t>.</w:t>
      </w:r>
      <w:r w:rsidRPr="00063E42">
        <w:rPr>
          <w:rFonts w:cs="Arial"/>
          <w:szCs w:val="20"/>
        </w:rPr>
        <w:t xml:space="preserve"> These are episodes where the patient’s place of usual residence</w:t>
      </w:r>
      <w:r>
        <w:rPr>
          <w:rFonts w:cs="Arial"/>
          <w:szCs w:val="20"/>
          <w:vertAlign w:val="superscript"/>
        </w:rPr>
        <w:t xml:space="preserve"> </w:t>
      </w:r>
      <w:r w:rsidRPr="00063E42">
        <w:rPr>
          <w:rFonts w:cs="Arial"/>
          <w:szCs w:val="20"/>
        </w:rPr>
        <w:t>has been assigned to a remoteness area</w:t>
      </w:r>
      <w:r w:rsidRPr="00063E42">
        <w:rPr>
          <w:rFonts w:cs="Arial"/>
          <w:szCs w:val="20"/>
          <w:vertAlign w:val="superscript"/>
        </w:rPr>
        <w:footnoteReference w:id="9"/>
      </w:r>
      <w:r w:rsidRPr="00063E42">
        <w:rPr>
          <w:rFonts w:cs="Arial"/>
          <w:szCs w:val="20"/>
          <w:vertAlign w:val="superscript"/>
        </w:rPr>
        <w:t xml:space="preserve"> </w:t>
      </w:r>
      <w:r w:rsidRPr="00063E42">
        <w:rPr>
          <w:rFonts w:cs="Arial"/>
          <w:szCs w:val="20"/>
        </w:rPr>
        <w:t>of:</w:t>
      </w:r>
    </w:p>
    <w:p w:rsidR="00460371" w:rsidRPr="005C56B4" w:rsidRDefault="00460371" w:rsidP="00C245E0">
      <w:pPr>
        <w:pStyle w:val="ListParagraph"/>
        <w:numPr>
          <w:ilvl w:val="1"/>
          <w:numId w:val="49"/>
        </w:numPr>
        <w:tabs>
          <w:tab w:val="left" w:pos="1162"/>
        </w:tabs>
        <w:spacing w:before="80" w:after="0"/>
        <w:ind w:left="1434" w:hanging="357"/>
        <w:rPr>
          <w:rFonts w:cs="Arial"/>
          <w:szCs w:val="20"/>
        </w:rPr>
      </w:pPr>
      <w:r w:rsidRPr="005C56B4">
        <w:rPr>
          <w:rFonts w:cs="Arial"/>
          <w:szCs w:val="20"/>
        </w:rPr>
        <w:t xml:space="preserve">RA2 - Outer </w:t>
      </w:r>
      <w:r>
        <w:rPr>
          <w:rFonts w:cs="Arial"/>
          <w:szCs w:val="20"/>
        </w:rPr>
        <w:t>R</w:t>
      </w:r>
      <w:r w:rsidRPr="005C56B4">
        <w:rPr>
          <w:rFonts w:cs="Arial"/>
          <w:szCs w:val="20"/>
        </w:rPr>
        <w:t>egional Australia</w:t>
      </w:r>
      <w:r>
        <w:rPr>
          <w:rFonts w:cs="Arial"/>
          <w:szCs w:val="20"/>
        </w:rPr>
        <w:t>;</w:t>
      </w:r>
    </w:p>
    <w:p w:rsidR="00460371" w:rsidRPr="005C56B4" w:rsidRDefault="00460371" w:rsidP="00C245E0">
      <w:pPr>
        <w:pStyle w:val="ListParagraph"/>
        <w:numPr>
          <w:ilvl w:val="1"/>
          <w:numId w:val="49"/>
        </w:numPr>
        <w:tabs>
          <w:tab w:val="left" w:pos="1162"/>
        </w:tabs>
        <w:spacing w:before="80" w:after="0"/>
        <w:ind w:left="1434" w:hanging="357"/>
        <w:rPr>
          <w:rFonts w:cs="Arial"/>
          <w:szCs w:val="20"/>
        </w:rPr>
      </w:pPr>
      <w:r w:rsidRPr="005C56B4">
        <w:rPr>
          <w:rFonts w:cs="Arial"/>
          <w:szCs w:val="20"/>
        </w:rPr>
        <w:t>RA3 - Remote Australia</w:t>
      </w:r>
      <w:r>
        <w:rPr>
          <w:rFonts w:cs="Arial"/>
          <w:szCs w:val="20"/>
        </w:rPr>
        <w:t xml:space="preserve">; and </w:t>
      </w:r>
    </w:p>
    <w:p w:rsidR="00460371" w:rsidRPr="00F5701A" w:rsidRDefault="00460371" w:rsidP="00C245E0">
      <w:pPr>
        <w:pStyle w:val="ListParagraph"/>
        <w:numPr>
          <w:ilvl w:val="1"/>
          <w:numId w:val="49"/>
        </w:numPr>
        <w:tabs>
          <w:tab w:val="left" w:pos="1162"/>
        </w:tabs>
        <w:spacing w:before="80" w:after="0"/>
        <w:ind w:left="1434" w:hanging="357"/>
        <w:rPr>
          <w:rFonts w:cs="Arial"/>
          <w:szCs w:val="20"/>
        </w:rPr>
      </w:pPr>
      <w:r w:rsidRPr="005C56B4">
        <w:rPr>
          <w:rFonts w:cs="Arial"/>
          <w:szCs w:val="20"/>
        </w:rPr>
        <w:t xml:space="preserve">RA4 - Very </w:t>
      </w:r>
      <w:r>
        <w:rPr>
          <w:rFonts w:cs="Arial"/>
          <w:szCs w:val="20"/>
        </w:rPr>
        <w:t>R</w:t>
      </w:r>
      <w:r w:rsidRPr="005C56B4">
        <w:rPr>
          <w:rFonts w:cs="Arial"/>
          <w:szCs w:val="20"/>
        </w:rPr>
        <w:t>emote Australia</w:t>
      </w:r>
      <w:r>
        <w:rPr>
          <w:rFonts w:cs="Arial"/>
          <w:szCs w:val="20"/>
        </w:rPr>
        <w:t>.</w:t>
      </w:r>
    </w:p>
    <w:p w:rsidR="00460371" w:rsidRPr="005C56B4" w:rsidRDefault="00460371" w:rsidP="00AD4FFC">
      <w:pPr>
        <w:pStyle w:val="ListParagraph"/>
        <w:tabs>
          <w:tab w:val="left" w:pos="1162"/>
        </w:tabs>
        <w:spacing w:before="200"/>
        <w:rPr>
          <w:rFonts w:cs="Arial"/>
          <w:szCs w:val="20"/>
        </w:rPr>
      </w:pPr>
      <w:r w:rsidRPr="005C56B4">
        <w:rPr>
          <w:rFonts w:cs="Arial"/>
          <w:szCs w:val="20"/>
        </w:rPr>
        <w:t xml:space="preserve">Three flags are used: one for outer regional Australia, one for remote Australia and one for very remote Australia. The remoteness area of the usual residence of a patient </w:t>
      </w:r>
      <w:r>
        <w:rPr>
          <w:rFonts w:cs="Arial"/>
          <w:szCs w:val="20"/>
        </w:rPr>
        <w:t>is</w:t>
      </w:r>
      <w:r w:rsidRPr="005C56B4">
        <w:rPr>
          <w:rFonts w:cs="Arial"/>
          <w:szCs w:val="20"/>
        </w:rPr>
        <w:t xml:space="preserve"> determined using the following process:</w:t>
      </w:r>
    </w:p>
    <w:p w:rsidR="00460371" w:rsidRDefault="00460371" w:rsidP="00C245E0">
      <w:pPr>
        <w:pStyle w:val="ListParagraph"/>
        <w:numPr>
          <w:ilvl w:val="1"/>
          <w:numId w:val="49"/>
        </w:numPr>
        <w:tabs>
          <w:tab w:val="left" w:pos="1162"/>
        </w:tabs>
        <w:spacing w:before="80" w:after="0"/>
        <w:ind w:left="1434" w:hanging="357"/>
        <w:rPr>
          <w:rFonts w:cs="Arial"/>
          <w:szCs w:val="20"/>
        </w:rPr>
      </w:pPr>
      <w:r w:rsidRPr="00A477E6">
        <w:rPr>
          <w:rFonts w:cs="Arial"/>
          <w:szCs w:val="20"/>
        </w:rPr>
        <w:t xml:space="preserve">The patient’s postcode of usual residence </w:t>
      </w:r>
      <w:r>
        <w:rPr>
          <w:rFonts w:cs="Arial"/>
          <w:szCs w:val="20"/>
        </w:rPr>
        <w:t>is</w:t>
      </w:r>
      <w:r w:rsidRPr="00A477E6">
        <w:rPr>
          <w:rFonts w:cs="Arial"/>
          <w:szCs w:val="20"/>
        </w:rPr>
        <w:t xml:space="preserve"> mapped to remoteness areas (see Supplementary Table 1).</w:t>
      </w:r>
    </w:p>
    <w:p w:rsidR="00FF4DCF" w:rsidRPr="00D1048A" w:rsidRDefault="00FF4DCF" w:rsidP="00C245E0">
      <w:pPr>
        <w:pStyle w:val="ListParagraph"/>
        <w:numPr>
          <w:ilvl w:val="1"/>
          <w:numId w:val="49"/>
        </w:numPr>
        <w:tabs>
          <w:tab w:val="left" w:pos="1162"/>
        </w:tabs>
        <w:spacing w:before="80" w:after="0"/>
        <w:ind w:left="1434" w:hanging="357"/>
        <w:rPr>
          <w:rFonts w:cs="Arial"/>
          <w:szCs w:val="20"/>
        </w:rPr>
      </w:pPr>
      <w:r w:rsidRPr="00A477E6">
        <w:rPr>
          <w:rFonts w:cs="Arial"/>
          <w:szCs w:val="20"/>
        </w:rPr>
        <w:t xml:space="preserve">If the postcode </w:t>
      </w:r>
      <w:r>
        <w:rPr>
          <w:rFonts w:cs="Arial"/>
          <w:szCs w:val="20"/>
        </w:rPr>
        <w:t>is</w:t>
      </w:r>
      <w:r w:rsidRPr="00A477E6">
        <w:rPr>
          <w:rFonts w:cs="Arial"/>
          <w:szCs w:val="20"/>
        </w:rPr>
        <w:t xml:space="preserve"> missing o</w:t>
      </w:r>
      <w:r>
        <w:rPr>
          <w:rFonts w:cs="Arial"/>
          <w:szCs w:val="20"/>
        </w:rPr>
        <w:t>r invalid, then the supplied ASGS</w:t>
      </w:r>
      <w:r w:rsidRPr="00A477E6">
        <w:rPr>
          <w:rFonts w:cs="Arial"/>
          <w:szCs w:val="20"/>
        </w:rPr>
        <w:t xml:space="preserve"> code is used (see Supplementary Table 2).</w:t>
      </w:r>
    </w:p>
    <w:p w:rsidR="00FF4DCF" w:rsidRPr="00A477E6" w:rsidRDefault="00FF4DCF" w:rsidP="00C245E0">
      <w:pPr>
        <w:pStyle w:val="ListParagraph"/>
        <w:numPr>
          <w:ilvl w:val="1"/>
          <w:numId w:val="49"/>
        </w:numPr>
        <w:tabs>
          <w:tab w:val="left" w:pos="1162"/>
        </w:tabs>
        <w:spacing w:before="80" w:after="0"/>
        <w:ind w:left="1434" w:hanging="357"/>
        <w:rPr>
          <w:rFonts w:cs="Arial"/>
          <w:szCs w:val="20"/>
        </w:rPr>
      </w:pPr>
      <w:r w:rsidRPr="00A477E6">
        <w:rPr>
          <w:rFonts w:cs="Arial"/>
          <w:szCs w:val="20"/>
        </w:rPr>
        <w:t xml:space="preserve">If the </w:t>
      </w:r>
      <w:r>
        <w:rPr>
          <w:rFonts w:cs="Arial"/>
          <w:szCs w:val="20"/>
        </w:rPr>
        <w:t>supplied ASGS</w:t>
      </w:r>
      <w:r w:rsidRPr="00A477E6">
        <w:rPr>
          <w:rFonts w:cs="Arial"/>
          <w:szCs w:val="20"/>
        </w:rPr>
        <w:t xml:space="preserve"> code </w:t>
      </w:r>
      <w:r>
        <w:rPr>
          <w:rFonts w:cs="Arial"/>
          <w:szCs w:val="20"/>
        </w:rPr>
        <w:t>is</w:t>
      </w:r>
      <w:r w:rsidRPr="00A477E6">
        <w:rPr>
          <w:rFonts w:cs="Arial"/>
          <w:szCs w:val="20"/>
        </w:rPr>
        <w:t xml:space="preserve"> missing or invalid, then the supplied SLA code is used (see Supplementary Table </w:t>
      </w:r>
      <w:r>
        <w:rPr>
          <w:rFonts w:cs="Arial"/>
          <w:szCs w:val="20"/>
        </w:rPr>
        <w:t>3</w:t>
      </w:r>
      <w:r w:rsidRPr="00A477E6">
        <w:rPr>
          <w:rFonts w:cs="Arial"/>
          <w:szCs w:val="20"/>
        </w:rPr>
        <w:t>).</w:t>
      </w:r>
    </w:p>
    <w:p w:rsidR="00460371" w:rsidRPr="00E8709C" w:rsidRDefault="00460371" w:rsidP="00C245E0">
      <w:pPr>
        <w:pStyle w:val="ListParagraph"/>
        <w:numPr>
          <w:ilvl w:val="1"/>
          <w:numId w:val="49"/>
        </w:numPr>
        <w:tabs>
          <w:tab w:val="left" w:pos="1162"/>
        </w:tabs>
        <w:spacing w:before="80" w:after="0"/>
        <w:ind w:left="1434" w:hanging="357"/>
        <w:rPr>
          <w:rFonts w:cs="Arial"/>
          <w:szCs w:val="20"/>
        </w:rPr>
      </w:pPr>
      <w:r w:rsidRPr="00A477E6">
        <w:rPr>
          <w:rFonts w:cs="Arial"/>
          <w:szCs w:val="20"/>
        </w:rPr>
        <w:t xml:space="preserve">If the SLA code </w:t>
      </w:r>
      <w:r>
        <w:rPr>
          <w:rFonts w:cs="Arial"/>
          <w:szCs w:val="20"/>
        </w:rPr>
        <w:t>is</w:t>
      </w:r>
      <w:r w:rsidRPr="00A477E6">
        <w:rPr>
          <w:rFonts w:cs="Arial"/>
          <w:szCs w:val="20"/>
        </w:rPr>
        <w:t xml:space="preserve"> also missing or invalid, then the remoteness area of the hospital is used</w:t>
      </w:r>
      <w:r>
        <w:rPr>
          <w:rFonts w:cs="Arial"/>
          <w:szCs w:val="20"/>
        </w:rPr>
        <w:t xml:space="preserve">. </w:t>
      </w:r>
      <w:r w:rsidRPr="00A477E6">
        <w:rPr>
          <w:rFonts w:cs="Arial"/>
          <w:szCs w:val="20"/>
        </w:rPr>
        <w:t xml:space="preserve">The remoteness code of the hospital </w:t>
      </w:r>
      <w:r>
        <w:rPr>
          <w:rFonts w:cs="Arial"/>
          <w:szCs w:val="20"/>
        </w:rPr>
        <w:t xml:space="preserve">is </w:t>
      </w:r>
      <w:r w:rsidRPr="00A477E6">
        <w:rPr>
          <w:rFonts w:cs="Arial"/>
          <w:szCs w:val="20"/>
        </w:rPr>
        <w:t xml:space="preserve">based on the remoteness area of the ABS collection district within which the hospital </w:t>
      </w:r>
      <w:r>
        <w:rPr>
          <w:rFonts w:cs="Arial"/>
          <w:szCs w:val="20"/>
        </w:rPr>
        <w:t>i</w:t>
      </w:r>
      <w:r w:rsidRPr="00A477E6">
        <w:rPr>
          <w:rFonts w:cs="Arial"/>
          <w:szCs w:val="20"/>
        </w:rPr>
        <w:t>s located.</w:t>
      </w:r>
    </w:p>
    <w:p w:rsidR="00460371" w:rsidRPr="00DF77B4" w:rsidRDefault="00460371" w:rsidP="00C245E0">
      <w:pPr>
        <w:pStyle w:val="ListParagraph"/>
        <w:numPr>
          <w:ilvl w:val="0"/>
          <w:numId w:val="49"/>
        </w:numPr>
        <w:tabs>
          <w:tab w:val="left" w:pos="1162"/>
        </w:tabs>
        <w:spacing w:before="120"/>
        <w:ind w:left="714" w:hanging="357"/>
        <w:rPr>
          <w:rFonts w:cs="Arial"/>
          <w:szCs w:val="20"/>
        </w:rPr>
      </w:pPr>
      <w:r w:rsidRPr="00CC41A9">
        <w:rPr>
          <w:rFonts w:cs="Arial"/>
          <w:i/>
          <w:szCs w:val="20"/>
        </w:rPr>
        <w:t>Flag</w:t>
      </w:r>
      <w:r>
        <w:rPr>
          <w:rFonts w:cs="Arial"/>
          <w:i/>
          <w:szCs w:val="20"/>
        </w:rPr>
        <w:t xml:space="preserve">ging </w:t>
      </w:r>
      <w:r w:rsidRPr="00CC41A9">
        <w:rPr>
          <w:rFonts w:cs="Arial"/>
          <w:i/>
          <w:szCs w:val="20"/>
        </w:rPr>
        <w:t>episodes that are eligible for the radiotherapy adjustment.</w:t>
      </w:r>
      <w:r>
        <w:rPr>
          <w:rFonts w:cs="Arial"/>
          <w:szCs w:val="20"/>
        </w:rPr>
        <w:t xml:space="preserve"> These are </w:t>
      </w:r>
      <w:r w:rsidRPr="00DF77B4">
        <w:rPr>
          <w:rFonts w:cs="Arial"/>
          <w:szCs w:val="20"/>
        </w:rPr>
        <w:t>episodes where the patient is eligible if they have recorded a radiotherapy-related procedure as defined in Appendix B</w:t>
      </w:r>
      <w:r w:rsidRPr="00881D94">
        <w:rPr>
          <w:rFonts w:cs="Arial"/>
          <w:szCs w:val="20"/>
        </w:rPr>
        <w:t xml:space="preserve"> of the </w:t>
      </w:r>
      <w:r w:rsidR="00881D94" w:rsidRPr="00881D94">
        <w:rPr>
          <w:rFonts w:cs="Arial"/>
          <w:szCs w:val="20"/>
        </w:rPr>
        <w:t>NEP</w:t>
      </w:r>
      <w:r w:rsidR="00881D94">
        <w:rPr>
          <w:rFonts w:cs="Arial"/>
          <w:szCs w:val="20"/>
        </w:rPr>
        <w:t>16</w:t>
      </w:r>
      <w:r w:rsidR="00881D94" w:rsidRPr="00DF77B4">
        <w:rPr>
          <w:rFonts w:cs="Arial"/>
          <w:szCs w:val="20"/>
        </w:rPr>
        <w:t xml:space="preserve"> </w:t>
      </w:r>
      <w:r w:rsidRPr="00DF77B4">
        <w:rPr>
          <w:rFonts w:cs="Arial"/>
          <w:szCs w:val="20"/>
        </w:rPr>
        <w:t>Determination.</w:t>
      </w:r>
    </w:p>
    <w:p w:rsidR="00FD1DA3" w:rsidRPr="00E33EAE" w:rsidRDefault="00FD1DA3" w:rsidP="00C245E0">
      <w:pPr>
        <w:pStyle w:val="ListParagraph"/>
        <w:numPr>
          <w:ilvl w:val="0"/>
          <w:numId w:val="49"/>
        </w:numPr>
        <w:tabs>
          <w:tab w:val="left" w:pos="1162"/>
        </w:tabs>
        <w:spacing w:before="120"/>
        <w:ind w:left="714" w:hanging="357"/>
        <w:rPr>
          <w:rFonts w:cs="Arial"/>
          <w:szCs w:val="20"/>
        </w:rPr>
      </w:pPr>
      <w:r w:rsidRPr="00E33EAE">
        <w:rPr>
          <w:rFonts w:cs="Arial"/>
          <w:i/>
          <w:szCs w:val="20"/>
        </w:rPr>
        <w:t>Flagging episodes that are eligible for the dialysis adjustment.</w:t>
      </w:r>
      <w:r w:rsidRPr="00E33EAE">
        <w:rPr>
          <w:rFonts w:cs="Arial"/>
          <w:szCs w:val="20"/>
        </w:rPr>
        <w:t xml:space="preserve"> These are episodes where the patient is eligible if they </w:t>
      </w:r>
      <w:r w:rsidR="008B4D5E" w:rsidRPr="00E33EAE">
        <w:rPr>
          <w:rFonts w:cs="Arial"/>
          <w:szCs w:val="20"/>
        </w:rPr>
        <w:t xml:space="preserve">are outside the specified dialysis </w:t>
      </w:r>
      <w:r w:rsidR="00D81721" w:rsidRPr="00E33EAE">
        <w:rPr>
          <w:rFonts w:cs="Arial"/>
          <w:szCs w:val="20"/>
        </w:rPr>
        <w:t>AR-</w:t>
      </w:r>
      <w:r w:rsidR="008B4D5E" w:rsidRPr="00E33EAE">
        <w:rPr>
          <w:rFonts w:cs="Arial"/>
          <w:szCs w:val="20"/>
        </w:rPr>
        <w:t>DRG</w:t>
      </w:r>
      <w:r w:rsidR="00D81721" w:rsidRPr="00E33EAE">
        <w:rPr>
          <w:rFonts w:cs="Arial"/>
          <w:szCs w:val="20"/>
        </w:rPr>
        <w:t>s</w:t>
      </w:r>
      <w:r w:rsidR="008B4D5E" w:rsidRPr="00E33EAE">
        <w:rPr>
          <w:rFonts w:cs="Arial"/>
          <w:szCs w:val="20"/>
        </w:rPr>
        <w:t xml:space="preserve"> L61Z and </w:t>
      </w:r>
      <w:r w:rsidR="00E74059" w:rsidRPr="00E33EAE">
        <w:rPr>
          <w:rFonts w:cs="Arial"/>
          <w:szCs w:val="20"/>
        </w:rPr>
        <w:t xml:space="preserve">L68Z, and </w:t>
      </w:r>
      <w:r w:rsidRPr="00E33EAE">
        <w:rPr>
          <w:rFonts w:cs="Arial"/>
          <w:szCs w:val="20"/>
        </w:rPr>
        <w:t xml:space="preserve">have recorded a dialysis-related procedure as defined in Appendix C of the </w:t>
      </w:r>
      <w:r w:rsidR="00881D94" w:rsidRPr="00E33EAE">
        <w:rPr>
          <w:rFonts w:cs="Arial"/>
          <w:szCs w:val="20"/>
        </w:rPr>
        <w:t>NEP</w:t>
      </w:r>
      <w:r w:rsidR="00881D94">
        <w:rPr>
          <w:rFonts w:cs="Arial"/>
          <w:szCs w:val="20"/>
        </w:rPr>
        <w:t>16</w:t>
      </w:r>
      <w:r w:rsidR="00881D94" w:rsidRPr="00E33EAE">
        <w:rPr>
          <w:rFonts w:cs="Arial"/>
          <w:szCs w:val="20"/>
        </w:rPr>
        <w:t xml:space="preserve"> </w:t>
      </w:r>
      <w:r w:rsidRPr="00E33EAE">
        <w:rPr>
          <w:rFonts w:cs="Arial"/>
          <w:szCs w:val="20"/>
        </w:rPr>
        <w:t>Determination.</w:t>
      </w:r>
    </w:p>
    <w:p w:rsidR="00460371" w:rsidRPr="007508EE" w:rsidRDefault="00460371" w:rsidP="00C245E0">
      <w:pPr>
        <w:pStyle w:val="ListParagraph"/>
        <w:numPr>
          <w:ilvl w:val="0"/>
          <w:numId w:val="49"/>
        </w:numPr>
        <w:tabs>
          <w:tab w:val="left" w:pos="1162"/>
        </w:tabs>
        <w:spacing w:before="120"/>
        <w:ind w:left="714" w:hanging="357"/>
        <w:rPr>
          <w:rFonts w:cs="Arial"/>
          <w:szCs w:val="20"/>
        </w:rPr>
      </w:pPr>
      <w:r w:rsidRPr="000D27EF">
        <w:rPr>
          <w:rFonts w:cs="Arial"/>
          <w:i/>
          <w:szCs w:val="20"/>
        </w:rPr>
        <w:t>Flagging episodes eligible for ICU adjustment.</w:t>
      </w:r>
      <w:r w:rsidRPr="00B3571F">
        <w:rPr>
          <w:rFonts w:cs="Arial"/>
          <w:szCs w:val="20"/>
        </w:rPr>
        <w:t xml:space="preserve"> These are episodes that occur in hospitals identified by IHPA as eligible for ICU adjustment as defined in Appendix </w:t>
      </w:r>
      <w:r w:rsidR="00FE1B33" w:rsidRPr="00B3571F">
        <w:rPr>
          <w:rFonts w:cs="Arial"/>
          <w:szCs w:val="20"/>
        </w:rPr>
        <w:t xml:space="preserve">D </w:t>
      </w:r>
      <w:r w:rsidRPr="00B3571F">
        <w:rPr>
          <w:rFonts w:cs="Arial"/>
          <w:szCs w:val="20"/>
        </w:rPr>
        <w:t xml:space="preserve">of the </w:t>
      </w:r>
      <w:r w:rsidR="00C951CF" w:rsidRPr="00B3571F">
        <w:rPr>
          <w:rFonts w:cs="Arial"/>
          <w:szCs w:val="20"/>
        </w:rPr>
        <w:t>NEP</w:t>
      </w:r>
      <w:r w:rsidR="00C951CF">
        <w:rPr>
          <w:rFonts w:cs="Arial"/>
          <w:szCs w:val="20"/>
        </w:rPr>
        <w:t>16</w:t>
      </w:r>
      <w:r w:rsidR="00C951CF" w:rsidRPr="00B3571F">
        <w:rPr>
          <w:rFonts w:cs="Arial"/>
          <w:szCs w:val="20"/>
        </w:rPr>
        <w:t> </w:t>
      </w:r>
      <w:r w:rsidRPr="00B3571F">
        <w:rPr>
          <w:rFonts w:cs="Arial"/>
          <w:szCs w:val="20"/>
        </w:rPr>
        <w:t>Determination and have an AR</w:t>
      </w:r>
      <w:r w:rsidRPr="00B3571F">
        <w:rPr>
          <w:rFonts w:cs="Arial"/>
          <w:szCs w:val="20"/>
        </w:rPr>
        <w:noBreakHyphen/>
        <w:t>DRG not on the Bundled ICU list</w:t>
      </w:r>
      <w:r w:rsidR="00490245" w:rsidRPr="00B3571F">
        <w:rPr>
          <w:rFonts w:cs="Arial"/>
          <w:szCs w:val="20"/>
        </w:rPr>
        <w:t xml:space="preserve"> (</w:t>
      </w:r>
      <w:r w:rsidR="00D12D4B" w:rsidRPr="00B3571F">
        <w:rPr>
          <w:rFonts w:cs="Arial"/>
          <w:szCs w:val="20"/>
        </w:rPr>
        <w:t>i.e.</w:t>
      </w:r>
      <w:r w:rsidR="00FD1DA3" w:rsidRPr="00B3571F">
        <w:rPr>
          <w:rFonts w:cs="Arial"/>
          <w:szCs w:val="20"/>
        </w:rPr>
        <w:t xml:space="preserve"> not from MDC</w:t>
      </w:r>
      <w:r w:rsidR="000A513F" w:rsidRPr="00B3571F">
        <w:rPr>
          <w:rFonts w:cs="Arial"/>
          <w:szCs w:val="20"/>
        </w:rPr>
        <w:t xml:space="preserve"> </w:t>
      </w:r>
      <w:r w:rsidR="00FD1DA3" w:rsidRPr="00B3571F">
        <w:rPr>
          <w:rFonts w:cs="Arial"/>
          <w:szCs w:val="20"/>
        </w:rPr>
        <w:t>15 for newborns</w:t>
      </w:r>
      <w:r w:rsidR="00FD1DA3">
        <w:rPr>
          <w:rFonts w:cs="Arial"/>
          <w:szCs w:val="20"/>
        </w:rPr>
        <w:t xml:space="preserve"> and other neonates)</w:t>
      </w:r>
      <w:r w:rsidRPr="007508EE">
        <w:rPr>
          <w:rFonts w:cs="Arial"/>
          <w:szCs w:val="20"/>
        </w:rPr>
        <w:t>.</w:t>
      </w:r>
    </w:p>
    <w:p w:rsidR="00460371" w:rsidRPr="008878B0" w:rsidRDefault="00460371" w:rsidP="00C245E0">
      <w:pPr>
        <w:pStyle w:val="ListParagraph"/>
        <w:numPr>
          <w:ilvl w:val="0"/>
          <w:numId w:val="49"/>
        </w:numPr>
        <w:tabs>
          <w:tab w:val="left" w:pos="1162"/>
        </w:tabs>
        <w:spacing w:before="120"/>
        <w:rPr>
          <w:rFonts w:cs="Arial"/>
          <w:i/>
          <w:szCs w:val="20"/>
        </w:rPr>
      </w:pPr>
      <w:r w:rsidRPr="007508EE">
        <w:rPr>
          <w:rFonts w:cs="Arial"/>
          <w:i/>
          <w:szCs w:val="20"/>
        </w:rPr>
        <w:t>Flag</w:t>
      </w:r>
      <w:r>
        <w:rPr>
          <w:rFonts w:cs="Arial"/>
          <w:i/>
          <w:szCs w:val="20"/>
        </w:rPr>
        <w:t>ging</w:t>
      </w:r>
      <w:r w:rsidRPr="007508EE">
        <w:rPr>
          <w:rFonts w:cs="Arial"/>
          <w:i/>
          <w:szCs w:val="20"/>
        </w:rPr>
        <w:t xml:space="preserve"> private episodes. </w:t>
      </w:r>
      <w:r w:rsidRPr="007508EE">
        <w:rPr>
          <w:rFonts w:cs="Arial"/>
          <w:szCs w:val="20"/>
        </w:rPr>
        <w:t>These are episodes with a funding source</w:t>
      </w:r>
      <w:r w:rsidRPr="007508EE">
        <w:rPr>
          <w:rStyle w:val="FootnoteReference"/>
          <w:rFonts w:cs="Arial"/>
          <w:szCs w:val="20"/>
        </w:rPr>
        <w:footnoteReference w:id="10"/>
      </w:r>
      <w:r w:rsidRPr="007508EE">
        <w:rPr>
          <w:rFonts w:cs="Arial"/>
          <w:szCs w:val="20"/>
        </w:rPr>
        <w:t xml:space="preserve"> of </w:t>
      </w:r>
      <w:r>
        <w:rPr>
          <w:rFonts w:cs="Arial"/>
          <w:szCs w:val="20"/>
        </w:rPr>
        <w:t>‘</w:t>
      </w:r>
      <w:r w:rsidRPr="007508EE">
        <w:rPr>
          <w:rFonts w:cs="Arial"/>
          <w:szCs w:val="20"/>
        </w:rPr>
        <w:t>0</w:t>
      </w:r>
      <w:r w:rsidR="00DD7D45">
        <w:rPr>
          <w:rFonts w:cs="Arial"/>
          <w:szCs w:val="20"/>
        </w:rPr>
        <w:t>9</w:t>
      </w:r>
      <w:r w:rsidRPr="007508EE">
        <w:rPr>
          <w:rFonts w:cs="Arial"/>
          <w:szCs w:val="20"/>
        </w:rPr>
        <w:t xml:space="preserve"> Private health insurance’ or </w:t>
      </w:r>
      <w:r w:rsidR="00DD7D45">
        <w:rPr>
          <w:rFonts w:cs="Arial"/>
          <w:szCs w:val="20"/>
        </w:rPr>
        <w:t>‘1</w:t>
      </w:r>
      <w:r w:rsidRPr="007508EE">
        <w:rPr>
          <w:rFonts w:cs="Arial"/>
          <w:szCs w:val="20"/>
        </w:rPr>
        <w:t>3 Self-funded’.</w:t>
      </w:r>
    </w:p>
    <w:p w:rsidR="00460371" w:rsidRDefault="00460371" w:rsidP="00AD4FFC">
      <w:pPr>
        <w:pStyle w:val="Heading3"/>
        <w:keepLines w:val="0"/>
        <w:numPr>
          <w:ilvl w:val="2"/>
          <w:numId w:val="35"/>
        </w:numPr>
        <w:tabs>
          <w:tab w:val="left" w:pos="1162"/>
        </w:tabs>
        <w:spacing w:before="240" w:after="120"/>
      </w:pPr>
      <w:bookmarkStart w:id="114" w:name="_Toc380754701"/>
      <w:bookmarkStart w:id="115" w:name="_Ref319574618"/>
      <w:bookmarkStart w:id="116" w:name="_Toc444528580"/>
      <w:r>
        <w:t>Determine ICU adjustment level and deduct associated costs</w:t>
      </w:r>
      <w:bookmarkEnd w:id="114"/>
      <w:bookmarkEnd w:id="116"/>
    </w:p>
    <w:p w:rsidR="00460371" w:rsidRPr="00881D94" w:rsidRDefault="00460371" w:rsidP="00AD4FFC">
      <w:pPr>
        <w:tabs>
          <w:tab w:val="left" w:pos="1162"/>
        </w:tabs>
        <w:rPr>
          <w:rFonts w:cs="Arial"/>
          <w:szCs w:val="20"/>
        </w:rPr>
      </w:pPr>
      <w:r w:rsidRPr="00475379">
        <w:rPr>
          <w:rFonts w:cs="Arial"/>
          <w:szCs w:val="20"/>
        </w:rPr>
        <w:t>Patient</w:t>
      </w:r>
      <w:r>
        <w:rPr>
          <w:rFonts w:cs="Arial"/>
          <w:szCs w:val="20"/>
        </w:rPr>
        <w:t>-</w:t>
      </w:r>
      <w:r w:rsidRPr="00475379">
        <w:rPr>
          <w:rFonts w:cs="Arial"/>
          <w:szCs w:val="20"/>
        </w:rPr>
        <w:t xml:space="preserve">level </w:t>
      </w:r>
      <w:r>
        <w:rPr>
          <w:rFonts w:cs="Arial"/>
          <w:szCs w:val="20"/>
        </w:rPr>
        <w:t xml:space="preserve">cost </w:t>
      </w:r>
      <w:r w:rsidRPr="00475379">
        <w:rPr>
          <w:rFonts w:cs="Arial"/>
          <w:szCs w:val="20"/>
        </w:rPr>
        <w:t xml:space="preserve">data for episodes in hospitals with </w:t>
      </w:r>
      <w:r>
        <w:rPr>
          <w:rFonts w:cs="Arial"/>
          <w:szCs w:val="20"/>
        </w:rPr>
        <w:t xml:space="preserve">an eligible </w:t>
      </w:r>
      <w:r w:rsidRPr="00475379">
        <w:rPr>
          <w:rFonts w:cs="Arial"/>
          <w:szCs w:val="20"/>
        </w:rPr>
        <w:t xml:space="preserve">ICU or </w:t>
      </w:r>
      <w:r w:rsidR="00DC550F">
        <w:rPr>
          <w:rFonts w:cs="Arial"/>
          <w:szCs w:val="20"/>
        </w:rPr>
        <w:t>Paediatric ICU (</w:t>
      </w:r>
      <w:r w:rsidRPr="00475379">
        <w:rPr>
          <w:rFonts w:cs="Arial"/>
          <w:szCs w:val="20"/>
        </w:rPr>
        <w:t>PICU</w:t>
      </w:r>
      <w:r w:rsidR="00DC550F">
        <w:rPr>
          <w:rFonts w:cs="Arial"/>
          <w:szCs w:val="20"/>
        </w:rPr>
        <w:t>)</w:t>
      </w:r>
      <w:r w:rsidRPr="00475379">
        <w:rPr>
          <w:rFonts w:cs="Arial"/>
          <w:szCs w:val="20"/>
        </w:rPr>
        <w:t xml:space="preserve"> with ICU hours reported </w:t>
      </w:r>
      <w:r>
        <w:rPr>
          <w:rFonts w:cs="Arial"/>
          <w:szCs w:val="20"/>
        </w:rPr>
        <w:t>are</w:t>
      </w:r>
      <w:r w:rsidRPr="00475379">
        <w:rPr>
          <w:rFonts w:cs="Arial"/>
          <w:szCs w:val="20"/>
        </w:rPr>
        <w:t xml:space="preserve"> analysed to estimate </w:t>
      </w:r>
      <w:r w:rsidRPr="00DF77B4">
        <w:rPr>
          <w:rFonts w:cs="Arial"/>
          <w:szCs w:val="20"/>
        </w:rPr>
        <w:t>an average cost per ICU hour. The eligible ICUs and PICUs are those belonging to hospitals that report more than 24,000 ICU hours and have more than 20 per cent of those hours re</w:t>
      </w:r>
      <w:r w:rsidRPr="00881D94">
        <w:rPr>
          <w:rFonts w:cs="Arial"/>
          <w:szCs w:val="20"/>
        </w:rPr>
        <w:t xml:space="preserve">ported with the use of mechanical ventilation. The specified hospitals with eligible ICUs and/or PICUs are listed at Appendix </w:t>
      </w:r>
      <w:r w:rsidR="00FE1B33" w:rsidRPr="00881D94">
        <w:rPr>
          <w:rFonts w:cs="Arial"/>
          <w:szCs w:val="20"/>
        </w:rPr>
        <w:t>D</w:t>
      </w:r>
      <w:r w:rsidRPr="00881D94">
        <w:rPr>
          <w:rFonts w:cs="Arial"/>
          <w:szCs w:val="20"/>
        </w:rPr>
        <w:t xml:space="preserve"> of the </w:t>
      </w:r>
      <w:r w:rsidR="000D27EF" w:rsidRPr="00881D94">
        <w:rPr>
          <w:rFonts w:cs="Arial"/>
          <w:szCs w:val="20"/>
        </w:rPr>
        <w:t>NEP16 </w:t>
      </w:r>
      <w:r w:rsidRPr="00881D94">
        <w:rPr>
          <w:rFonts w:cs="Arial"/>
          <w:szCs w:val="20"/>
        </w:rPr>
        <w:t>Determination</w:t>
      </w:r>
      <w:r w:rsidRPr="00881D94">
        <w:rPr>
          <w:rFonts w:cs="Arial"/>
          <w:i/>
          <w:szCs w:val="20"/>
        </w:rPr>
        <w:t>.</w:t>
      </w:r>
      <w:r w:rsidRPr="00881D94">
        <w:rPr>
          <w:rFonts w:cs="Arial"/>
          <w:szCs w:val="20"/>
        </w:rPr>
        <w:t xml:space="preserve"> A total sample of </w:t>
      </w:r>
      <w:r w:rsidR="00FE101E">
        <w:rPr>
          <w:rFonts w:cs="Arial"/>
          <w:szCs w:val="20"/>
        </w:rPr>
        <w:t>73,237</w:t>
      </w:r>
      <w:r w:rsidR="00FF4DCF" w:rsidRPr="00DF77B4">
        <w:rPr>
          <w:rFonts w:cs="Arial"/>
          <w:szCs w:val="20"/>
        </w:rPr>
        <w:t xml:space="preserve"> </w:t>
      </w:r>
      <w:r w:rsidRPr="00DF77B4">
        <w:rPr>
          <w:rFonts w:cs="Arial"/>
          <w:szCs w:val="20"/>
        </w:rPr>
        <w:t>separations</w:t>
      </w:r>
      <w:r w:rsidRPr="00881D94">
        <w:rPr>
          <w:rFonts w:cs="Arial"/>
          <w:szCs w:val="20"/>
        </w:rPr>
        <w:t xml:space="preserve"> with ICU hours and costs from establishments with eligible ICUs/PICUs was used.</w:t>
      </w:r>
    </w:p>
    <w:p w:rsidR="00460371" w:rsidRPr="00DF77B4" w:rsidRDefault="00460371" w:rsidP="00AD4FFC">
      <w:pPr>
        <w:tabs>
          <w:tab w:val="left" w:pos="1162"/>
        </w:tabs>
        <w:rPr>
          <w:rFonts w:cs="Arial"/>
          <w:szCs w:val="20"/>
        </w:rPr>
      </w:pPr>
      <w:r w:rsidRPr="00881D94">
        <w:rPr>
          <w:rFonts w:cs="Arial"/>
          <w:szCs w:val="20"/>
        </w:rPr>
        <w:t>Linear regression by state/territory was used to derive state/territory hourly ICU costs. DFFITS statistics are used to exclude overly influential observations. The weighted mean of the hourly ICU costs taken across states was used to derive a national ICU rate of $</w:t>
      </w:r>
      <w:r w:rsidR="00FF6DF6" w:rsidRPr="00E33EAE">
        <w:rPr>
          <w:rFonts w:cs="Arial"/>
          <w:szCs w:val="20"/>
        </w:rPr>
        <w:t>200</w:t>
      </w:r>
      <w:r w:rsidRPr="00DF77B4">
        <w:rPr>
          <w:rFonts w:cs="Arial"/>
          <w:szCs w:val="20"/>
        </w:rPr>
        <w:t>.</w:t>
      </w:r>
    </w:p>
    <w:p w:rsidR="00460371" w:rsidRDefault="00460371" w:rsidP="00AD4FFC">
      <w:pPr>
        <w:tabs>
          <w:tab w:val="left" w:pos="1162"/>
        </w:tabs>
        <w:rPr>
          <w:rFonts w:cs="Arial"/>
          <w:szCs w:val="20"/>
        </w:rPr>
      </w:pPr>
      <w:r w:rsidRPr="00881D94">
        <w:rPr>
          <w:rFonts w:cs="Arial"/>
          <w:szCs w:val="20"/>
        </w:rPr>
        <w:t>For ICU-eligible episodes, an ICU adjustment is calculated using the estimated ICU cost per</w:t>
      </w:r>
      <w:r w:rsidRPr="00475379">
        <w:rPr>
          <w:rFonts w:cs="Arial"/>
          <w:szCs w:val="20"/>
        </w:rPr>
        <w:t xml:space="preserve"> hour and the reported number of </w:t>
      </w:r>
      <w:r>
        <w:rPr>
          <w:rFonts w:cs="Arial"/>
          <w:szCs w:val="20"/>
        </w:rPr>
        <w:t xml:space="preserve">whole </w:t>
      </w:r>
      <w:r w:rsidRPr="00475379">
        <w:rPr>
          <w:rFonts w:cs="Arial"/>
          <w:szCs w:val="20"/>
        </w:rPr>
        <w:t>ICU hours</w:t>
      </w:r>
      <w:r>
        <w:rPr>
          <w:rFonts w:cs="Arial"/>
          <w:szCs w:val="20"/>
        </w:rPr>
        <w:t xml:space="preserve">. </w:t>
      </w:r>
      <w:r w:rsidRPr="00475379">
        <w:rPr>
          <w:rFonts w:cs="Arial"/>
          <w:szCs w:val="20"/>
        </w:rPr>
        <w:t xml:space="preserve">This amount </w:t>
      </w:r>
      <w:r>
        <w:rPr>
          <w:rFonts w:cs="Arial"/>
          <w:szCs w:val="20"/>
        </w:rPr>
        <w:t>is</w:t>
      </w:r>
      <w:r w:rsidRPr="00475379">
        <w:rPr>
          <w:rFonts w:cs="Arial"/>
          <w:szCs w:val="20"/>
        </w:rPr>
        <w:t xml:space="preserve"> deducted from the in-scope costs used for modelling the </w:t>
      </w:r>
      <w:r>
        <w:rPr>
          <w:rFonts w:cs="Arial"/>
          <w:szCs w:val="20"/>
        </w:rPr>
        <w:t>same-day</w:t>
      </w:r>
      <w:r w:rsidRPr="00475379">
        <w:rPr>
          <w:rFonts w:cs="Arial"/>
          <w:szCs w:val="20"/>
        </w:rPr>
        <w:t xml:space="preserve"> payment AR-DRG, short stay outlier</w:t>
      </w:r>
      <w:r>
        <w:rPr>
          <w:rFonts w:cs="Arial"/>
          <w:szCs w:val="20"/>
        </w:rPr>
        <w:t>, inlier</w:t>
      </w:r>
      <w:r w:rsidRPr="00475379">
        <w:rPr>
          <w:rFonts w:cs="Arial"/>
          <w:szCs w:val="20"/>
        </w:rPr>
        <w:t xml:space="preserve"> and long stay outlier costs and associated adjustments, but added back in for the ICU adjustment.</w:t>
      </w:r>
      <w:r>
        <w:rPr>
          <w:rFonts w:cs="Arial"/>
          <w:szCs w:val="20"/>
        </w:rPr>
        <w:t xml:space="preserve"> Whole ICU days are also removed from each eligible episode’s length of stay.</w:t>
      </w:r>
    </w:p>
    <w:p w:rsidR="00460371" w:rsidRPr="00B85B5A" w:rsidRDefault="00460371" w:rsidP="00AD4FFC">
      <w:pPr>
        <w:pStyle w:val="Heading3"/>
        <w:keepLines w:val="0"/>
        <w:numPr>
          <w:ilvl w:val="2"/>
          <w:numId w:val="35"/>
        </w:numPr>
        <w:tabs>
          <w:tab w:val="left" w:pos="1162"/>
        </w:tabs>
        <w:spacing w:before="240" w:after="120"/>
      </w:pPr>
      <w:bookmarkStart w:id="117" w:name="_Ref342387309"/>
      <w:bookmarkStart w:id="118" w:name="_Toc380754702"/>
      <w:bookmarkStart w:id="119" w:name="_Toc444528581"/>
      <w:bookmarkEnd w:id="115"/>
      <w:r>
        <w:t>DRG Inlier/Outlier Model</w:t>
      </w:r>
      <w:bookmarkEnd w:id="117"/>
      <w:bookmarkEnd w:id="118"/>
      <w:bookmarkEnd w:id="119"/>
    </w:p>
    <w:p w:rsidR="00460371" w:rsidRPr="00475379" w:rsidRDefault="00460371" w:rsidP="00AD4FFC">
      <w:pPr>
        <w:tabs>
          <w:tab w:val="left" w:pos="1162"/>
        </w:tabs>
        <w:rPr>
          <w:rFonts w:cs="Arial"/>
          <w:szCs w:val="20"/>
        </w:rPr>
      </w:pPr>
      <w:r w:rsidRPr="00475379">
        <w:rPr>
          <w:rFonts w:cs="Arial"/>
          <w:szCs w:val="20"/>
        </w:rPr>
        <w:t xml:space="preserve">Initial parameters </w:t>
      </w:r>
      <w:r>
        <w:rPr>
          <w:rFonts w:cs="Arial"/>
          <w:szCs w:val="20"/>
        </w:rPr>
        <w:t xml:space="preserve">are </w:t>
      </w:r>
      <w:r w:rsidRPr="00475379">
        <w:rPr>
          <w:rFonts w:cs="Arial"/>
          <w:szCs w:val="20"/>
        </w:rPr>
        <w:t xml:space="preserve">derived for </w:t>
      </w:r>
      <w:r>
        <w:rPr>
          <w:rFonts w:cs="Arial"/>
          <w:szCs w:val="20"/>
        </w:rPr>
        <w:t xml:space="preserve">designated </w:t>
      </w:r>
      <w:r w:rsidRPr="00475379">
        <w:rPr>
          <w:rFonts w:cs="Arial"/>
          <w:szCs w:val="20"/>
        </w:rPr>
        <w:t>same</w:t>
      </w:r>
      <w:r>
        <w:rPr>
          <w:rFonts w:cs="Arial"/>
          <w:szCs w:val="20"/>
        </w:rPr>
        <w:t>-</w:t>
      </w:r>
      <w:r w:rsidRPr="00475379">
        <w:rPr>
          <w:rFonts w:cs="Arial"/>
          <w:szCs w:val="20"/>
        </w:rPr>
        <w:t>day</w:t>
      </w:r>
      <w:r>
        <w:rPr>
          <w:rFonts w:cs="Arial"/>
          <w:szCs w:val="20"/>
        </w:rPr>
        <w:t xml:space="preserve"> payment</w:t>
      </w:r>
      <w:r w:rsidRPr="00475379">
        <w:rPr>
          <w:rFonts w:cs="Arial"/>
          <w:szCs w:val="20"/>
        </w:rPr>
        <w:t xml:space="preserve"> AR-DRG episodes, short</w:t>
      </w:r>
      <w:r>
        <w:rPr>
          <w:rFonts w:cs="Arial"/>
          <w:szCs w:val="20"/>
        </w:rPr>
        <w:t>-</w:t>
      </w:r>
      <w:r w:rsidRPr="00475379">
        <w:rPr>
          <w:rFonts w:cs="Arial"/>
          <w:szCs w:val="20"/>
        </w:rPr>
        <w:t>stay outlier episodes, inlier</w:t>
      </w:r>
      <w:r>
        <w:rPr>
          <w:rFonts w:cs="Arial"/>
          <w:szCs w:val="20"/>
        </w:rPr>
        <w:t xml:space="preserve"> episodes,</w:t>
      </w:r>
      <w:r w:rsidRPr="00475379">
        <w:rPr>
          <w:rFonts w:cs="Arial"/>
          <w:szCs w:val="20"/>
        </w:rPr>
        <w:t xml:space="preserve"> and long</w:t>
      </w:r>
      <w:r>
        <w:rPr>
          <w:rFonts w:cs="Arial"/>
          <w:szCs w:val="20"/>
        </w:rPr>
        <w:t>-</w:t>
      </w:r>
      <w:r w:rsidRPr="00475379">
        <w:rPr>
          <w:rFonts w:cs="Arial"/>
          <w:szCs w:val="20"/>
        </w:rPr>
        <w:t xml:space="preserve">stay outlier episodes. The steps involved </w:t>
      </w:r>
      <w:r>
        <w:rPr>
          <w:rFonts w:cs="Arial"/>
          <w:szCs w:val="20"/>
        </w:rPr>
        <w:t>are</w:t>
      </w:r>
      <w:r w:rsidRPr="00475379">
        <w:rPr>
          <w:rFonts w:cs="Arial"/>
          <w:szCs w:val="20"/>
        </w:rPr>
        <w:t xml:space="preserve"> as follows:</w:t>
      </w:r>
    </w:p>
    <w:p w:rsidR="00460371" w:rsidRPr="00475379" w:rsidRDefault="00460371" w:rsidP="00AD4FFC">
      <w:pPr>
        <w:pStyle w:val="ListParagraph"/>
        <w:numPr>
          <w:ilvl w:val="0"/>
          <w:numId w:val="18"/>
        </w:numPr>
        <w:tabs>
          <w:tab w:val="left" w:pos="1162"/>
        </w:tabs>
        <w:spacing w:before="120"/>
        <w:rPr>
          <w:rFonts w:cs="Arial"/>
          <w:szCs w:val="20"/>
        </w:rPr>
      </w:pPr>
      <w:r>
        <w:rPr>
          <w:rFonts w:cs="Arial"/>
          <w:i/>
          <w:szCs w:val="20"/>
        </w:rPr>
        <w:t>Designate</w:t>
      </w:r>
      <w:r w:rsidR="00FF4DCF">
        <w:rPr>
          <w:rFonts w:cs="Arial"/>
          <w:i/>
          <w:szCs w:val="20"/>
        </w:rPr>
        <w:t>d</w:t>
      </w:r>
      <w:r>
        <w:rPr>
          <w:rFonts w:cs="Arial"/>
          <w:i/>
          <w:szCs w:val="20"/>
        </w:rPr>
        <w:t xml:space="preserve"> same-day</w:t>
      </w:r>
      <w:r w:rsidRPr="00475379">
        <w:rPr>
          <w:rFonts w:cs="Arial"/>
          <w:i/>
          <w:szCs w:val="20"/>
        </w:rPr>
        <w:t xml:space="preserve"> AR-DRG episodes: </w:t>
      </w:r>
      <w:r w:rsidRPr="00475379">
        <w:rPr>
          <w:rFonts w:cs="Arial"/>
          <w:szCs w:val="20"/>
        </w:rPr>
        <w:t>calculate the mean cost per episode.</w:t>
      </w:r>
    </w:p>
    <w:p w:rsidR="00460371" w:rsidRPr="00475379" w:rsidRDefault="00460371" w:rsidP="00AD4FFC">
      <w:pPr>
        <w:pStyle w:val="ListParagraph"/>
        <w:numPr>
          <w:ilvl w:val="0"/>
          <w:numId w:val="18"/>
        </w:numPr>
        <w:tabs>
          <w:tab w:val="left" w:pos="1162"/>
        </w:tabs>
        <w:spacing w:before="120"/>
        <w:rPr>
          <w:rFonts w:cs="Arial"/>
          <w:szCs w:val="20"/>
        </w:rPr>
      </w:pPr>
      <w:r w:rsidRPr="00475379">
        <w:rPr>
          <w:rFonts w:cs="Arial"/>
          <w:i/>
          <w:szCs w:val="20"/>
        </w:rPr>
        <w:t>Inlier episodes:</w:t>
      </w:r>
      <w:r>
        <w:rPr>
          <w:rFonts w:cs="Arial"/>
          <w:szCs w:val="20"/>
        </w:rPr>
        <w:t xml:space="preserve"> </w:t>
      </w:r>
      <w:r w:rsidRPr="00475379">
        <w:rPr>
          <w:rFonts w:cs="Arial"/>
          <w:szCs w:val="20"/>
        </w:rPr>
        <w:t>calculate the mean cost per episode.</w:t>
      </w:r>
    </w:p>
    <w:p w:rsidR="00460371" w:rsidRPr="00475379" w:rsidRDefault="00460371" w:rsidP="00AD4FFC">
      <w:pPr>
        <w:pStyle w:val="ListParagraph"/>
        <w:numPr>
          <w:ilvl w:val="0"/>
          <w:numId w:val="18"/>
        </w:numPr>
        <w:tabs>
          <w:tab w:val="left" w:pos="1162"/>
        </w:tabs>
        <w:spacing w:before="120"/>
        <w:rPr>
          <w:rFonts w:cs="Arial"/>
          <w:szCs w:val="20"/>
        </w:rPr>
      </w:pPr>
      <w:r w:rsidRPr="00475379">
        <w:rPr>
          <w:rFonts w:cs="Arial"/>
          <w:i/>
          <w:szCs w:val="20"/>
        </w:rPr>
        <w:t>Short</w:t>
      </w:r>
      <w:r>
        <w:rPr>
          <w:rFonts w:cs="Arial"/>
          <w:i/>
          <w:szCs w:val="20"/>
        </w:rPr>
        <w:t>-</w:t>
      </w:r>
      <w:r w:rsidRPr="00475379">
        <w:rPr>
          <w:rFonts w:cs="Arial"/>
          <w:i/>
          <w:szCs w:val="20"/>
        </w:rPr>
        <w:t>stay outlier episodes:</w:t>
      </w:r>
      <w:r>
        <w:rPr>
          <w:rFonts w:cs="Arial"/>
          <w:szCs w:val="20"/>
        </w:rPr>
        <w:t xml:space="preserve"> calculate the base cost as the average of total Operating Room, SPS and Prosthesis costs, </w:t>
      </w:r>
      <w:r w:rsidR="00D12D4B">
        <w:rPr>
          <w:rFonts w:cs="Arial"/>
          <w:szCs w:val="20"/>
        </w:rPr>
        <w:t>and then</w:t>
      </w:r>
      <w:r>
        <w:rPr>
          <w:rFonts w:cs="Arial"/>
          <w:szCs w:val="20"/>
        </w:rPr>
        <w:t xml:space="preserve"> calculate the cost per diem to ensure an even growth in cost to that of the inlier episode.</w:t>
      </w:r>
    </w:p>
    <w:p w:rsidR="00460371" w:rsidRPr="00063E42" w:rsidRDefault="00460371" w:rsidP="00AD4FFC">
      <w:pPr>
        <w:pStyle w:val="ListParagraph"/>
        <w:numPr>
          <w:ilvl w:val="0"/>
          <w:numId w:val="18"/>
        </w:numPr>
        <w:tabs>
          <w:tab w:val="left" w:pos="1162"/>
        </w:tabs>
        <w:spacing w:before="120"/>
        <w:rPr>
          <w:rFonts w:cs="Arial"/>
          <w:i/>
          <w:szCs w:val="20"/>
        </w:rPr>
      </w:pPr>
      <w:r w:rsidRPr="00475379">
        <w:rPr>
          <w:rFonts w:cs="Arial"/>
          <w:i/>
          <w:szCs w:val="20"/>
        </w:rPr>
        <w:t>Long</w:t>
      </w:r>
      <w:r>
        <w:rPr>
          <w:rFonts w:cs="Arial"/>
          <w:i/>
          <w:szCs w:val="20"/>
        </w:rPr>
        <w:t>-</w:t>
      </w:r>
      <w:r w:rsidRPr="00475379">
        <w:rPr>
          <w:rFonts w:cs="Arial"/>
          <w:i/>
          <w:szCs w:val="20"/>
        </w:rPr>
        <w:t>stay outlier episodes</w:t>
      </w:r>
      <w:r>
        <w:rPr>
          <w:rFonts w:cs="Arial"/>
          <w:i/>
          <w:szCs w:val="20"/>
        </w:rPr>
        <w:t xml:space="preserve">. </w:t>
      </w:r>
      <w:r w:rsidRPr="00475379">
        <w:rPr>
          <w:rFonts w:cs="Arial"/>
          <w:szCs w:val="20"/>
        </w:rPr>
        <w:t xml:space="preserve">The mean inlier cost </w:t>
      </w:r>
      <w:r>
        <w:rPr>
          <w:rFonts w:cs="Arial"/>
          <w:szCs w:val="20"/>
        </w:rPr>
        <w:t>is</w:t>
      </w:r>
      <w:r w:rsidRPr="00475379">
        <w:rPr>
          <w:rFonts w:cs="Arial"/>
          <w:szCs w:val="20"/>
        </w:rPr>
        <w:t xml:space="preserve"> assigned to each episode as a base amount</w:t>
      </w:r>
      <w:r>
        <w:rPr>
          <w:rFonts w:cs="Arial"/>
          <w:szCs w:val="20"/>
        </w:rPr>
        <w:t xml:space="preserve">. </w:t>
      </w:r>
      <w:r w:rsidRPr="00475379">
        <w:rPr>
          <w:rFonts w:cs="Arial"/>
          <w:szCs w:val="20"/>
        </w:rPr>
        <w:t xml:space="preserve">A per diem for each outlier day </w:t>
      </w:r>
      <w:r>
        <w:rPr>
          <w:rFonts w:cs="Arial"/>
          <w:szCs w:val="20"/>
        </w:rPr>
        <w:t>is</w:t>
      </w:r>
      <w:r w:rsidRPr="00475379">
        <w:rPr>
          <w:rFonts w:cs="Arial"/>
          <w:szCs w:val="20"/>
        </w:rPr>
        <w:t xml:space="preserve"> </w:t>
      </w:r>
      <w:r>
        <w:rPr>
          <w:rFonts w:cs="Arial"/>
          <w:szCs w:val="20"/>
        </w:rPr>
        <w:t>calculated using one of two methods:</w:t>
      </w:r>
    </w:p>
    <w:p w:rsidR="00460371" w:rsidRPr="00063E42" w:rsidRDefault="00460371" w:rsidP="00AD4FFC">
      <w:pPr>
        <w:pStyle w:val="ListParagraph"/>
        <w:numPr>
          <w:ilvl w:val="1"/>
          <w:numId w:val="18"/>
        </w:numPr>
        <w:tabs>
          <w:tab w:val="left" w:pos="1162"/>
        </w:tabs>
        <w:spacing w:before="120"/>
        <w:rPr>
          <w:rFonts w:cs="Arial"/>
          <w:i/>
          <w:szCs w:val="20"/>
        </w:rPr>
      </w:pPr>
      <w:r>
        <w:rPr>
          <w:rFonts w:cs="Arial"/>
          <w:szCs w:val="20"/>
        </w:rPr>
        <w:t xml:space="preserve">In AR-DRGs where the length of stay profile was adequately wide and regular to allow robust regression analysis to be undertaken, the per diem cost was taken as the </w:t>
      </w:r>
      <w:r w:rsidRPr="00475379">
        <w:rPr>
          <w:rFonts w:cs="Arial"/>
          <w:szCs w:val="20"/>
        </w:rPr>
        <w:t xml:space="preserve">length of stay </w:t>
      </w:r>
      <w:r>
        <w:rPr>
          <w:rFonts w:cs="Arial"/>
          <w:szCs w:val="20"/>
        </w:rPr>
        <w:t>regression coefficient; this process excluded designated same-day episodes and overly influential observations (as determined by the DFFITS statistical measure).</w:t>
      </w:r>
    </w:p>
    <w:p w:rsidR="00460371" w:rsidRPr="00475379" w:rsidRDefault="00460371" w:rsidP="00AD4FFC">
      <w:pPr>
        <w:pStyle w:val="ListParagraph"/>
        <w:numPr>
          <w:ilvl w:val="1"/>
          <w:numId w:val="18"/>
        </w:numPr>
        <w:tabs>
          <w:tab w:val="left" w:pos="1162"/>
        </w:tabs>
        <w:spacing w:before="120"/>
        <w:rPr>
          <w:rFonts w:cs="Arial"/>
          <w:i/>
          <w:szCs w:val="20"/>
        </w:rPr>
      </w:pPr>
      <w:r>
        <w:rPr>
          <w:rFonts w:cs="Arial"/>
          <w:szCs w:val="20"/>
        </w:rPr>
        <w:t>In the remaining AR-DRGs, cost buckets were partitioned into ‘fixed’ and ‘variable’ (similar to the short-stay outlier process for surgical AR-DRGs), and the per diem cost was taken as the mean variable cost per patient day</w:t>
      </w:r>
      <w:r w:rsidRPr="00475379">
        <w:rPr>
          <w:rFonts w:cs="Arial"/>
          <w:szCs w:val="20"/>
        </w:rPr>
        <w:t>.</w:t>
      </w:r>
    </w:p>
    <w:p w:rsidR="00460371" w:rsidRDefault="00460371" w:rsidP="00AD4FFC">
      <w:pPr>
        <w:tabs>
          <w:tab w:val="left" w:pos="1162"/>
        </w:tabs>
      </w:pPr>
      <w:r w:rsidRPr="00C36F8A">
        <w:t xml:space="preserve">Where there </w:t>
      </w:r>
      <w:r>
        <w:t>are</w:t>
      </w:r>
      <w:r w:rsidRPr="00C36F8A">
        <w:t xml:space="preserve"> fewer than 100 separations in an AR-DRG the separations </w:t>
      </w:r>
      <w:r>
        <w:t>are</w:t>
      </w:r>
      <w:r w:rsidRPr="00C36F8A">
        <w:t xml:space="preserve"> combined with those from </w:t>
      </w:r>
      <w:r w:rsidR="002A45FE">
        <w:t>2012-13</w:t>
      </w:r>
      <w:r w:rsidRPr="00C36F8A">
        <w:t>, indexed appropriately, to calculate the cost parameter.</w:t>
      </w:r>
      <w:r>
        <w:t xml:space="preserve"> </w:t>
      </w:r>
    </w:p>
    <w:p w:rsidR="00460371" w:rsidRDefault="00460371" w:rsidP="00AD4FFC">
      <w:pPr>
        <w:tabs>
          <w:tab w:val="left" w:pos="1162"/>
        </w:tabs>
      </w:pPr>
      <w:r>
        <w:t>All AR-DRG parameters are then uniformly calibrated to ensure the modelled costs are equalised against actual costs.</w:t>
      </w:r>
    </w:p>
    <w:tbl>
      <w:tblPr>
        <w:tblW w:w="0" w:type="auto"/>
        <w:tblLook w:val="00A0" w:firstRow="1" w:lastRow="0" w:firstColumn="1" w:lastColumn="0" w:noHBand="0" w:noVBand="0"/>
      </w:tblPr>
      <w:tblGrid>
        <w:gridCol w:w="9243"/>
      </w:tblGrid>
      <w:tr w:rsidR="00460371" w:rsidRPr="006D0E7D" w:rsidTr="005109F1">
        <w:tc>
          <w:tcPr>
            <w:tcW w:w="9243" w:type="dxa"/>
          </w:tcPr>
          <w:p w:rsidR="00AD4FFC" w:rsidRPr="00AD4FFC" w:rsidRDefault="00AD4FFC" w:rsidP="00AD4FFC">
            <w:pPr>
              <w:tabs>
                <w:tab w:val="left" w:pos="1162"/>
              </w:tabs>
            </w:pPr>
            <w:r w:rsidRPr="00AD4FFC">
              <w:t xml:space="preserve">Figure 3 </w:t>
            </w:r>
            <w:r w:rsidR="00460371" w:rsidRPr="00AD4FFC">
              <w:t>illustrates the general form of the cost model within each AR-DRG. However, an AR-DRG’s form may differ depending on whether it has a designated same-day separation category, a short-stay outlier category, or a long-stay outlier category</w:t>
            </w:r>
            <w:bookmarkStart w:id="120" w:name="_Ref342308883"/>
            <w:r w:rsidR="00B15BC5">
              <w:t>.</w:t>
            </w:r>
          </w:p>
          <w:p w:rsidR="00460371" w:rsidRDefault="00460371">
            <w:pPr>
              <w:pStyle w:val="table"/>
            </w:pPr>
            <w:r>
              <w:t>Figure</w:t>
            </w:r>
            <w:bookmarkEnd w:id="120"/>
            <w:r w:rsidR="00AD4FFC">
              <w:t xml:space="preserve"> 3</w:t>
            </w:r>
            <w:r>
              <w:t xml:space="preserve">: </w:t>
            </w:r>
            <w:r w:rsidRPr="00D87D2D">
              <w:t>Initial parameters for the assignment of cost weights</w:t>
            </w:r>
          </w:p>
          <w:p w:rsidR="00460371" w:rsidRPr="00475379" w:rsidRDefault="00460371" w:rsidP="00AD4FFC">
            <w:pPr>
              <w:tabs>
                <w:tab w:val="left" w:pos="1162"/>
              </w:tabs>
              <w:spacing w:after="0"/>
              <w:jc w:val="center"/>
              <w:rPr>
                <w:rFonts w:cs="Arial"/>
                <w:szCs w:val="20"/>
              </w:rPr>
            </w:pPr>
            <w:r w:rsidRPr="00475379">
              <w:rPr>
                <w:rFonts w:cs="Arial"/>
                <w:noProof/>
                <w:szCs w:val="20"/>
                <w:lang w:eastAsia="en-AU"/>
              </w:rPr>
              <w:drawing>
                <wp:inline distT="0" distB="0" distL="0" distR="0" wp14:anchorId="6BD25859" wp14:editId="7F944670">
                  <wp:extent cx="4096512" cy="2925091"/>
                  <wp:effectExtent l="19050" t="19050" r="18415" b="27940"/>
                  <wp:docPr id="6" name="Picture 3" descr="Figure 3 is a line graph illustrating the average cost per episode against the number of days spent in hospital and the price per episode against the number of days spent in hospital. &#10;&#10;Cost/Price is represented on the vertical axis and the number of days spent in hospital is represented on the horizontal axis. The ‘Days in hospital’ axis is partitioned left to right into four groups: same day, short stay outliers, inliers, and long stay outliers. &#10;&#10;The graph’s cost line is horizontal within the same day partition, and increases steadily as the number of days in hospital increases through all remaining partitions.&#10;&#10;The price line is horizontal within the same day partition. Within the short stay outliers partition it increases linearly with a steep gradient. Within the inliers partition the price line is horizontal representing a single price for this group irrespective of the length of stay. Within the long stay outliers partition, the price line again increases linearly but with a shallower gradient than that in the short stay outliers parti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grayscl/>
                            <a:extLst>
                              <a:ext uri="{28A0092B-C50C-407E-A947-70E740481C1C}">
                                <a14:useLocalDpi xmlns:a14="http://schemas.microsoft.com/office/drawing/2010/main" val="0"/>
                              </a:ext>
                            </a:extLst>
                          </a:blip>
                          <a:stretch>
                            <a:fillRect/>
                          </a:stretch>
                        </pic:blipFill>
                        <pic:spPr bwMode="auto">
                          <a:xfrm>
                            <a:off x="0" y="0"/>
                            <a:ext cx="4108783" cy="2933853"/>
                          </a:xfrm>
                          <a:prstGeom prst="rect">
                            <a:avLst/>
                          </a:prstGeom>
                          <a:noFill/>
                          <a:ln>
                            <a:solidFill>
                              <a:schemeClr val="tx1"/>
                            </a:solidFill>
                          </a:ln>
                        </pic:spPr>
                      </pic:pic>
                    </a:graphicData>
                  </a:graphic>
                </wp:inline>
              </w:drawing>
            </w:r>
          </w:p>
          <w:p w:rsidR="00460371" w:rsidRPr="00475379" w:rsidRDefault="00460371" w:rsidP="00AD4FFC">
            <w:pPr>
              <w:tabs>
                <w:tab w:val="left" w:pos="1162"/>
              </w:tabs>
              <w:spacing w:after="0"/>
              <w:rPr>
                <w:rFonts w:cs="Arial"/>
                <w:szCs w:val="20"/>
              </w:rPr>
            </w:pPr>
          </w:p>
        </w:tc>
      </w:tr>
    </w:tbl>
    <w:p w:rsidR="00394698" w:rsidRDefault="00C0624E" w:rsidP="006044ED">
      <w:pPr>
        <w:tabs>
          <w:tab w:val="left" w:pos="1162"/>
        </w:tabs>
        <w:rPr>
          <w:rFonts w:ascii="Arial" w:eastAsia="Times New Roman" w:hAnsi="Arial" w:cstheme="minorHAnsi"/>
          <w:b/>
          <w:color w:val="000000"/>
          <w:sz w:val="20"/>
          <w:szCs w:val="20"/>
          <w:lang w:eastAsia="en-AU"/>
        </w:rPr>
      </w:pPr>
      <w:r>
        <w:rPr>
          <w:rFonts w:cs="Arial"/>
          <w:szCs w:val="20"/>
        </w:rPr>
        <w:t xml:space="preserve">Figure 4 </w:t>
      </w:r>
      <w:r w:rsidR="00460371" w:rsidRPr="00475379">
        <w:rPr>
          <w:rFonts w:cs="Arial"/>
          <w:szCs w:val="20"/>
        </w:rPr>
        <w:t>provides an example of the m</w:t>
      </w:r>
      <w:r w:rsidR="00460371">
        <w:rPr>
          <w:rFonts w:cs="Arial"/>
          <w:szCs w:val="20"/>
        </w:rPr>
        <w:t xml:space="preserve">odel with a particular AR-DRG, showing </w:t>
      </w:r>
      <w:r w:rsidR="00460371" w:rsidRPr="00475379">
        <w:rPr>
          <w:rFonts w:cs="Arial"/>
          <w:szCs w:val="20"/>
        </w:rPr>
        <w:t xml:space="preserve">the reported </w:t>
      </w:r>
      <w:r w:rsidR="00460371">
        <w:rPr>
          <w:rFonts w:cs="Arial"/>
          <w:szCs w:val="20"/>
        </w:rPr>
        <w:t xml:space="preserve">mean </w:t>
      </w:r>
      <w:r w:rsidR="00460371" w:rsidRPr="00475379">
        <w:rPr>
          <w:rFonts w:cs="Arial"/>
          <w:szCs w:val="20"/>
        </w:rPr>
        <w:t>cost per episode by length of stay</w:t>
      </w:r>
      <w:r w:rsidR="00460371">
        <w:rPr>
          <w:rFonts w:cs="Arial"/>
          <w:szCs w:val="20"/>
        </w:rPr>
        <w:t>,</w:t>
      </w:r>
      <w:r w:rsidR="00460371" w:rsidRPr="00475379">
        <w:rPr>
          <w:rFonts w:cs="Arial"/>
          <w:szCs w:val="20"/>
        </w:rPr>
        <w:t xml:space="preserve"> and plots the </w:t>
      </w:r>
      <w:r w:rsidR="00460371">
        <w:rPr>
          <w:rFonts w:cs="Arial"/>
          <w:szCs w:val="20"/>
        </w:rPr>
        <w:t xml:space="preserve">cost model </w:t>
      </w:r>
      <w:r w:rsidR="00460371" w:rsidRPr="00475379">
        <w:rPr>
          <w:rFonts w:cs="Arial"/>
          <w:szCs w:val="20"/>
        </w:rPr>
        <w:t>levels arising from applying the initial parameters</w:t>
      </w:r>
      <w:r w:rsidR="00460371">
        <w:rPr>
          <w:rFonts w:cs="Arial"/>
          <w:szCs w:val="20"/>
        </w:rPr>
        <w:t>.</w:t>
      </w:r>
      <w:bookmarkStart w:id="121" w:name="_Ref342308906"/>
    </w:p>
    <w:p w:rsidR="008F7FF1" w:rsidRDefault="008F7FF1">
      <w:pPr>
        <w:pStyle w:val="table"/>
      </w:pPr>
      <w:r>
        <w:t xml:space="preserve">Figure </w:t>
      </w:r>
      <w:bookmarkEnd w:id="121"/>
      <w:r w:rsidR="00933C77">
        <w:t>4</w:t>
      </w:r>
      <w:r>
        <w:t xml:space="preserve">: </w:t>
      </w:r>
      <w:r w:rsidRPr="00732C2C">
        <w:t xml:space="preserve">Example of an AR-DRG - </w:t>
      </w:r>
      <w:r>
        <w:t>I</w:t>
      </w:r>
      <w:r w:rsidRPr="00732C2C">
        <w:t>nitial parameters for model and average cost by length of stay</w:t>
      </w:r>
    </w:p>
    <w:tbl>
      <w:tblPr>
        <w:tblW w:w="0" w:type="auto"/>
        <w:jc w:val="center"/>
        <w:tblLook w:val="00A0" w:firstRow="1" w:lastRow="0" w:firstColumn="1" w:lastColumn="0" w:noHBand="0" w:noVBand="0"/>
      </w:tblPr>
      <w:tblGrid>
        <w:gridCol w:w="8616"/>
      </w:tblGrid>
      <w:tr w:rsidR="00460371" w:rsidTr="008F7FF1">
        <w:trPr>
          <w:trHeight w:val="4842"/>
          <w:jc w:val="center"/>
        </w:trPr>
        <w:tc>
          <w:tcPr>
            <w:tcW w:w="8568" w:type="dxa"/>
          </w:tcPr>
          <w:p w:rsidR="00460371" w:rsidRDefault="00460371" w:rsidP="00AD4FFC">
            <w:pPr>
              <w:tabs>
                <w:tab w:val="left" w:pos="1162"/>
              </w:tabs>
              <w:spacing w:after="0"/>
              <w:jc w:val="center"/>
            </w:pPr>
            <w:r>
              <w:rPr>
                <w:noProof/>
                <w:lang w:eastAsia="en-AU"/>
              </w:rPr>
              <w:drawing>
                <wp:inline distT="0" distB="0" distL="0" distR="0" wp14:anchorId="765F3D7B" wp14:editId="3EC68F32">
                  <wp:extent cx="5295900" cy="3152775"/>
                  <wp:effectExtent l="19050" t="19050" r="19050" b="28575"/>
                  <wp:docPr id="7" name="Picture 4" descr="Figure 4 is a graph showing the reported average cost per episode by length of stay in days (as columns) and the equivalent price paid under activity based funding (ABF) by length of stay (as a line), for one AR DRG.&#10;&#10;Cost/Price is represented on the vertical axis and the number of days spent in hospital is represented on the horizontal axis. The ‘Days’ axis is partitioned left to right into three groups: same day and short stay outliers (1-4 days), inliers (5-31 day), and long stay outliers (32 or more days). &#10;&#10;Within the same day and the short-stay outliers partition it increases linearly with a steep gradient. Within the inliers partition the price line is horizontal representing a single price (approximately $17,000) for this group irrespective of the length of stay. Within the long-stay outliers partition, the price line again increases linearly but with a shallower gradient than that in the short stay outliers partition. &#10;&#10;Cost columns represent the cost of an episode with a specific duration in days. For one day, the average cost is approximately $2000. The cost columns generally increase in height steadily within the same day and short stay outlier partition, and the inlier partition. Within the inlier partition, at around day 12, the average cost surpasses the fixed price paid. In the long stay outlier region, the cost columns are varied in height. Day 44 has the highest average cost at just over $100,000 followed by day 60 (~$95,000) and day 69 (~$88,000). Days 42 and 48 have the lowest average cost in this partition at just less than $40,000. There are cost columns for up to 69 days per episode except for 35, 51, 52, 55, 58, 62, and 64-68 day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5295900" cy="3152775"/>
                          </a:xfrm>
                          <a:prstGeom prst="rect">
                            <a:avLst/>
                          </a:prstGeom>
                          <a:noFill/>
                          <a:ln>
                            <a:solidFill>
                              <a:schemeClr val="tx1"/>
                            </a:solidFill>
                          </a:ln>
                        </pic:spPr>
                      </pic:pic>
                    </a:graphicData>
                  </a:graphic>
                </wp:inline>
              </w:drawing>
            </w:r>
          </w:p>
        </w:tc>
      </w:tr>
    </w:tbl>
    <w:p w:rsidR="00460371" w:rsidRPr="00B85B5A" w:rsidRDefault="00460371" w:rsidP="00AD4FFC">
      <w:pPr>
        <w:pStyle w:val="Heading3"/>
        <w:keepLines w:val="0"/>
        <w:numPr>
          <w:ilvl w:val="2"/>
          <w:numId w:val="35"/>
        </w:numPr>
        <w:tabs>
          <w:tab w:val="left" w:pos="1162"/>
        </w:tabs>
        <w:spacing w:before="240" w:after="120"/>
      </w:pPr>
      <w:bookmarkStart w:id="122" w:name="_Ref319939984"/>
      <w:bookmarkStart w:id="123" w:name="_Ref349749489"/>
      <w:bookmarkStart w:id="124" w:name="_Toc380754703"/>
      <w:bookmarkStart w:id="125" w:name="_Toc444528582"/>
      <w:r>
        <w:t>Calculation of additional adjustments</w:t>
      </w:r>
      <w:bookmarkEnd w:id="122"/>
      <w:bookmarkEnd w:id="123"/>
      <w:bookmarkEnd w:id="124"/>
      <w:bookmarkEnd w:id="125"/>
    </w:p>
    <w:p w:rsidR="00460371" w:rsidRDefault="00460371" w:rsidP="00AD4FFC">
      <w:pPr>
        <w:tabs>
          <w:tab w:val="left" w:pos="1162"/>
        </w:tabs>
        <w:spacing w:after="0"/>
        <w:rPr>
          <w:rFonts w:cs="Arial"/>
          <w:szCs w:val="20"/>
        </w:rPr>
      </w:pPr>
      <w:r w:rsidRPr="00901D61">
        <w:rPr>
          <w:rFonts w:cs="Arial"/>
          <w:szCs w:val="20"/>
        </w:rPr>
        <w:t>After the</w:t>
      </w:r>
      <w:r>
        <w:rPr>
          <w:rFonts w:cs="Arial"/>
          <w:szCs w:val="20"/>
        </w:rPr>
        <w:t xml:space="preserve"> AR-DRG inlier/outlier</w:t>
      </w:r>
      <w:r w:rsidRPr="00901D61">
        <w:rPr>
          <w:rFonts w:cs="Arial"/>
          <w:szCs w:val="20"/>
        </w:rPr>
        <w:t xml:space="preserve"> model was derived, the following </w:t>
      </w:r>
      <w:r w:rsidR="00701984">
        <w:rPr>
          <w:rFonts w:cs="Arial"/>
          <w:szCs w:val="20"/>
        </w:rPr>
        <w:t xml:space="preserve">four sets of </w:t>
      </w:r>
      <w:r w:rsidRPr="00901D61">
        <w:rPr>
          <w:rFonts w:cs="Arial"/>
          <w:szCs w:val="20"/>
        </w:rPr>
        <w:t>adjustments were calculated based on factors considered to have a material impact on the cost of acute services</w:t>
      </w:r>
      <w:r>
        <w:rPr>
          <w:rFonts w:cs="Arial"/>
          <w:szCs w:val="20"/>
        </w:rPr>
        <w:t>.</w:t>
      </w:r>
    </w:p>
    <w:p w:rsidR="00460371" w:rsidRPr="00901D61" w:rsidRDefault="00460371" w:rsidP="00F30AC0">
      <w:pPr>
        <w:pStyle w:val="Headingnonumber"/>
      </w:pPr>
      <w:r w:rsidRPr="00901D61">
        <w:t xml:space="preserve">Paediatric </w:t>
      </w:r>
      <w:r>
        <w:t>a</w:t>
      </w:r>
      <w:r w:rsidRPr="00901D61">
        <w:t>djustment</w:t>
      </w:r>
    </w:p>
    <w:p w:rsidR="00460371" w:rsidRPr="00881D94" w:rsidRDefault="00460371" w:rsidP="00AD4FFC">
      <w:pPr>
        <w:tabs>
          <w:tab w:val="left" w:pos="1162"/>
        </w:tabs>
        <w:rPr>
          <w:rFonts w:cs="Arial"/>
          <w:szCs w:val="20"/>
        </w:rPr>
      </w:pPr>
      <w:r w:rsidRPr="00DF77B4">
        <w:rPr>
          <w:rFonts w:cs="Arial"/>
          <w:szCs w:val="20"/>
        </w:rPr>
        <w:t xml:space="preserve">A paediatric adjustment </w:t>
      </w:r>
      <w:r w:rsidRPr="00881D94">
        <w:rPr>
          <w:rFonts w:cs="Arial"/>
          <w:szCs w:val="20"/>
        </w:rPr>
        <w:t>is derived by AR-DRG using a process similar to the 201</w:t>
      </w:r>
      <w:r w:rsidR="00881D94">
        <w:rPr>
          <w:rFonts w:cs="Arial"/>
          <w:szCs w:val="20"/>
        </w:rPr>
        <w:t>2-13</w:t>
      </w:r>
      <w:r w:rsidRPr="00E33EAE">
        <w:rPr>
          <w:rFonts w:cs="Arial"/>
          <w:szCs w:val="20"/>
        </w:rPr>
        <w:t xml:space="preserve"> </w:t>
      </w:r>
      <w:r w:rsidR="001C6800">
        <w:rPr>
          <w:rFonts w:cs="Arial"/>
          <w:szCs w:val="20"/>
        </w:rPr>
        <w:t>admitted acute</w:t>
      </w:r>
      <w:r w:rsidRPr="00E33EAE">
        <w:rPr>
          <w:rFonts w:cs="Arial"/>
          <w:szCs w:val="20"/>
        </w:rPr>
        <w:t xml:space="preserve"> cost model.</w:t>
      </w:r>
      <w:r w:rsidRPr="00DF77B4">
        <w:rPr>
          <w:rFonts w:cs="Arial"/>
          <w:szCs w:val="20"/>
        </w:rPr>
        <w:t xml:space="preserve"> Specialised p</w:t>
      </w:r>
      <w:r w:rsidRPr="00881D94">
        <w:rPr>
          <w:rFonts w:cs="Arial"/>
          <w:szCs w:val="20"/>
        </w:rPr>
        <w:t>aediatric patients are identified as being less than or equal to 1</w:t>
      </w:r>
      <w:r w:rsidR="00E74059" w:rsidRPr="00881D94">
        <w:rPr>
          <w:rFonts w:cs="Arial"/>
          <w:szCs w:val="20"/>
        </w:rPr>
        <w:t>7</w:t>
      </w:r>
      <w:r w:rsidRPr="00881D94">
        <w:rPr>
          <w:rFonts w:cs="Arial"/>
          <w:szCs w:val="20"/>
        </w:rPr>
        <w:t xml:space="preserve"> years of age, from an establishment identified as delivering specialised paediatric services (listed in </w:t>
      </w:r>
      <w:r w:rsidR="001E61C3" w:rsidRPr="00881D94">
        <w:rPr>
          <w:rFonts w:cs="Arial"/>
          <w:szCs w:val="20"/>
        </w:rPr>
        <w:t xml:space="preserve">Appendix </w:t>
      </w:r>
      <w:r w:rsidR="00770EA2" w:rsidRPr="00881D94">
        <w:rPr>
          <w:rFonts w:cs="Arial"/>
          <w:szCs w:val="20"/>
        </w:rPr>
        <w:t xml:space="preserve">E </w:t>
      </w:r>
      <w:r w:rsidR="001E61C3" w:rsidRPr="00881D94">
        <w:rPr>
          <w:rFonts w:cs="Arial"/>
          <w:szCs w:val="20"/>
        </w:rPr>
        <w:t xml:space="preserve">of the </w:t>
      </w:r>
      <w:r w:rsidR="007B4384" w:rsidRPr="00881D94">
        <w:rPr>
          <w:rFonts w:cs="Arial"/>
          <w:szCs w:val="20"/>
        </w:rPr>
        <w:t xml:space="preserve">NEP16 </w:t>
      </w:r>
      <w:r w:rsidR="001E61C3" w:rsidRPr="00881D94">
        <w:rPr>
          <w:rFonts w:cs="Arial"/>
          <w:szCs w:val="20"/>
        </w:rPr>
        <w:t xml:space="preserve">Determination </w:t>
      </w:r>
      <w:r w:rsidRPr="00881D94">
        <w:rPr>
          <w:rFonts w:cs="Arial"/>
          <w:szCs w:val="20"/>
        </w:rPr>
        <w:t>as Specialised Children’s Hospital</w:t>
      </w:r>
      <w:r w:rsidR="00157362" w:rsidRPr="00881D94">
        <w:rPr>
          <w:rFonts w:cs="Arial"/>
          <w:szCs w:val="20"/>
        </w:rPr>
        <w:t>s</w:t>
      </w:r>
      <w:r w:rsidRPr="00881D94">
        <w:rPr>
          <w:rFonts w:cs="Arial"/>
          <w:szCs w:val="20"/>
        </w:rPr>
        <w:t>), and excluding AR-DRGs from MDC 15 (newborns and other neonates).</w:t>
      </w:r>
    </w:p>
    <w:p w:rsidR="00460371" w:rsidRPr="00E33EAE" w:rsidRDefault="00460371" w:rsidP="00AD4FFC">
      <w:pPr>
        <w:tabs>
          <w:tab w:val="left" w:pos="1162"/>
        </w:tabs>
        <w:rPr>
          <w:rFonts w:cs="Arial"/>
          <w:szCs w:val="20"/>
        </w:rPr>
      </w:pPr>
      <w:r w:rsidRPr="00E33EAE">
        <w:rPr>
          <w:rFonts w:cs="Arial"/>
          <w:szCs w:val="20"/>
        </w:rPr>
        <w:t>The paediatric adjustment for each AR-DRG is:</w:t>
      </w:r>
    </w:p>
    <w:p w:rsidR="00460371" w:rsidRPr="00E33EAE" w:rsidRDefault="00460371" w:rsidP="00AD4FFC">
      <w:pPr>
        <w:pStyle w:val="ListParagraph"/>
        <w:numPr>
          <w:ilvl w:val="0"/>
          <w:numId w:val="19"/>
        </w:numPr>
        <w:tabs>
          <w:tab w:val="left" w:pos="1162"/>
        </w:tabs>
        <w:spacing w:before="80" w:after="0"/>
        <w:ind w:left="714" w:hanging="357"/>
        <w:rPr>
          <w:rFonts w:cs="Arial"/>
          <w:szCs w:val="20"/>
        </w:rPr>
      </w:pPr>
      <w:r w:rsidRPr="00E33EAE">
        <w:rPr>
          <w:rFonts w:cs="Arial"/>
          <w:szCs w:val="20"/>
        </w:rPr>
        <w:t>Rounded to the nearest whole per cent;</w:t>
      </w:r>
    </w:p>
    <w:p w:rsidR="00460371" w:rsidRPr="00E33EAE" w:rsidRDefault="00460371" w:rsidP="00AD4FFC">
      <w:pPr>
        <w:pStyle w:val="ListParagraph"/>
        <w:numPr>
          <w:ilvl w:val="0"/>
          <w:numId w:val="19"/>
        </w:numPr>
        <w:tabs>
          <w:tab w:val="left" w:pos="1162"/>
        </w:tabs>
        <w:spacing w:before="80" w:after="0"/>
        <w:ind w:left="714" w:hanging="357"/>
        <w:rPr>
          <w:rFonts w:cs="Arial"/>
          <w:szCs w:val="20"/>
        </w:rPr>
      </w:pPr>
      <w:r w:rsidRPr="00E33EAE">
        <w:rPr>
          <w:rFonts w:cs="Arial"/>
          <w:szCs w:val="20"/>
        </w:rPr>
        <w:t>Capped and floored at 2.0 and 0.8 respectively; and</w:t>
      </w:r>
    </w:p>
    <w:p w:rsidR="00460371" w:rsidRPr="00E33EAE" w:rsidRDefault="00460371" w:rsidP="00AD4FFC">
      <w:pPr>
        <w:pStyle w:val="ListParagraph"/>
        <w:numPr>
          <w:ilvl w:val="0"/>
          <w:numId w:val="19"/>
        </w:numPr>
        <w:tabs>
          <w:tab w:val="left" w:pos="1162"/>
        </w:tabs>
        <w:spacing w:before="80" w:after="0"/>
        <w:ind w:left="714" w:hanging="357"/>
        <w:rPr>
          <w:rFonts w:cs="Arial"/>
          <w:szCs w:val="20"/>
        </w:rPr>
      </w:pPr>
      <w:r w:rsidRPr="00E33EAE">
        <w:rPr>
          <w:rFonts w:cs="Arial"/>
          <w:szCs w:val="20"/>
        </w:rPr>
        <w:t>Set to 1 (i.e. no adjustment) if the adjustment was less than 0.05 either side of 1.</w:t>
      </w:r>
    </w:p>
    <w:p w:rsidR="00460371" w:rsidRPr="00DF77B4" w:rsidRDefault="00460371" w:rsidP="00AD4FFC">
      <w:pPr>
        <w:tabs>
          <w:tab w:val="left" w:pos="1162"/>
        </w:tabs>
        <w:spacing w:before="240" w:after="0"/>
        <w:rPr>
          <w:rFonts w:cs="Arial"/>
          <w:szCs w:val="20"/>
        </w:rPr>
      </w:pPr>
      <w:r w:rsidRPr="00E33EAE">
        <w:rPr>
          <w:rFonts w:cs="Arial"/>
          <w:szCs w:val="20"/>
        </w:rPr>
        <w:t>Further to this,</w:t>
      </w:r>
      <w:r w:rsidR="00881D94">
        <w:rPr>
          <w:rFonts w:cs="Arial"/>
          <w:szCs w:val="20"/>
        </w:rPr>
        <w:t xml:space="preserve"> for AR-DRGs which remained unchanged from v7 to v8,</w:t>
      </w:r>
      <w:r w:rsidRPr="00E33EAE">
        <w:rPr>
          <w:rFonts w:cs="Arial"/>
          <w:szCs w:val="20"/>
        </w:rPr>
        <w:t xml:space="preserve"> the paediatric adjustment is compared against that of the </w:t>
      </w:r>
      <w:r w:rsidR="00881D94">
        <w:rPr>
          <w:rFonts w:cs="Arial"/>
          <w:szCs w:val="20"/>
        </w:rPr>
        <w:t>2012-13</w:t>
      </w:r>
      <w:r w:rsidRPr="00E33EAE">
        <w:rPr>
          <w:rFonts w:cs="Arial"/>
          <w:szCs w:val="20"/>
        </w:rPr>
        <w:t xml:space="preserve"> cost model and changes are stabilised for AR</w:t>
      </w:r>
      <w:r w:rsidRPr="00E33EAE">
        <w:rPr>
          <w:rFonts w:cs="Arial"/>
          <w:szCs w:val="20"/>
        </w:rPr>
        <w:noBreakHyphen/>
        <w:t>DRGs where either of the cost data samples (paediatric or non-paediatric) contain fewer than 500 observations. This stabilisation involves taking the average adjustment across the two years.</w:t>
      </w:r>
    </w:p>
    <w:p w:rsidR="00460371" w:rsidRDefault="00460371" w:rsidP="00AD4FFC">
      <w:pPr>
        <w:tabs>
          <w:tab w:val="left" w:pos="1162"/>
        </w:tabs>
        <w:spacing w:before="180" w:after="0"/>
        <w:rPr>
          <w:rFonts w:cs="Arial"/>
          <w:szCs w:val="20"/>
        </w:rPr>
      </w:pPr>
      <w:r w:rsidRPr="00DF77B4">
        <w:rPr>
          <w:rFonts w:cs="Arial"/>
          <w:szCs w:val="20"/>
        </w:rPr>
        <w:t>The cost parameters of each AR-DRG are then calibrated to ensure that the modelled</w:t>
      </w:r>
      <w:r>
        <w:rPr>
          <w:rFonts w:cs="Arial"/>
          <w:szCs w:val="20"/>
        </w:rPr>
        <w:t xml:space="preserve"> costs, with paediatric adjustment applied, are equal to the actual costs of the AR-DRG. </w:t>
      </w:r>
    </w:p>
    <w:p w:rsidR="00460371" w:rsidRPr="00901D61" w:rsidRDefault="00460371" w:rsidP="00F30AC0">
      <w:pPr>
        <w:pStyle w:val="Headingnonumber"/>
      </w:pPr>
      <w:r>
        <w:t>Specialist psychiatric age adjustment</w:t>
      </w:r>
    </w:p>
    <w:p w:rsidR="00460371" w:rsidRDefault="00460371" w:rsidP="00AD4FFC">
      <w:pPr>
        <w:tabs>
          <w:tab w:val="left" w:pos="1162"/>
        </w:tabs>
        <w:spacing w:after="0"/>
        <w:rPr>
          <w:rFonts w:cs="Arial"/>
          <w:szCs w:val="20"/>
        </w:rPr>
      </w:pPr>
      <w:r>
        <w:rPr>
          <w:rFonts w:cs="Arial"/>
          <w:szCs w:val="20"/>
        </w:rPr>
        <w:t xml:space="preserve">See Section </w:t>
      </w:r>
      <w:r>
        <w:rPr>
          <w:rFonts w:cs="Arial"/>
          <w:szCs w:val="20"/>
        </w:rPr>
        <w:fldChar w:fldCharType="begin"/>
      </w:r>
      <w:r>
        <w:rPr>
          <w:rFonts w:cs="Arial"/>
          <w:szCs w:val="20"/>
        </w:rPr>
        <w:instrText xml:space="preserve"> REF _Ref342306421 \r \h </w:instrText>
      </w:r>
      <w:r w:rsidR="00AD4FFC">
        <w:rPr>
          <w:rFonts w:cs="Arial"/>
          <w:szCs w:val="20"/>
        </w:rPr>
        <w:instrText xml:space="preserve"> \* MERGEFORMAT </w:instrText>
      </w:r>
      <w:r>
        <w:rPr>
          <w:rFonts w:cs="Arial"/>
          <w:szCs w:val="20"/>
        </w:rPr>
      </w:r>
      <w:r>
        <w:rPr>
          <w:rFonts w:cs="Arial"/>
          <w:szCs w:val="20"/>
        </w:rPr>
        <w:fldChar w:fldCharType="separate"/>
      </w:r>
      <w:r w:rsidR="0027530C">
        <w:rPr>
          <w:rFonts w:cs="Arial"/>
          <w:szCs w:val="20"/>
        </w:rPr>
        <w:t>3</w:t>
      </w:r>
      <w:r>
        <w:rPr>
          <w:rFonts w:cs="Arial"/>
          <w:szCs w:val="20"/>
        </w:rPr>
        <w:fldChar w:fldCharType="end"/>
      </w:r>
      <w:r>
        <w:rPr>
          <w:rFonts w:cs="Arial"/>
          <w:szCs w:val="20"/>
        </w:rPr>
        <w:t>.</w:t>
      </w:r>
    </w:p>
    <w:p w:rsidR="00460371" w:rsidRPr="00901D61" w:rsidRDefault="00DF77B4" w:rsidP="00F30AC0">
      <w:pPr>
        <w:pStyle w:val="Headingnonumber"/>
      </w:pPr>
      <w:r>
        <w:t>Indigenous</w:t>
      </w:r>
      <w:r w:rsidR="00460371" w:rsidRPr="00901D61">
        <w:t xml:space="preserve"> </w:t>
      </w:r>
      <w:r w:rsidR="00460371">
        <w:t>a</w:t>
      </w:r>
      <w:r w:rsidR="00460371" w:rsidRPr="00901D61">
        <w:t xml:space="preserve">djustment and </w:t>
      </w:r>
      <w:r w:rsidR="00460371">
        <w:t>remoteness</w:t>
      </w:r>
      <w:r w:rsidR="00460371" w:rsidRPr="00901D61">
        <w:t xml:space="preserve"> </w:t>
      </w:r>
      <w:r w:rsidR="00460371">
        <w:t>a</w:t>
      </w:r>
      <w:r w:rsidR="00460371" w:rsidRPr="00901D61">
        <w:t>djustment</w:t>
      </w:r>
    </w:p>
    <w:p w:rsidR="00FF4DCF" w:rsidRPr="00FF4DCF" w:rsidRDefault="00FF4DCF" w:rsidP="00AD4FFC">
      <w:pPr>
        <w:tabs>
          <w:tab w:val="left" w:pos="1162"/>
        </w:tabs>
        <w:rPr>
          <w:rFonts w:cs="Arial"/>
          <w:szCs w:val="20"/>
        </w:rPr>
      </w:pPr>
      <w:r w:rsidRPr="00FF4DCF">
        <w:rPr>
          <w:rFonts w:cs="Arial"/>
          <w:szCs w:val="20"/>
        </w:rPr>
        <w:t>These adjustments are derived in the same way as in the 2009-10, 2010-11</w:t>
      </w:r>
      <w:r w:rsidR="00C046DC">
        <w:rPr>
          <w:rFonts w:cs="Arial"/>
          <w:szCs w:val="20"/>
        </w:rPr>
        <w:t>,</w:t>
      </w:r>
      <w:r w:rsidRPr="00FF4DCF">
        <w:rPr>
          <w:rFonts w:cs="Arial"/>
          <w:szCs w:val="20"/>
        </w:rPr>
        <w:t xml:space="preserve"> 2011-12</w:t>
      </w:r>
      <w:r w:rsidR="00C046DC">
        <w:rPr>
          <w:rFonts w:cs="Arial"/>
          <w:szCs w:val="20"/>
        </w:rPr>
        <w:t xml:space="preserve"> and 2012-13</w:t>
      </w:r>
      <w:r w:rsidRPr="00FF4DCF">
        <w:rPr>
          <w:rFonts w:cs="Arial"/>
          <w:szCs w:val="20"/>
        </w:rPr>
        <w:t xml:space="preserve"> cost models:</w:t>
      </w:r>
    </w:p>
    <w:p w:rsidR="00460371" w:rsidRPr="00901D61" w:rsidRDefault="00460371" w:rsidP="00C245E0">
      <w:pPr>
        <w:pStyle w:val="ListParagraph"/>
        <w:numPr>
          <w:ilvl w:val="0"/>
          <w:numId w:val="50"/>
        </w:numPr>
        <w:tabs>
          <w:tab w:val="left" w:pos="1162"/>
        </w:tabs>
        <w:spacing w:before="80" w:after="0"/>
        <w:ind w:left="714" w:hanging="357"/>
        <w:rPr>
          <w:rFonts w:cs="Arial"/>
          <w:szCs w:val="20"/>
        </w:rPr>
      </w:pPr>
      <w:r w:rsidRPr="00901D61">
        <w:rPr>
          <w:rFonts w:cs="Arial"/>
          <w:szCs w:val="20"/>
        </w:rPr>
        <w:t>A multivariate least squares weighted regression mo</w:t>
      </w:r>
      <w:r>
        <w:rPr>
          <w:rFonts w:cs="Arial"/>
          <w:szCs w:val="20"/>
        </w:rPr>
        <w:t xml:space="preserve">del is used to estimate the extent to which </w:t>
      </w:r>
      <w:r w:rsidR="00DF77B4">
        <w:rPr>
          <w:rFonts w:cs="Arial"/>
          <w:szCs w:val="20"/>
        </w:rPr>
        <w:t>Indigenous</w:t>
      </w:r>
      <w:r w:rsidRPr="00901D61">
        <w:rPr>
          <w:rFonts w:cs="Arial"/>
          <w:szCs w:val="20"/>
        </w:rPr>
        <w:t xml:space="preserve"> status </w:t>
      </w:r>
      <w:r>
        <w:rPr>
          <w:rFonts w:cs="Arial"/>
          <w:szCs w:val="20"/>
        </w:rPr>
        <w:t xml:space="preserve">and remoteness of a patient’s usual residence </w:t>
      </w:r>
      <w:r w:rsidRPr="00901D61">
        <w:rPr>
          <w:rFonts w:cs="Arial"/>
          <w:szCs w:val="20"/>
        </w:rPr>
        <w:t>explain</w:t>
      </w:r>
      <w:r>
        <w:rPr>
          <w:rFonts w:cs="Arial"/>
          <w:szCs w:val="20"/>
        </w:rPr>
        <w:t>s the</w:t>
      </w:r>
      <w:r w:rsidRPr="00901D61">
        <w:rPr>
          <w:rFonts w:cs="Arial"/>
          <w:szCs w:val="20"/>
        </w:rPr>
        <w:t xml:space="preserve"> variation in the </w:t>
      </w:r>
      <w:r>
        <w:rPr>
          <w:rFonts w:cs="Arial"/>
          <w:szCs w:val="20"/>
        </w:rPr>
        <w:t xml:space="preserve">mean </w:t>
      </w:r>
      <w:r w:rsidRPr="00901D61">
        <w:rPr>
          <w:rFonts w:cs="Arial"/>
          <w:szCs w:val="20"/>
        </w:rPr>
        <w:t>cost per weighted episode</w:t>
      </w:r>
      <w:r>
        <w:rPr>
          <w:rFonts w:cs="Arial"/>
          <w:szCs w:val="20"/>
        </w:rPr>
        <w:t>. Episodes are weighted to control the level to which the model already explains costs (i.e. through the AR</w:t>
      </w:r>
      <w:r w:rsidR="00253913">
        <w:rPr>
          <w:rFonts w:cs="Arial"/>
          <w:szCs w:val="20"/>
        </w:rPr>
        <w:noBreakHyphen/>
      </w:r>
      <w:r>
        <w:rPr>
          <w:rFonts w:cs="Arial"/>
          <w:szCs w:val="20"/>
        </w:rPr>
        <w:t xml:space="preserve">DRG inlier/outlier model together with the paediatric and specialist psychiatric age adjustments). </w:t>
      </w:r>
      <w:r w:rsidRPr="00901D61">
        <w:rPr>
          <w:rFonts w:cs="Arial"/>
          <w:szCs w:val="20"/>
        </w:rPr>
        <w:t xml:space="preserve">The </w:t>
      </w:r>
      <w:r>
        <w:rPr>
          <w:rFonts w:cs="Arial"/>
          <w:szCs w:val="20"/>
        </w:rPr>
        <w:t xml:space="preserve">coefficients </w:t>
      </w:r>
      <w:r w:rsidRPr="00901D61">
        <w:rPr>
          <w:rFonts w:cs="Arial"/>
          <w:szCs w:val="20"/>
        </w:rPr>
        <w:t xml:space="preserve">estimated from this model indicate the extent to which </w:t>
      </w:r>
      <w:r w:rsidR="00DF77B4">
        <w:rPr>
          <w:rFonts w:cs="Arial"/>
          <w:szCs w:val="20"/>
        </w:rPr>
        <w:t>Indigenous</w:t>
      </w:r>
      <w:r>
        <w:rPr>
          <w:rFonts w:cs="Arial"/>
          <w:szCs w:val="20"/>
        </w:rPr>
        <w:t xml:space="preserve"> status and remoteness of a patient’s usual residence</w:t>
      </w:r>
      <w:r w:rsidRPr="00901D61">
        <w:rPr>
          <w:rFonts w:cs="Arial"/>
          <w:szCs w:val="20"/>
        </w:rPr>
        <w:t xml:space="preserve"> explain</w:t>
      </w:r>
      <w:r>
        <w:rPr>
          <w:rFonts w:cs="Arial"/>
          <w:szCs w:val="20"/>
        </w:rPr>
        <w:t>s</w:t>
      </w:r>
      <w:r w:rsidRPr="00901D61">
        <w:rPr>
          <w:rFonts w:cs="Arial"/>
          <w:szCs w:val="20"/>
        </w:rPr>
        <w:t xml:space="preserve"> </w:t>
      </w:r>
      <w:r>
        <w:rPr>
          <w:rFonts w:cs="Arial"/>
          <w:szCs w:val="20"/>
        </w:rPr>
        <w:t xml:space="preserve">residual </w:t>
      </w:r>
      <w:r w:rsidRPr="00901D61">
        <w:rPr>
          <w:rFonts w:cs="Arial"/>
          <w:szCs w:val="20"/>
        </w:rPr>
        <w:t>variation in cost</w:t>
      </w:r>
      <w:r>
        <w:rPr>
          <w:rFonts w:cs="Arial"/>
          <w:szCs w:val="20"/>
        </w:rPr>
        <w:t xml:space="preserve">s. </w:t>
      </w:r>
    </w:p>
    <w:p w:rsidR="00460371" w:rsidRPr="00901D61" w:rsidRDefault="00460371" w:rsidP="00C245E0">
      <w:pPr>
        <w:pStyle w:val="ListParagraph"/>
        <w:numPr>
          <w:ilvl w:val="0"/>
          <w:numId w:val="50"/>
        </w:numPr>
        <w:tabs>
          <w:tab w:val="left" w:pos="1162"/>
        </w:tabs>
        <w:spacing w:before="80" w:after="0"/>
        <w:ind w:left="714" w:hanging="357"/>
        <w:rPr>
          <w:rFonts w:cs="Arial"/>
          <w:szCs w:val="20"/>
        </w:rPr>
      </w:pPr>
      <w:r w:rsidRPr="00901D61">
        <w:rPr>
          <w:rFonts w:cs="Arial"/>
          <w:szCs w:val="20"/>
        </w:rPr>
        <w:t>The anal</w:t>
      </w:r>
      <w:r>
        <w:rPr>
          <w:rFonts w:cs="Arial"/>
          <w:szCs w:val="20"/>
        </w:rPr>
        <w:t xml:space="preserve">ysis yields an adjustment for </w:t>
      </w:r>
      <w:r w:rsidR="00DF77B4">
        <w:rPr>
          <w:rFonts w:cs="Arial"/>
          <w:szCs w:val="20"/>
        </w:rPr>
        <w:t>Indigenous</w:t>
      </w:r>
      <w:r w:rsidRPr="00901D61">
        <w:rPr>
          <w:rFonts w:cs="Arial"/>
          <w:szCs w:val="20"/>
        </w:rPr>
        <w:t xml:space="preserve"> patients and three adjustments for patients resid</w:t>
      </w:r>
      <w:r>
        <w:rPr>
          <w:rFonts w:cs="Arial"/>
          <w:szCs w:val="20"/>
        </w:rPr>
        <w:t>ing</w:t>
      </w:r>
      <w:r w:rsidRPr="00901D61">
        <w:rPr>
          <w:rFonts w:cs="Arial"/>
          <w:szCs w:val="20"/>
        </w:rPr>
        <w:t xml:space="preserve"> in outer regional, remote and very remote areas</w:t>
      </w:r>
      <w:r>
        <w:rPr>
          <w:rFonts w:cs="Arial"/>
          <w:szCs w:val="20"/>
        </w:rPr>
        <w:t>.</w:t>
      </w:r>
    </w:p>
    <w:p w:rsidR="00460371" w:rsidRPr="00063E42" w:rsidRDefault="00460371" w:rsidP="00C245E0">
      <w:pPr>
        <w:pStyle w:val="ListParagraph"/>
        <w:numPr>
          <w:ilvl w:val="0"/>
          <w:numId w:val="50"/>
        </w:numPr>
        <w:tabs>
          <w:tab w:val="left" w:pos="1162"/>
        </w:tabs>
        <w:spacing w:before="80" w:after="0"/>
        <w:ind w:left="714" w:hanging="357"/>
        <w:rPr>
          <w:rFonts w:cs="Arial"/>
          <w:szCs w:val="20"/>
        </w:rPr>
      </w:pPr>
      <w:r w:rsidRPr="00901D61">
        <w:rPr>
          <w:rFonts w:cs="Arial"/>
          <w:szCs w:val="20"/>
        </w:rPr>
        <w:t>The adjustments are additive where more than one adjustment applies</w:t>
      </w:r>
      <w:r w:rsidR="00FF4DCF">
        <w:rPr>
          <w:rFonts w:cs="Arial"/>
          <w:szCs w:val="20"/>
        </w:rPr>
        <w:t xml:space="preserve">, </w:t>
      </w:r>
      <w:r>
        <w:rPr>
          <w:rFonts w:cs="Arial"/>
          <w:szCs w:val="20"/>
        </w:rPr>
        <w:t xml:space="preserve">for example, where </w:t>
      </w:r>
      <w:r w:rsidRPr="00901D61">
        <w:rPr>
          <w:rFonts w:cs="Arial"/>
          <w:szCs w:val="20"/>
        </w:rPr>
        <w:t xml:space="preserve">an </w:t>
      </w:r>
      <w:r w:rsidR="00DF77B4">
        <w:rPr>
          <w:rFonts w:cs="Arial"/>
          <w:szCs w:val="20"/>
        </w:rPr>
        <w:t>Indigenous</w:t>
      </w:r>
      <w:r w:rsidRPr="00901D61">
        <w:rPr>
          <w:rFonts w:cs="Arial"/>
          <w:szCs w:val="20"/>
        </w:rPr>
        <w:t xml:space="preserve"> patient resid</w:t>
      </w:r>
      <w:r>
        <w:rPr>
          <w:rFonts w:cs="Arial"/>
          <w:szCs w:val="20"/>
        </w:rPr>
        <w:t>es</w:t>
      </w:r>
      <w:r w:rsidRPr="00901D61">
        <w:rPr>
          <w:rFonts w:cs="Arial"/>
          <w:szCs w:val="20"/>
        </w:rPr>
        <w:t xml:space="preserve"> in </w:t>
      </w:r>
      <w:r>
        <w:rPr>
          <w:rFonts w:cs="Arial"/>
          <w:szCs w:val="20"/>
        </w:rPr>
        <w:t xml:space="preserve">a </w:t>
      </w:r>
      <w:r w:rsidRPr="00901D61">
        <w:rPr>
          <w:rFonts w:cs="Arial"/>
          <w:szCs w:val="20"/>
        </w:rPr>
        <w:t>remote area</w:t>
      </w:r>
      <w:r>
        <w:rPr>
          <w:rFonts w:cs="Arial"/>
          <w:szCs w:val="20"/>
        </w:rPr>
        <w:t xml:space="preserve">, an adjustment equal to the addition of the </w:t>
      </w:r>
      <w:r w:rsidR="00DF77B4">
        <w:rPr>
          <w:rFonts w:cs="Arial"/>
          <w:szCs w:val="20"/>
        </w:rPr>
        <w:t>Indigenous</w:t>
      </w:r>
      <w:r>
        <w:rPr>
          <w:rFonts w:cs="Arial"/>
          <w:szCs w:val="20"/>
        </w:rPr>
        <w:t xml:space="preserve"> and </w:t>
      </w:r>
      <w:r w:rsidRPr="00901D61">
        <w:rPr>
          <w:rFonts w:cs="Arial"/>
          <w:szCs w:val="20"/>
        </w:rPr>
        <w:t>remote</w:t>
      </w:r>
      <w:r>
        <w:rPr>
          <w:rFonts w:cs="Arial"/>
          <w:szCs w:val="20"/>
        </w:rPr>
        <w:t>ness</w:t>
      </w:r>
      <w:r w:rsidRPr="00901D61">
        <w:rPr>
          <w:rFonts w:cs="Arial"/>
          <w:szCs w:val="20"/>
        </w:rPr>
        <w:t xml:space="preserve"> adjustment</w:t>
      </w:r>
      <w:r>
        <w:rPr>
          <w:rFonts w:cs="Arial"/>
          <w:szCs w:val="20"/>
        </w:rPr>
        <w:t>s is applicable</w:t>
      </w:r>
      <w:r w:rsidRPr="00901D61">
        <w:rPr>
          <w:rFonts w:cs="Arial"/>
          <w:szCs w:val="20"/>
        </w:rPr>
        <w:t>.</w:t>
      </w:r>
    </w:p>
    <w:p w:rsidR="00460371" w:rsidRPr="00901D61" w:rsidRDefault="00460371" w:rsidP="00F30AC0">
      <w:pPr>
        <w:pStyle w:val="Headingnonumber"/>
      </w:pPr>
      <w:r>
        <w:t>Radiotherapy</w:t>
      </w:r>
      <w:r w:rsidRPr="00901D61">
        <w:t xml:space="preserve"> </w:t>
      </w:r>
      <w:r w:rsidR="001E61C3">
        <w:t xml:space="preserve">and dialysis </w:t>
      </w:r>
      <w:r>
        <w:t>a</w:t>
      </w:r>
      <w:r w:rsidRPr="00901D61">
        <w:t>djustment</w:t>
      </w:r>
    </w:p>
    <w:p w:rsidR="00460371" w:rsidRPr="00B3571F" w:rsidRDefault="00460371" w:rsidP="00AD4FFC">
      <w:pPr>
        <w:tabs>
          <w:tab w:val="left" w:pos="1162"/>
        </w:tabs>
        <w:rPr>
          <w:rFonts w:cs="Arial"/>
          <w:szCs w:val="20"/>
        </w:rPr>
      </w:pPr>
      <w:r w:rsidRPr="00901D61">
        <w:rPr>
          <w:rFonts w:cs="Arial"/>
          <w:szCs w:val="20"/>
        </w:rPr>
        <w:t>Th</w:t>
      </w:r>
      <w:r w:rsidR="001E61C3">
        <w:rPr>
          <w:rFonts w:cs="Arial"/>
          <w:szCs w:val="20"/>
        </w:rPr>
        <w:t>e</w:t>
      </w:r>
      <w:r w:rsidRPr="00901D61">
        <w:rPr>
          <w:rFonts w:cs="Arial"/>
          <w:szCs w:val="20"/>
        </w:rPr>
        <w:t xml:space="preserve"> </w:t>
      </w:r>
      <w:r w:rsidR="001E61C3">
        <w:rPr>
          <w:rFonts w:cs="Arial"/>
          <w:szCs w:val="20"/>
        </w:rPr>
        <w:t xml:space="preserve">dialysis </w:t>
      </w:r>
      <w:r>
        <w:rPr>
          <w:rFonts w:cs="Arial"/>
          <w:szCs w:val="20"/>
        </w:rPr>
        <w:t xml:space="preserve">adjustment is </w:t>
      </w:r>
      <w:r w:rsidR="00B9443A">
        <w:rPr>
          <w:rFonts w:cs="Arial"/>
          <w:szCs w:val="20"/>
        </w:rPr>
        <w:t>derived in the same was as in the 2012-13 cost model and at</w:t>
      </w:r>
      <w:r>
        <w:rPr>
          <w:rFonts w:cs="Arial"/>
          <w:szCs w:val="20"/>
        </w:rPr>
        <w:t xml:space="preserve"> the same time as the </w:t>
      </w:r>
      <w:r w:rsidR="00DF77B4">
        <w:rPr>
          <w:rFonts w:cs="Arial"/>
          <w:szCs w:val="20"/>
        </w:rPr>
        <w:t>Indigenous</w:t>
      </w:r>
      <w:r>
        <w:rPr>
          <w:rFonts w:cs="Arial"/>
          <w:szCs w:val="20"/>
        </w:rPr>
        <w:t xml:space="preserve"> and remoteness adjustments. T</w:t>
      </w:r>
      <w:r w:rsidR="001E61C3">
        <w:rPr>
          <w:rFonts w:cs="Arial"/>
          <w:szCs w:val="20"/>
        </w:rPr>
        <w:t>ogether with the radiotherapy adjustment, t</w:t>
      </w:r>
      <w:r>
        <w:rPr>
          <w:rFonts w:cs="Arial"/>
          <w:szCs w:val="20"/>
        </w:rPr>
        <w:t>he adjustment</w:t>
      </w:r>
      <w:r w:rsidR="001E61C3">
        <w:rPr>
          <w:rFonts w:cs="Arial"/>
          <w:szCs w:val="20"/>
        </w:rPr>
        <w:t>s</w:t>
      </w:r>
      <w:r>
        <w:rPr>
          <w:rFonts w:cs="Arial"/>
          <w:szCs w:val="20"/>
        </w:rPr>
        <w:t xml:space="preserve"> compensate for the extra costs of </w:t>
      </w:r>
      <w:r w:rsidR="00701984">
        <w:rPr>
          <w:rFonts w:cs="Arial"/>
          <w:szCs w:val="20"/>
        </w:rPr>
        <w:t xml:space="preserve">dialysis-related </w:t>
      </w:r>
      <w:r w:rsidR="001E61C3">
        <w:rPr>
          <w:rFonts w:cs="Arial"/>
          <w:szCs w:val="20"/>
        </w:rPr>
        <w:t xml:space="preserve">and </w:t>
      </w:r>
      <w:r w:rsidR="00701984">
        <w:rPr>
          <w:rFonts w:cs="Arial"/>
          <w:szCs w:val="20"/>
        </w:rPr>
        <w:t xml:space="preserve">radiotherapy-related </w:t>
      </w:r>
      <w:r w:rsidR="001E61C3">
        <w:rPr>
          <w:rFonts w:cs="Arial"/>
          <w:szCs w:val="20"/>
        </w:rPr>
        <w:t>procedures</w:t>
      </w:r>
      <w:r w:rsidR="00701984">
        <w:rPr>
          <w:rFonts w:cs="Arial"/>
          <w:szCs w:val="20"/>
        </w:rPr>
        <w:t>,</w:t>
      </w:r>
      <w:r w:rsidR="001E61C3">
        <w:rPr>
          <w:rFonts w:cs="Arial"/>
          <w:szCs w:val="20"/>
        </w:rPr>
        <w:t xml:space="preserve"> </w:t>
      </w:r>
      <w:r>
        <w:rPr>
          <w:rFonts w:cs="Arial"/>
          <w:szCs w:val="20"/>
        </w:rPr>
        <w:t xml:space="preserve">as specified in </w:t>
      </w:r>
      <w:r w:rsidR="008E24B0">
        <w:rPr>
          <w:rFonts w:cs="Arial"/>
          <w:szCs w:val="20"/>
        </w:rPr>
        <w:t>Appendices</w:t>
      </w:r>
      <w:r>
        <w:rPr>
          <w:rFonts w:cs="Arial"/>
          <w:szCs w:val="20"/>
        </w:rPr>
        <w:t xml:space="preserve"> </w:t>
      </w:r>
      <w:r w:rsidRPr="00701984">
        <w:rPr>
          <w:rFonts w:cs="Arial"/>
          <w:szCs w:val="20"/>
        </w:rPr>
        <w:t>B</w:t>
      </w:r>
      <w:r>
        <w:rPr>
          <w:rFonts w:cs="Arial"/>
          <w:szCs w:val="20"/>
        </w:rPr>
        <w:t xml:space="preserve"> </w:t>
      </w:r>
      <w:r w:rsidR="00770EA2">
        <w:rPr>
          <w:rFonts w:cs="Arial"/>
          <w:szCs w:val="20"/>
        </w:rPr>
        <w:t xml:space="preserve">and C </w:t>
      </w:r>
      <w:r>
        <w:rPr>
          <w:rFonts w:cs="Arial"/>
          <w:szCs w:val="20"/>
        </w:rPr>
        <w:t xml:space="preserve">of the </w:t>
      </w:r>
      <w:r w:rsidR="00C046DC" w:rsidRPr="00B3571F">
        <w:rPr>
          <w:rFonts w:cs="Arial"/>
          <w:szCs w:val="20"/>
        </w:rPr>
        <w:t>NEP</w:t>
      </w:r>
      <w:r w:rsidR="00C046DC">
        <w:rPr>
          <w:rFonts w:cs="Arial"/>
          <w:szCs w:val="20"/>
        </w:rPr>
        <w:t>16</w:t>
      </w:r>
      <w:r w:rsidR="00C046DC" w:rsidRPr="00B3571F">
        <w:rPr>
          <w:rFonts w:cs="Arial"/>
          <w:szCs w:val="20"/>
        </w:rPr>
        <w:t xml:space="preserve"> </w:t>
      </w:r>
      <w:r w:rsidRPr="00B3571F">
        <w:rPr>
          <w:rFonts w:cs="Arial"/>
          <w:szCs w:val="20"/>
        </w:rPr>
        <w:t>Determination</w:t>
      </w:r>
      <w:r w:rsidR="008E0156" w:rsidRPr="00B3571F">
        <w:rPr>
          <w:rFonts w:cs="Arial"/>
          <w:szCs w:val="20"/>
        </w:rPr>
        <w:t>.</w:t>
      </w:r>
    </w:p>
    <w:p w:rsidR="008B4D5E" w:rsidRPr="00901D61" w:rsidRDefault="008B4D5E" w:rsidP="00AD4FFC">
      <w:pPr>
        <w:tabs>
          <w:tab w:val="left" w:pos="1162"/>
        </w:tabs>
        <w:rPr>
          <w:rFonts w:cs="Arial"/>
          <w:szCs w:val="20"/>
        </w:rPr>
      </w:pPr>
      <w:r>
        <w:rPr>
          <w:rFonts w:cs="Arial"/>
          <w:szCs w:val="20"/>
        </w:rPr>
        <w:t>These two adj</w:t>
      </w:r>
      <w:r w:rsidR="00B608FC">
        <w:rPr>
          <w:rFonts w:cs="Arial"/>
          <w:szCs w:val="20"/>
        </w:rPr>
        <w:t xml:space="preserve">ustments are additive with the </w:t>
      </w:r>
      <w:r w:rsidR="00DF77B4">
        <w:rPr>
          <w:rFonts w:cs="Arial"/>
          <w:szCs w:val="20"/>
        </w:rPr>
        <w:t>Indigenous</w:t>
      </w:r>
      <w:r>
        <w:rPr>
          <w:rFonts w:cs="Arial"/>
          <w:szCs w:val="20"/>
        </w:rPr>
        <w:t xml:space="preserve"> and remoteness adjustments.</w:t>
      </w:r>
    </w:p>
    <w:p w:rsidR="00B32A11" w:rsidRDefault="00B32A11" w:rsidP="00AD4FFC">
      <w:pPr>
        <w:tabs>
          <w:tab w:val="left" w:pos="1162"/>
        </w:tabs>
        <w:rPr>
          <w:rFonts w:cs="Arial"/>
          <w:szCs w:val="20"/>
        </w:rPr>
      </w:pPr>
      <w:r>
        <w:rPr>
          <w:rFonts w:cs="Arial"/>
          <w:szCs w:val="20"/>
        </w:rPr>
        <w:t xml:space="preserve">AR-DRG cost parameters are then uniformly calibrated to ensure cost neutrality of the model (including </w:t>
      </w:r>
      <w:r w:rsidR="00DF77B4">
        <w:rPr>
          <w:rFonts w:cs="Arial"/>
          <w:szCs w:val="20"/>
        </w:rPr>
        <w:t>Indigenous</w:t>
      </w:r>
      <w:r>
        <w:rPr>
          <w:rFonts w:cs="Arial"/>
          <w:szCs w:val="20"/>
        </w:rPr>
        <w:t>, remoteness, radiotherapy and dialysis adjustments) against actual costs.</w:t>
      </w:r>
    </w:p>
    <w:p w:rsidR="00881D94" w:rsidRDefault="00881D94" w:rsidP="00E33EAE">
      <w:pPr>
        <w:pStyle w:val="Heading3"/>
        <w:keepLines w:val="0"/>
        <w:numPr>
          <w:ilvl w:val="2"/>
          <w:numId w:val="35"/>
        </w:numPr>
        <w:tabs>
          <w:tab w:val="left" w:pos="1162"/>
        </w:tabs>
        <w:spacing w:before="240" w:after="120"/>
      </w:pPr>
      <w:bookmarkStart w:id="126" w:name="_Toc444528583"/>
      <w:r w:rsidRPr="00DF77B4">
        <w:t>Posthumous organ donation activity</w:t>
      </w:r>
      <w:bookmarkEnd w:id="126"/>
    </w:p>
    <w:p w:rsidR="008E24B0" w:rsidRDefault="008E24B0" w:rsidP="00E33EAE">
      <w:pPr>
        <w:tabs>
          <w:tab w:val="left" w:pos="1162"/>
        </w:tabs>
        <w:rPr>
          <w:rFonts w:cs="Arial"/>
          <w:szCs w:val="20"/>
        </w:rPr>
      </w:pPr>
      <w:r>
        <w:rPr>
          <w:rFonts w:cs="Arial"/>
          <w:szCs w:val="20"/>
        </w:rPr>
        <w:t>Posthumous organ donation activity is accounted for in the NEP for the first time in NEP16. This follows advice from the Organ and Tissue Authority (OTA) that funding provided from the OTA to jurisdictions contributes towards the costs of preparing a patient for organ donation, but not for all costs incurred thereafter. This advice from the OTA means that some</w:t>
      </w:r>
      <w:r w:rsidR="00E85B8C">
        <w:rPr>
          <w:rFonts w:cs="Arial"/>
          <w:szCs w:val="20"/>
        </w:rPr>
        <w:t xml:space="preserve"> of the costs of posthumous organ donation are not funded by the Commonwealth, and this should be </w:t>
      </w:r>
      <w:r w:rsidR="00347801">
        <w:rPr>
          <w:rFonts w:cs="Arial"/>
          <w:szCs w:val="20"/>
        </w:rPr>
        <w:t>in-scope</w:t>
      </w:r>
      <w:r w:rsidR="00E85B8C">
        <w:rPr>
          <w:rFonts w:cs="Arial"/>
          <w:szCs w:val="20"/>
        </w:rPr>
        <w:t xml:space="preserve"> for pricing by IHPA under the NHRA.</w:t>
      </w:r>
    </w:p>
    <w:p w:rsidR="00881D94" w:rsidRDefault="004E7D84" w:rsidP="00E33EAE">
      <w:pPr>
        <w:tabs>
          <w:tab w:val="left" w:pos="1162"/>
        </w:tabs>
        <w:rPr>
          <w:rFonts w:cs="Arial"/>
          <w:szCs w:val="20"/>
        </w:rPr>
      </w:pPr>
      <w:r>
        <w:rPr>
          <w:rFonts w:cs="Arial"/>
          <w:szCs w:val="20"/>
        </w:rPr>
        <w:t xml:space="preserve">IHPA takes the </w:t>
      </w:r>
      <w:r w:rsidR="00881D94" w:rsidRPr="00771DEF">
        <w:rPr>
          <w:rFonts w:cs="Arial"/>
          <w:szCs w:val="20"/>
        </w:rPr>
        <w:t>cost</w:t>
      </w:r>
      <w:r>
        <w:rPr>
          <w:rFonts w:cs="Arial"/>
          <w:szCs w:val="20"/>
        </w:rPr>
        <w:t>s</w:t>
      </w:r>
      <w:r w:rsidR="00881D94" w:rsidRPr="00771DEF">
        <w:rPr>
          <w:rFonts w:cs="Arial"/>
          <w:szCs w:val="20"/>
        </w:rPr>
        <w:t xml:space="preserve"> reported against donors</w:t>
      </w:r>
      <w:r>
        <w:rPr>
          <w:rFonts w:cs="Arial"/>
          <w:szCs w:val="20"/>
        </w:rPr>
        <w:t xml:space="preserve"> in ‘care type 9’</w:t>
      </w:r>
      <w:r w:rsidR="00F120B9">
        <w:rPr>
          <w:rFonts w:cs="Arial"/>
          <w:szCs w:val="20"/>
        </w:rPr>
        <w:t xml:space="preserve"> </w:t>
      </w:r>
      <w:r>
        <w:rPr>
          <w:rFonts w:cs="Arial"/>
          <w:szCs w:val="20"/>
        </w:rPr>
        <w:t>and redistributes these costs to recipient transplant AR-DRGs in the admitted acute model</w:t>
      </w:r>
      <w:r w:rsidR="00881D94" w:rsidRPr="00771DEF">
        <w:rPr>
          <w:rFonts w:cs="Arial"/>
          <w:szCs w:val="20"/>
        </w:rPr>
        <w:t xml:space="preserve">. </w:t>
      </w:r>
      <w:r w:rsidR="00D52AF9">
        <w:rPr>
          <w:rFonts w:cs="Arial"/>
          <w:szCs w:val="20"/>
        </w:rPr>
        <w:t>T</w:t>
      </w:r>
      <w:r>
        <w:rPr>
          <w:rFonts w:cs="Arial"/>
          <w:szCs w:val="20"/>
        </w:rPr>
        <w:t>he total cost associated with</w:t>
      </w:r>
      <w:r w:rsidR="00881D94" w:rsidRPr="006A70EC">
        <w:rPr>
          <w:rFonts w:cs="Arial"/>
          <w:szCs w:val="20"/>
        </w:rPr>
        <w:t xml:space="preserve"> each organ procurement is accounted for by inflating </w:t>
      </w:r>
      <w:r w:rsidR="00881D94" w:rsidRPr="00044050">
        <w:rPr>
          <w:rFonts w:cs="Arial"/>
          <w:szCs w:val="20"/>
        </w:rPr>
        <w:t>the in-scope cost of patients in AR-DRGs which typicall</w:t>
      </w:r>
      <w:r w:rsidR="00881D94" w:rsidRPr="00771DEF">
        <w:rPr>
          <w:rFonts w:cs="Arial"/>
          <w:szCs w:val="20"/>
        </w:rPr>
        <w:t>y involve tra</w:t>
      </w:r>
      <w:r>
        <w:rPr>
          <w:rFonts w:cs="Arial"/>
          <w:szCs w:val="20"/>
        </w:rPr>
        <w:t>nsplants of the relevant organ.</w:t>
      </w:r>
    </w:p>
    <w:p w:rsidR="00F120B9" w:rsidRPr="00771DEF" w:rsidRDefault="00F120B9" w:rsidP="00E33EAE">
      <w:pPr>
        <w:tabs>
          <w:tab w:val="left" w:pos="1162"/>
        </w:tabs>
        <w:rPr>
          <w:rFonts w:cs="Arial"/>
          <w:szCs w:val="20"/>
        </w:rPr>
      </w:pPr>
      <w:r w:rsidRPr="00DF77B4">
        <w:rPr>
          <w:rFonts w:cs="Arial"/>
          <w:szCs w:val="20"/>
        </w:rPr>
        <w:t>Note that there is no mechanism to link donors with recipients, or of gauging</w:t>
      </w:r>
      <w:r w:rsidR="00EB0845">
        <w:rPr>
          <w:rFonts w:cs="Arial"/>
          <w:szCs w:val="20"/>
        </w:rPr>
        <w:t xml:space="preserve"> the</w:t>
      </w:r>
      <w:r w:rsidRPr="00DF77B4">
        <w:rPr>
          <w:rFonts w:cs="Arial"/>
          <w:szCs w:val="20"/>
        </w:rPr>
        <w:t xml:space="preserve"> success of procurement or transplant.</w:t>
      </w:r>
    </w:p>
    <w:p w:rsidR="00881D94" w:rsidRPr="00771DEF" w:rsidRDefault="00881D94" w:rsidP="006044ED">
      <w:pPr>
        <w:tabs>
          <w:tab w:val="left" w:pos="1162"/>
        </w:tabs>
      </w:pPr>
      <w:r w:rsidRPr="00771DEF">
        <w:rPr>
          <w:rFonts w:cs="Arial"/>
          <w:szCs w:val="20"/>
        </w:rPr>
        <w:t>The total cost reported against posthumous organ donors in 2013-14 is $</w:t>
      </w:r>
      <w:r w:rsidR="00FE101E">
        <w:rPr>
          <w:rFonts w:cs="Arial"/>
          <w:szCs w:val="20"/>
        </w:rPr>
        <w:t>1,744,588</w:t>
      </w:r>
      <w:r w:rsidRPr="00771DEF">
        <w:rPr>
          <w:rFonts w:cs="Arial"/>
          <w:szCs w:val="20"/>
        </w:rPr>
        <w:t>. This results in a national cost inflation</w:t>
      </w:r>
      <w:r w:rsidR="0066392E">
        <w:rPr>
          <w:rFonts w:cs="Arial"/>
          <w:szCs w:val="20"/>
        </w:rPr>
        <w:t xml:space="preserve"> in the admitted acute stream</w:t>
      </w:r>
      <w:r w:rsidRPr="00771DEF">
        <w:rPr>
          <w:rFonts w:cs="Arial"/>
          <w:szCs w:val="20"/>
        </w:rPr>
        <w:t xml:space="preserve"> of just 0.007%.</w:t>
      </w:r>
    </w:p>
    <w:p w:rsidR="00B32A11" w:rsidRPr="00B85B5A" w:rsidRDefault="00B32A11" w:rsidP="00AD4FFC">
      <w:pPr>
        <w:pStyle w:val="Heading3"/>
        <w:keepLines w:val="0"/>
        <w:numPr>
          <w:ilvl w:val="2"/>
          <w:numId w:val="35"/>
        </w:numPr>
        <w:tabs>
          <w:tab w:val="left" w:pos="1162"/>
        </w:tabs>
        <w:spacing w:before="240" w:after="120"/>
      </w:pPr>
      <w:bookmarkStart w:id="127" w:name="_Ref349765580"/>
      <w:bookmarkStart w:id="128" w:name="_Toc380754704"/>
      <w:bookmarkStart w:id="129" w:name="_Toc444528584"/>
      <w:r>
        <w:t>Private patient adjustments</w:t>
      </w:r>
      <w:bookmarkEnd w:id="127"/>
      <w:bookmarkEnd w:id="128"/>
      <w:bookmarkEnd w:id="129"/>
    </w:p>
    <w:p w:rsidR="00B32A11" w:rsidRPr="00901D61" w:rsidRDefault="00B32A11" w:rsidP="00AD4FFC">
      <w:pPr>
        <w:tabs>
          <w:tab w:val="left" w:pos="1162"/>
        </w:tabs>
        <w:rPr>
          <w:rFonts w:cs="Arial"/>
          <w:szCs w:val="20"/>
        </w:rPr>
      </w:pPr>
      <w:r w:rsidRPr="00901D61">
        <w:rPr>
          <w:rFonts w:cs="Arial"/>
          <w:szCs w:val="20"/>
        </w:rPr>
        <w:t>Private patient episodes in scope for ABF include those episodes occurring in a public hospital with a funding source of either ‘0</w:t>
      </w:r>
      <w:r>
        <w:rPr>
          <w:rFonts w:cs="Arial"/>
          <w:szCs w:val="20"/>
        </w:rPr>
        <w:t>9</w:t>
      </w:r>
      <w:r w:rsidRPr="00901D61">
        <w:rPr>
          <w:rFonts w:cs="Arial"/>
          <w:szCs w:val="20"/>
        </w:rPr>
        <w:t xml:space="preserve"> Private health i</w:t>
      </w:r>
      <w:r>
        <w:rPr>
          <w:rFonts w:cs="Arial"/>
          <w:szCs w:val="20"/>
        </w:rPr>
        <w:t xml:space="preserve">nsurance’ or ‘13 Self-funded’ in the </w:t>
      </w:r>
      <w:r w:rsidR="00C046DC">
        <w:rPr>
          <w:rFonts w:cs="Arial"/>
          <w:szCs w:val="20"/>
        </w:rPr>
        <w:t>2013-14</w:t>
      </w:r>
      <w:r>
        <w:rPr>
          <w:rFonts w:cs="Arial"/>
          <w:szCs w:val="20"/>
        </w:rPr>
        <w:t xml:space="preserve"> data sets.</w:t>
      </w:r>
    </w:p>
    <w:p w:rsidR="00B32A11" w:rsidRPr="00901D61" w:rsidRDefault="00B32A11" w:rsidP="00AD4FFC">
      <w:pPr>
        <w:tabs>
          <w:tab w:val="left" w:pos="1162"/>
        </w:tabs>
        <w:rPr>
          <w:rFonts w:cs="Arial"/>
          <w:szCs w:val="20"/>
        </w:rPr>
      </w:pPr>
      <w:r w:rsidRPr="00901D61">
        <w:rPr>
          <w:rFonts w:cs="Arial"/>
          <w:szCs w:val="20"/>
        </w:rPr>
        <w:t xml:space="preserve">The NHRA requires that in setting </w:t>
      </w:r>
      <w:r w:rsidR="00C046DC" w:rsidRPr="00901D61">
        <w:rPr>
          <w:rFonts w:cs="Arial"/>
          <w:szCs w:val="20"/>
        </w:rPr>
        <w:t>NEP</w:t>
      </w:r>
      <w:r w:rsidR="00C046DC">
        <w:rPr>
          <w:rFonts w:cs="Arial"/>
          <w:szCs w:val="20"/>
        </w:rPr>
        <w:t>16</w:t>
      </w:r>
      <w:r w:rsidRPr="00901D61">
        <w:rPr>
          <w:rFonts w:cs="Arial"/>
          <w:szCs w:val="20"/>
        </w:rPr>
        <w:t>, IHPA</w:t>
      </w:r>
      <w:r>
        <w:rPr>
          <w:rFonts w:cs="Arial"/>
          <w:szCs w:val="20"/>
        </w:rPr>
        <w:t xml:space="preserve"> must</w:t>
      </w:r>
      <w:r w:rsidRPr="00901D61">
        <w:rPr>
          <w:rFonts w:cs="Arial"/>
          <w:szCs w:val="20"/>
        </w:rPr>
        <w:t xml:space="preserve"> take into account costs of private patients that are met through alternative funding sources</w:t>
      </w:r>
      <w:r>
        <w:rPr>
          <w:rFonts w:cs="Arial"/>
          <w:szCs w:val="20"/>
        </w:rPr>
        <w:t xml:space="preserve">. </w:t>
      </w:r>
      <w:r w:rsidRPr="00901D61">
        <w:rPr>
          <w:rFonts w:cs="Arial"/>
          <w:szCs w:val="20"/>
        </w:rPr>
        <w:t>These alternative sources include medical benefits payments by the Australian Government, private health insurance benefits payments and payments made by patients</w:t>
      </w:r>
      <w:r>
        <w:rPr>
          <w:rFonts w:cs="Arial"/>
          <w:szCs w:val="20"/>
        </w:rPr>
        <w:t xml:space="preserve">. </w:t>
      </w:r>
    </w:p>
    <w:p w:rsidR="00B32A11" w:rsidRDefault="00B32A11" w:rsidP="00AD4FFC">
      <w:pPr>
        <w:tabs>
          <w:tab w:val="left" w:pos="1162"/>
        </w:tabs>
        <w:rPr>
          <w:rFonts w:cs="Arial"/>
          <w:szCs w:val="20"/>
        </w:rPr>
      </w:pPr>
      <w:r>
        <w:rPr>
          <w:rFonts w:cs="Arial"/>
          <w:szCs w:val="20"/>
        </w:rPr>
        <w:t>A revised methodology was introduced in NEP14</w:t>
      </w:r>
      <w:r w:rsidR="00C046DC">
        <w:rPr>
          <w:rFonts w:cs="Arial"/>
          <w:szCs w:val="20"/>
        </w:rPr>
        <w:t xml:space="preserve"> and maintained in NEP15</w:t>
      </w:r>
      <w:r>
        <w:rPr>
          <w:rFonts w:cs="Arial"/>
          <w:szCs w:val="20"/>
        </w:rPr>
        <w:t xml:space="preserve"> to make use of the Hospital </w:t>
      </w:r>
      <w:proofErr w:type="spellStart"/>
      <w:r w:rsidR="00450455">
        <w:rPr>
          <w:rFonts w:cs="Arial"/>
          <w:szCs w:val="20"/>
        </w:rPr>
        <w:t>Case</w:t>
      </w:r>
      <w:r w:rsidR="00D12D4B">
        <w:rPr>
          <w:rFonts w:cs="Arial"/>
          <w:szCs w:val="20"/>
        </w:rPr>
        <w:t>mix</w:t>
      </w:r>
      <w:proofErr w:type="spellEnd"/>
      <w:r>
        <w:rPr>
          <w:rFonts w:cs="Arial"/>
          <w:szCs w:val="20"/>
        </w:rPr>
        <w:t xml:space="preserve"> Protocol (HCP) data set which is reported by private insurance companies. HCP data identifies both the charges and benefits paid for private patients receiving public hospital services. </w:t>
      </w:r>
    </w:p>
    <w:p w:rsidR="00B32A11" w:rsidRDefault="00B32A11" w:rsidP="00AD4FFC">
      <w:pPr>
        <w:tabs>
          <w:tab w:val="left" w:pos="1162"/>
        </w:tabs>
        <w:rPr>
          <w:rFonts w:cs="Arial"/>
          <w:szCs w:val="20"/>
        </w:rPr>
      </w:pPr>
      <w:r>
        <w:rPr>
          <w:rFonts w:cs="Arial"/>
          <w:szCs w:val="20"/>
        </w:rPr>
        <w:t xml:space="preserve">This method has been used again in the calculation of </w:t>
      </w:r>
      <w:r w:rsidR="00C046DC">
        <w:rPr>
          <w:rFonts w:cs="Arial"/>
          <w:szCs w:val="20"/>
        </w:rPr>
        <w:t>NEP16</w:t>
      </w:r>
      <w:r>
        <w:rPr>
          <w:rFonts w:cs="Arial"/>
          <w:szCs w:val="20"/>
        </w:rPr>
        <w:t xml:space="preserve">. The private patient records in the HCP data were matched with the records in the APC and NHCDC data sets. This process resulted in a sample of </w:t>
      </w:r>
      <w:r w:rsidR="00FE101E">
        <w:rPr>
          <w:rFonts w:cs="Arial"/>
          <w:szCs w:val="20"/>
        </w:rPr>
        <w:t>71.5</w:t>
      </w:r>
      <w:r w:rsidR="00881D94" w:rsidRPr="00E33EAE">
        <w:rPr>
          <w:rFonts w:cs="Arial"/>
          <w:szCs w:val="20"/>
        </w:rPr>
        <w:t xml:space="preserve"> per cent</w:t>
      </w:r>
      <w:r w:rsidRPr="00E33EAE">
        <w:rPr>
          <w:rFonts w:cs="Arial"/>
          <w:szCs w:val="20"/>
        </w:rPr>
        <w:t xml:space="preserve"> matched records, which is </w:t>
      </w:r>
      <w:r w:rsidR="00881D94" w:rsidRPr="00E33EAE">
        <w:rPr>
          <w:rFonts w:cs="Arial"/>
          <w:szCs w:val="20"/>
        </w:rPr>
        <w:t>substantially better than</w:t>
      </w:r>
      <w:r w:rsidRPr="00E33EAE">
        <w:rPr>
          <w:rFonts w:cs="Arial"/>
          <w:szCs w:val="20"/>
        </w:rPr>
        <w:t xml:space="preserve"> that achieved in NEP1</w:t>
      </w:r>
      <w:r w:rsidR="00881D94" w:rsidRPr="00E33EAE">
        <w:rPr>
          <w:rFonts w:cs="Arial"/>
          <w:szCs w:val="20"/>
        </w:rPr>
        <w:t>5</w:t>
      </w:r>
      <w:r w:rsidRPr="00E33EAE">
        <w:rPr>
          <w:rFonts w:cs="Arial"/>
          <w:szCs w:val="20"/>
        </w:rPr>
        <w:t>.</w:t>
      </w:r>
      <w:r>
        <w:rPr>
          <w:rFonts w:cs="Arial"/>
          <w:szCs w:val="20"/>
        </w:rPr>
        <w:t xml:space="preserve"> Those private patient records in the NHCDC that were not matched to the HCP data were assumed to have similar characteristics to the matched data set.</w:t>
      </w:r>
    </w:p>
    <w:p w:rsidR="000E1BD6" w:rsidRPr="00B20CF2" w:rsidRDefault="00B32A11" w:rsidP="000E1BD6">
      <w:pPr>
        <w:tabs>
          <w:tab w:val="left" w:pos="1162"/>
        </w:tabs>
        <w:rPr>
          <w:rFonts w:cs="Arial"/>
          <w:szCs w:val="20"/>
        </w:rPr>
      </w:pPr>
      <w:r>
        <w:rPr>
          <w:rFonts w:cs="Arial"/>
          <w:szCs w:val="20"/>
        </w:rPr>
        <w:t xml:space="preserve">Using the HCP data, a more accurate estimate could be made of the amount of </w:t>
      </w:r>
      <w:r w:rsidRPr="00A24619">
        <w:rPr>
          <w:rFonts w:cs="Arial"/>
          <w:szCs w:val="20"/>
        </w:rPr>
        <w:t>private patient costs that we</w:t>
      </w:r>
      <w:r w:rsidRPr="004F047B">
        <w:rPr>
          <w:rFonts w:cs="Arial"/>
          <w:szCs w:val="20"/>
        </w:rPr>
        <w:t xml:space="preserve">re not included in the NHCDC costing data and needed a correction factor applied. </w:t>
      </w:r>
      <w:r>
        <w:rPr>
          <w:rFonts w:cs="Arial"/>
          <w:szCs w:val="20"/>
        </w:rPr>
        <w:t>A</w:t>
      </w:r>
      <w:r w:rsidRPr="004F047B">
        <w:rPr>
          <w:rFonts w:cs="Arial"/>
          <w:szCs w:val="20"/>
        </w:rPr>
        <w:t xml:space="preserve"> correction factor </w:t>
      </w:r>
      <w:r w:rsidRPr="00B20CF2">
        <w:rPr>
          <w:rFonts w:cs="Arial"/>
          <w:szCs w:val="20"/>
        </w:rPr>
        <w:t xml:space="preserve">of </w:t>
      </w:r>
      <w:r w:rsidR="000E1188" w:rsidRPr="00E33EAE">
        <w:rPr>
          <w:rFonts w:cs="Arial"/>
          <w:szCs w:val="20"/>
        </w:rPr>
        <w:t>1.4</w:t>
      </w:r>
      <w:r>
        <w:rPr>
          <w:rFonts w:cs="Arial"/>
          <w:szCs w:val="20"/>
        </w:rPr>
        <w:t xml:space="preserve"> per cent</w:t>
      </w:r>
      <w:r w:rsidRPr="00B20CF2">
        <w:rPr>
          <w:rFonts w:cs="Arial"/>
          <w:szCs w:val="20"/>
        </w:rPr>
        <w:t xml:space="preserve"> </w:t>
      </w:r>
      <w:r>
        <w:rPr>
          <w:rFonts w:cs="Arial"/>
          <w:szCs w:val="20"/>
        </w:rPr>
        <w:t xml:space="preserve">is </w:t>
      </w:r>
      <w:r w:rsidR="00E85B8C">
        <w:rPr>
          <w:rFonts w:cs="Arial"/>
          <w:szCs w:val="20"/>
        </w:rPr>
        <w:t>determined</w:t>
      </w:r>
      <w:r w:rsidRPr="004F047B">
        <w:rPr>
          <w:rFonts w:cs="Arial"/>
          <w:szCs w:val="20"/>
        </w:rPr>
        <w:t xml:space="preserve"> </w:t>
      </w:r>
      <w:r>
        <w:rPr>
          <w:rFonts w:cs="Arial"/>
          <w:szCs w:val="20"/>
        </w:rPr>
        <w:t>for</w:t>
      </w:r>
      <w:r w:rsidRPr="004F047B">
        <w:rPr>
          <w:rFonts w:cs="Arial"/>
          <w:szCs w:val="20"/>
        </w:rPr>
        <w:t xml:space="preserve"> </w:t>
      </w:r>
      <w:r w:rsidR="000E1188" w:rsidRPr="004F047B">
        <w:rPr>
          <w:rFonts w:cs="Arial"/>
          <w:szCs w:val="20"/>
        </w:rPr>
        <w:t>NEP</w:t>
      </w:r>
      <w:r w:rsidR="000E1188">
        <w:rPr>
          <w:rFonts w:cs="Arial"/>
          <w:szCs w:val="20"/>
        </w:rPr>
        <w:t>16</w:t>
      </w:r>
      <w:r w:rsidR="000E1188" w:rsidRPr="004F047B">
        <w:rPr>
          <w:rFonts w:cs="Arial"/>
          <w:szCs w:val="20"/>
        </w:rPr>
        <w:t xml:space="preserve"> </w:t>
      </w:r>
      <w:r>
        <w:rPr>
          <w:rFonts w:cs="Arial"/>
          <w:szCs w:val="20"/>
        </w:rPr>
        <w:t xml:space="preserve">which is </w:t>
      </w:r>
      <w:r w:rsidR="000E1BD6">
        <w:rPr>
          <w:rFonts w:cs="Arial"/>
          <w:szCs w:val="20"/>
        </w:rPr>
        <w:t xml:space="preserve">lower </w:t>
      </w:r>
      <w:r>
        <w:rPr>
          <w:rFonts w:cs="Arial"/>
          <w:szCs w:val="20"/>
        </w:rPr>
        <w:t xml:space="preserve">than the </w:t>
      </w:r>
      <w:r w:rsidR="000E1188">
        <w:rPr>
          <w:rFonts w:cs="Arial"/>
          <w:szCs w:val="20"/>
        </w:rPr>
        <w:t>1.9</w:t>
      </w:r>
      <w:r>
        <w:rPr>
          <w:rFonts w:cs="Arial"/>
          <w:szCs w:val="20"/>
        </w:rPr>
        <w:t xml:space="preserve"> per cent</w:t>
      </w:r>
      <w:r w:rsidRPr="00A24619">
        <w:rPr>
          <w:rFonts w:cs="Arial"/>
          <w:szCs w:val="20"/>
        </w:rPr>
        <w:t xml:space="preserve"> </w:t>
      </w:r>
      <w:r>
        <w:rPr>
          <w:rFonts w:cs="Arial"/>
          <w:szCs w:val="20"/>
        </w:rPr>
        <w:t>in</w:t>
      </w:r>
      <w:r w:rsidRPr="00A24619">
        <w:rPr>
          <w:rFonts w:cs="Arial"/>
          <w:szCs w:val="20"/>
        </w:rPr>
        <w:t xml:space="preserve"> </w:t>
      </w:r>
      <w:r w:rsidR="000E1BD6">
        <w:rPr>
          <w:rFonts w:cs="Arial"/>
          <w:szCs w:val="20"/>
        </w:rPr>
        <w:t>NEP15</w:t>
      </w:r>
      <w:r w:rsidRPr="004F047B">
        <w:rPr>
          <w:rFonts w:cs="Arial"/>
          <w:szCs w:val="20"/>
        </w:rPr>
        <w:t>.</w:t>
      </w:r>
      <w:r w:rsidRPr="00B20CF2">
        <w:rPr>
          <w:rFonts w:cs="Arial"/>
          <w:szCs w:val="20"/>
        </w:rPr>
        <w:t xml:space="preserve"> </w:t>
      </w:r>
      <w:r w:rsidR="000E1BD6">
        <w:rPr>
          <w:rFonts w:cs="Arial"/>
          <w:szCs w:val="20"/>
        </w:rPr>
        <w:t xml:space="preserve"> This drop is a result of more targeted private patient correction. In particular, for NEP16, IHPA has received advice of hospitals which include private patient medical benefit costs in their NHCDC submission. Private patients in these hospitals are no longer adjusted.</w:t>
      </w:r>
    </w:p>
    <w:p w:rsidR="00B32A11" w:rsidRDefault="00B32A11" w:rsidP="00AD4FFC">
      <w:pPr>
        <w:tabs>
          <w:tab w:val="left" w:pos="1162"/>
        </w:tabs>
        <w:rPr>
          <w:rFonts w:cs="Arial"/>
          <w:szCs w:val="20"/>
        </w:rPr>
      </w:pPr>
      <w:r w:rsidRPr="004F047B">
        <w:rPr>
          <w:rFonts w:cs="Arial"/>
          <w:szCs w:val="20"/>
        </w:rPr>
        <w:t>The HCP data provide</w:t>
      </w:r>
      <w:r>
        <w:rPr>
          <w:rFonts w:cs="Arial"/>
          <w:szCs w:val="20"/>
        </w:rPr>
        <w:t>s</w:t>
      </w:r>
      <w:r w:rsidRPr="004F047B">
        <w:rPr>
          <w:rFonts w:cs="Arial"/>
          <w:szCs w:val="20"/>
        </w:rPr>
        <w:t xml:space="preserve"> a more accurate amount of benefits received from MBS and private insurers for medical hospital services and prostheses</w:t>
      </w:r>
      <w:r>
        <w:rPr>
          <w:rFonts w:cs="Arial"/>
          <w:szCs w:val="20"/>
        </w:rPr>
        <w:t xml:space="preserve"> than provided by the NHCDC.</w:t>
      </w:r>
      <w:r w:rsidRPr="004F047B">
        <w:rPr>
          <w:rFonts w:cs="Arial"/>
          <w:szCs w:val="20"/>
        </w:rPr>
        <w:t xml:space="preserve"> </w:t>
      </w:r>
      <w:r>
        <w:rPr>
          <w:rFonts w:cs="Arial"/>
          <w:szCs w:val="20"/>
        </w:rPr>
        <w:t xml:space="preserve">These benefits are </w:t>
      </w:r>
      <w:r w:rsidRPr="004F047B">
        <w:rPr>
          <w:rFonts w:cs="Arial"/>
          <w:szCs w:val="20"/>
        </w:rPr>
        <w:t>used</w:t>
      </w:r>
      <w:r>
        <w:rPr>
          <w:rFonts w:cs="Arial"/>
          <w:szCs w:val="20"/>
        </w:rPr>
        <w:t xml:space="preserve"> to calculate the private patient service adjustment.</w:t>
      </w:r>
    </w:p>
    <w:p w:rsidR="00B32A11" w:rsidRDefault="00B32A11" w:rsidP="00AD4FFC">
      <w:pPr>
        <w:tabs>
          <w:tab w:val="left" w:pos="1162"/>
        </w:tabs>
        <w:rPr>
          <w:rFonts w:cs="Arial"/>
          <w:szCs w:val="20"/>
        </w:rPr>
      </w:pPr>
      <w:r w:rsidRPr="00922B83">
        <w:rPr>
          <w:rFonts w:cs="Arial"/>
          <w:szCs w:val="20"/>
        </w:rPr>
        <w:t xml:space="preserve">A private patient service adjustment was </w:t>
      </w:r>
      <w:r>
        <w:rPr>
          <w:rFonts w:cs="Arial"/>
          <w:szCs w:val="20"/>
        </w:rPr>
        <w:t xml:space="preserve">then </w:t>
      </w:r>
      <w:r w:rsidRPr="00922B83">
        <w:rPr>
          <w:rFonts w:cs="Arial"/>
          <w:szCs w:val="20"/>
        </w:rPr>
        <w:t>calculated at the AR-DRG level, although for some AR</w:t>
      </w:r>
      <w:r>
        <w:rPr>
          <w:rFonts w:cs="Arial"/>
          <w:szCs w:val="20"/>
        </w:rPr>
        <w:noBreakHyphen/>
      </w:r>
      <w:r w:rsidRPr="00922B83">
        <w:rPr>
          <w:rFonts w:cs="Arial"/>
          <w:szCs w:val="20"/>
        </w:rPr>
        <w:t>DRG</w:t>
      </w:r>
      <w:r>
        <w:rPr>
          <w:rFonts w:cs="Arial"/>
          <w:szCs w:val="20"/>
        </w:rPr>
        <w:t>s</w:t>
      </w:r>
      <w:r w:rsidRPr="00922B83">
        <w:rPr>
          <w:rFonts w:cs="Arial"/>
          <w:szCs w:val="20"/>
        </w:rPr>
        <w:t xml:space="preserve"> with small samples,</w:t>
      </w:r>
      <w:r>
        <w:rPr>
          <w:rFonts w:cs="Arial"/>
          <w:szCs w:val="20"/>
        </w:rPr>
        <w:t xml:space="preserve"> the adjustment was derived at a more aggregate level</w:t>
      </w:r>
      <w:r w:rsidRPr="00922B83">
        <w:rPr>
          <w:rFonts w:cs="Arial"/>
          <w:szCs w:val="20"/>
        </w:rPr>
        <w:t xml:space="preserve">. </w:t>
      </w:r>
      <w:r>
        <w:rPr>
          <w:rFonts w:cs="Arial"/>
          <w:szCs w:val="20"/>
        </w:rPr>
        <w:t>The adjustment was calculated using the following ratio taken at the AR-DRG level:</w:t>
      </w:r>
    </w:p>
    <w:p w:rsidR="00B32A11" w:rsidRPr="008D5E09" w:rsidRDefault="00B32A11" w:rsidP="00AD4FFC">
      <w:pPr>
        <w:tabs>
          <w:tab w:val="left" w:pos="1162"/>
        </w:tabs>
        <w:ind w:left="360"/>
        <w:jc w:val="center"/>
        <w:rPr>
          <w:rFonts w:cs="Arial"/>
          <w:i/>
          <w:szCs w:val="20"/>
        </w:rPr>
      </w:pPr>
      <w:r>
        <w:rPr>
          <w:rFonts w:cs="Arial"/>
          <w:i/>
          <w:szCs w:val="20"/>
        </w:rPr>
        <w:t>R</w:t>
      </w:r>
      <w:r w:rsidRPr="00E93E7F">
        <w:rPr>
          <w:rFonts w:cs="Arial"/>
          <w:i/>
          <w:szCs w:val="20"/>
        </w:rPr>
        <w:t xml:space="preserve">emoved </w:t>
      </w:r>
      <w:r>
        <w:rPr>
          <w:rFonts w:cs="Arial"/>
          <w:i/>
          <w:szCs w:val="20"/>
        </w:rPr>
        <w:t xml:space="preserve">costs </w:t>
      </w:r>
      <w:r w:rsidRPr="00E93E7F">
        <w:rPr>
          <w:rFonts w:cs="Arial"/>
          <w:i/>
          <w:szCs w:val="20"/>
        </w:rPr>
        <w:t xml:space="preserve">/ Total </w:t>
      </w:r>
      <w:r>
        <w:rPr>
          <w:rFonts w:cs="Arial"/>
          <w:i/>
          <w:szCs w:val="20"/>
        </w:rPr>
        <w:t>AR-DRG model costs</w:t>
      </w:r>
    </w:p>
    <w:p w:rsidR="00B32A11" w:rsidRDefault="00B32A11" w:rsidP="00AD4FFC">
      <w:pPr>
        <w:tabs>
          <w:tab w:val="left" w:pos="1162"/>
        </w:tabs>
        <w:rPr>
          <w:rFonts w:cs="Arial"/>
          <w:szCs w:val="20"/>
        </w:rPr>
      </w:pPr>
      <w:r>
        <w:rPr>
          <w:rFonts w:cs="Arial"/>
          <w:szCs w:val="20"/>
        </w:rPr>
        <w:t xml:space="preserve">It should be noted that the AR-DRG model costs referred to </w:t>
      </w:r>
      <w:proofErr w:type="spellStart"/>
      <w:r>
        <w:rPr>
          <w:rFonts w:cs="Arial"/>
          <w:szCs w:val="20"/>
        </w:rPr>
        <w:t>here</w:t>
      </w:r>
      <w:proofErr w:type="spellEnd"/>
      <w:r>
        <w:rPr>
          <w:rFonts w:cs="Arial"/>
          <w:szCs w:val="20"/>
        </w:rPr>
        <w:t xml:space="preserve"> exclude the application of any other adjustments. That is, the private patient service adjustment is calculated in such a way that </w:t>
      </w:r>
      <w:r w:rsidRPr="00E57951">
        <w:rPr>
          <w:rFonts w:cs="Arial"/>
          <w:szCs w:val="20"/>
        </w:rPr>
        <w:t>excludes any effect o</w:t>
      </w:r>
      <w:r w:rsidR="00253913">
        <w:rPr>
          <w:rFonts w:cs="Arial"/>
          <w:szCs w:val="20"/>
        </w:rPr>
        <w:t>n</w:t>
      </w:r>
      <w:r w:rsidRPr="00E57951">
        <w:rPr>
          <w:rFonts w:cs="Arial"/>
          <w:szCs w:val="20"/>
        </w:rPr>
        <w:t xml:space="preserve"> the paediatric, specialist psychiatric, </w:t>
      </w:r>
      <w:r w:rsidR="00DF77B4">
        <w:rPr>
          <w:rFonts w:cs="Arial"/>
          <w:szCs w:val="20"/>
        </w:rPr>
        <w:t>Indigenous</w:t>
      </w:r>
      <w:r>
        <w:rPr>
          <w:rFonts w:cs="Arial"/>
          <w:szCs w:val="20"/>
        </w:rPr>
        <w:t>,</w:t>
      </w:r>
      <w:r w:rsidRPr="00E57951">
        <w:rPr>
          <w:rFonts w:cs="Arial"/>
          <w:szCs w:val="20"/>
        </w:rPr>
        <w:t xml:space="preserve"> remoteness</w:t>
      </w:r>
      <w:r>
        <w:rPr>
          <w:rFonts w:cs="Arial"/>
          <w:szCs w:val="20"/>
        </w:rPr>
        <w:t xml:space="preserve">, </w:t>
      </w:r>
      <w:r w:rsidR="00C82274">
        <w:rPr>
          <w:rFonts w:cs="Arial"/>
          <w:szCs w:val="20"/>
        </w:rPr>
        <w:t>and radiotherapy</w:t>
      </w:r>
      <w:r>
        <w:rPr>
          <w:rFonts w:cs="Arial"/>
          <w:szCs w:val="20"/>
        </w:rPr>
        <w:t xml:space="preserve"> or dialysis</w:t>
      </w:r>
      <w:r w:rsidRPr="00E57951">
        <w:rPr>
          <w:rFonts w:cs="Arial"/>
          <w:szCs w:val="20"/>
        </w:rPr>
        <w:t xml:space="preserve"> adjustments</w:t>
      </w:r>
      <w:r w:rsidRPr="00063E42">
        <w:rPr>
          <w:rFonts w:cs="Arial"/>
          <w:szCs w:val="20"/>
        </w:rPr>
        <w:t>.</w:t>
      </w:r>
    </w:p>
    <w:p w:rsidR="00460371" w:rsidRPr="00E93E7F" w:rsidRDefault="00460371" w:rsidP="00AD4FFC">
      <w:pPr>
        <w:tabs>
          <w:tab w:val="left" w:pos="1162"/>
        </w:tabs>
        <w:rPr>
          <w:rFonts w:cs="Arial"/>
          <w:szCs w:val="20"/>
        </w:rPr>
      </w:pPr>
      <w:r>
        <w:rPr>
          <w:rFonts w:cs="Arial"/>
          <w:szCs w:val="20"/>
        </w:rPr>
        <w:t>The AR-DRG cost parameters were then uniformly calibrated to ensure cost neutrality of the cost model (including private patient service adjustment and previously derived adjustments) against actual costs.</w:t>
      </w:r>
    </w:p>
    <w:p w:rsidR="00460371" w:rsidRPr="00922B83" w:rsidRDefault="00460371" w:rsidP="00AD4FFC">
      <w:pPr>
        <w:tabs>
          <w:tab w:val="left" w:pos="1162"/>
        </w:tabs>
        <w:rPr>
          <w:rFonts w:cs="Arial"/>
          <w:szCs w:val="20"/>
        </w:rPr>
      </w:pPr>
      <w:r w:rsidRPr="00922B83">
        <w:rPr>
          <w:rFonts w:cs="Arial"/>
          <w:szCs w:val="20"/>
        </w:rPr>
        <w:t>In addition to medical and prostheses cost</w:t>
      </w:r>
      <w:r>
        <w:rPr>
          <w:rFonts w:cs="Arial"/>
          <w:szCs w:val="20"/>
        </w:rPr>
        <w:t>s</w:t>
      </w:r>
      <w:r w:rsidRPr="00922B83">
        <w:rPr>
          <w:rFonts w:cs="Arial"/>
          <w:szCs w:val="20"/>
        </w:rPr>
        <w:t xml:space="preserve">, insurers are also charged for </w:t>
      </w:r>
      <w:r w:rsidRPr="00A24619">
        <w:rPr>
          <w:rFonts w:cs="Arial"/>
          <w:szCs w:val="20"/>
        </w:rPr>
        <w:t>accommodation</w:t>
      </w:r>
      <w:r w:rsidRPr="004F047B">
        <w:rPr>
          <w:rFonts w:cs="Arial"/>
          <w:szCs w:val="20"/>
        </w:rPr>
        <w:t xml:space="preserve">. A </w:t>
      </w:r>
      <w:r w:rsidRPr="00B20CF2">
        <w:rPr>
          <w:rFonts w:cs="Arial"/>
          <w:szCs w:val="20"/>
        </w:rPr>
        <w:t>p</w:t>
      </w:r>
      <w:r w:rsidRPr="004F047B">
        <w:rPr>
          <w:rFonts w:cs="Arial"/>
          <w:szCs w:val="20"/>
        </w:rPr>
        <w:t>rivate patient accommodation adjustment is applied to account for revenue received in relation to these charges. For the purpose of deriving th</w:t>
      </w:r>
      <w:r w:rsidR="00E70624">
        <w:rPr>
          <w:rFonts w:cs="Arial"/>
          <w:szCs w:val="20"/>
        </w:rPr>
        <w:t>e adjustment associated with</w:t>
      </w:r>
      <w:r w:rsidRPr="004F047B">
        <w:rPr>
          <w:rFonts w:cs="Arial"/>
          <w:szCs w:val="20"/>
        </w:rPr>
        <w:t xml:space="preserve"> </w:t>
      </w:r>
      <w:r w:rsidR="00E70624">
        <w:rPr>
          <w:rFonts w:cs="Arial"/>
          <w:szCs w:val="20"/>
        </w:rPr>
        <w:t>NEP16</w:t>
      </w:r>
      <w:r w:rsidRPr="004F047B">
        <w:rPr>
          <w:rFonts w:cs="Arial"/>
          <w:szCs w:val="20"/>
        </w:rPr>
        <w:t xml:space="preserve">, </w:t>
      </w:r>
      <w:r w:rsidR="000E1188">
        <w:rPr>
          <w:rFonts w:cs="Arial"/>
          <w:szCs w:val="20"/>
        </w:rPr>
        <w:t>2015-16</w:t>
      </w:r>
      <w:r w:rsidRPr="00A24619">
        <w:rPr>
          <w:rFonts w:cs="Arial"/>
          <w:szCs w:val="20"/>
        </w:rPr>
        <w:t xml:space="preserve"> </w:t>
      </w:r>
      <w:r w:rsidRPr="004F047B">
        <w:rPr>
          <w:rFonts w:cs="Arial"/>
          <w:szCs w:val="20"/>
        </w:rPr>
        <w:t xml:space="preserve">average </w:t>
      </w:r>
      <w:r w:rsidRPr="00B20CF2">
        <w:rPr>
          <w:rFonts w:cs="Arial"/>
          <w:szCs w:val="20"/>
        </w:rPr>
        <w:t xml:space="preserve">default </w:t>
      </w:r>
      <w:r w:rsidRPr="004F047B">
        <w:rPr>
          <w:rFonts w:cs="Arial"/>
          <w:szCs w:val="20"/>
        </w:rPr>
        <w:t>benefits for private health insurers by state/territory were indexed forward one</w:t>
      </w:r>
      <w:r>
        <w:rPr>
          <w:rFonts w:cs="Arial"/>
          <w:szCs w:val="20"/>
        </w:rPr>
        <w:t xml:space="preserve"> year by </w:t>
      </w:r>
      <w:r w:rsidR="00701984" w:rsidRPr="00E33EAE">
        <w:rPr>
          <w:rFonts w:cs="Arial"/>
          <w:szCs w:val="20"/>
        </w:rPr>
        <w:t>2.</w:t>
      </w:r>
      <w:r w:rsidR="000E1BD6" w:rsidRPr="00E33EAE">
        <w:rPr>
          <w:rFonts w:cs="Arial"/>
          <w:szCs w:val="20"/>
        </w:rPr>
        <w:t>5</w:t>
      </w:r>
      <w:r>
        <w:rPr>
          <w:rFonts w:cs="Arial"/>
          <w:szCs w:val="20"/>
        </w:rPr>
        <w:t xml:space="preserve"> per cent </w:t>
      </w:r>
      <w:r w:rsidR="00490245">
        <w:rPr>
          <w:rFonts w:cs="Arial"/>
          <w:szCs w:val="20"/>
        </w:rPr>
        <w:t>(i</w:t>
      </w:r>
      <w:r w:rsidR="000D75CE">
        <w:rPr>
          <w:rFonts w:cs="Arial"/>
          <w:szCs w:val="20"/>
        </w:rPr>
        <w:t>.</w:t>
      </w:r>
      <w:r w:rsidR="00490245">
        <w:rPr>
          <w:rFonts w:cs="Arial"/>
          <w:szCs w:val="20"/>
        </w:rPr>
        <w:t>e</w:t>
      </w:r>
      <w:r w:rsidR="000D75CE">
        <w:rPr>
          <w:rFonts w:cs="Arial"/>
          <w:szCs w:val="20"/>
        </w:rPr>
        <w:t>.</w:t>
      </w:r>
      <w:r w:rsidR="00DF61EF">
        <w:rPr>
          <w:rFonts w:cs="Arial"/>
          <w:szCs w:val="20"/>
        </w:rPr>
        <w:t xml:space="preserve"> by CPI as required </w:t>
      </w:r>
      <w:r w:rsidR="00B32A11">
        <w:rPr>
          <w:rFonts w:cs="Arial"/>
          <w:szCs w:val="20"/>
        </w:rPr>
        <w:t xml:space="preserve">by </w:t>
      </w:r>
      <w:r w:rsidR="00DF61EF">
        <w:rPr>
          <w:rFonts w:cs="Arial"/>
          <w:szCs w:val="20"/>
        </w:rPr>
        <w:t xml:space="preserve">legislation) </w:t>
      </w:r>
      <w:r>
        <w:rPr>
          <w:rFonts w:cs="Arial"/>
          <w:szCs w:val="20"/>
        </w:rPr>
        <w:t xml:space="preserve">to </w:t>
      </w:r>
      <w:r w:rsidR="000C75BC">
        <w:rPr>
          <w:rFonts w:cs="Arial"/>
          <w:szCs w:val="20"/>
        </w:rPr>
        <w:t>2016-17</w:t>
      </w:r>
      <w:r>
        <w:rPr>
          <w:rFonts w:cs="Arial"/>
          <w:szCs w:val="20"/>
        </w:rPr>
        <w:t>.</w:t>
      </w:r>
    </w:p>
    <w:p w:rsidR="00B32A11" w:rsidRDefault="00B32A11" w:rsidP="00AD4FFC">
      <w:pPr>
        <w:pStyle w:val="Heading3"/>
        <w:keepLines w:val="0"/>
        <w:numPr>
          <w:ilvl w:val="2"/>
          <w:numId w:val="35"/>
        </w:numPr>
        <w:tabs>
          <w:tab w:val="left" w:pos="1162"/>
        </w:tabs>
        <w:spacing w:before="240" w:after="120"/>
      </w:pPr>
      <w:bookmarkStart w:id="130" w:name="_Ref349667532"/>
      <w:bookmarkStart w:id="131" w:name="_Toc380754705"/>
      <w:bookmarkStart w:id="132" w:name="_Toc444528585"/>
      <w:r>
        <w:t xml:space="preserve">Incorporation of outlier samples of cost </w:t>
      </w:r>
      <w:bookmarkEnd w:id="130"/>
      <w:r>
        <w:t>data</w:t>
      </w:r>
      <w:bookmarkEnd w:id="131"/>
      <w:bookmarkEnd w:id="132"/>
    </w:p>
    <w:p w:rsidR="00B32A11" w:rsidRDefault="00B32A11" w:rsidP="00AD4FFC">
      <w:pPr>
        <w:tabs>
          <w:tab w:val="left" w:pos="1162"/>
        </w:tabs>
        <w:rPr>
          <w:rFonts w:cs="Arial"/>
          <w:szCs w:val="20"/>
        </w:rPr>
      </w:pPr>
      <w:r>
        <w:rPr>
          <w:rFonts w:cs="Arial"/>
          <w:szCs w:val="20"/>
        </w:rPr>
        <w:t>The development of the cost model to this point is based on the sample of patient-level cost data evaluated as fit for use to develop AR-DRG cost profiles. Thus, the sample of patient-level cost data identified as not fit for use at the AR-DRG level have not been used within the cost model.</w:t>
      </w:r>
    </w:p>
    <w:p w:rsidR="00B32A11" w:rsidRPr="00901D61" w:rsidRDefault="00B32A11" w:rsidP="00AD4FFC">
      <w:pPr>
        <w:tabs>
          <w:tab w:val="left" w:pos="1162"/>
        </w:tabs>
        <w:rPr>
          <w:rFonts w:cs="Arial"/>
          <w:szCs w:val="20"/>
        </w:rPr>
      </w:pPr>
      <w:r>
        <w:rPr>
          <w:rFonts w:cs="Arial"/>
          <w:szCs w:val="20"/>
        </w:rPr>
        <w:t>T</w:t>
      </w:r>
      <w:r w:rsidRPr="00901D61">
        <w:rPr>
          <w:rFonts w:cs="Arial"/>
          <w:szCs w:val="20"/>
        </w:rPr>
        <w:t xml:space="preserve">he </w:t>
      </w:r>
      <w:r>
        <w:rPr>
          <w:rFonts w:cs="Arial"/>
          <w:szCs w:val="20"/>
        </w:rPr>
        <w:t>following process is used to calibrate the cost model against the entire sample of cost data</w:t>
      </w:r>
      <w:r w:rsidRPr="00901D61">
        <w:rPr>
          <w:rFonts w:cs="Arial"/>
          <w:szCs w:val="20"/>
        </w:rPr>
        <w:t>:</w:t>
      </w:r>
    </w:p>
    <w:p w:rsidR="00B32A11" w:rsidRDefault="00B32A11" w:rsidP="00C245E0">
      <w:pPr>
        <w:pStyle w:val="ListParagraph"/>
        <w:numPr>
          <w:ilvl w:val="0"/>
          <w:numId w:val="51"/>
        </w:numPr>
        <w:tabs>
          <w:tab w:val="left" w:pos="1162"/>
        </w:tabs>
        <w:spacing w:before="80" w:after="0"/>
        <w:ind w:left="714" w:hanging="357"/>
        <w:rPr>
          <w:rFonts w:cs="Arial"/>
          <w:szCs w:val="20"/>
        </w:rPr>
      </w:pPr>
      <w:r w:rsidRPr="00901D61">
        <w:rPr>
          <w:rFonts w:cs="Arial"/>
          <w:szCs w:val="20"/>
        </w:rPr>
        <w:t xml:space="preserve">The </w:t>
      </w:r>
      <w:r>
        <w:rPr>
          <w:rFonts w:cs="Arial"/>
          <w:szCs w:val="20"/>
        </w:rPr>
        <w:t xml:space="preserve">cost model developed to this point, including all adjustments (except the private patient adjustments) is applied to the entire cost data sample. This process results in model costs across the entire sample of cost data. </w:t>
      </w:r>
    </w:p>
    <w:p w:rsidR="00B32A11" w:rsidRDefault="00B32A11" w:rsidP="00C245E0">
      <w:pPr>
        <w:pStyle w:val="ListParagraph"/>
        <w:numPr>
          <w:ilvl w:val="0"/>
          <w:numId w:val="51"/>
        </w:numPr>
        <w:tabs>
          <w:tab w:val="left" w:pos="1162"/>
        </w:tabs>
        <w:spacing w:before="80" w:after="0"/>
        <w:ind w:left="714" w:hanging="357"/>
        <w:rPr>
          <w:rFonts w:cs="Arial"/>
          <w:szCs w:val="20"/>
        </w:rPr>
      </w:pPr>
      <w:r>
        <w:rPr>
          <w:rFonts w:cs="Arial"/>
          <w:szCs w:val="20"/>
        </w:rPr>
        <w:t>The AR-DRG cost parameters are then uniformly adjusted to ensure the resulting total modelled cost across the entire sample is equalised against the total actual costs of the entire sample.</w:t>
      </w:r>
    </w:p>
    <w:p w:rsidR="00460371" w:rsidRDefault="00460371" w:rsidP="00AD4FFC">
      <w:pPr>
        <w:tabs>
          <w:tab w:val="left" w:pos="1162"/>
        </w:tabs>
        <w:spacing w:before="240"/>
        <w:rPr>
          <w:rFonts w:cs="Arial"/>
          <w:szCs w:val="20"/>
        </w:rPr>
      </w:pPr>
      <w:r w:rsidRPr="00147DC1">
        <w:rPr>
          <w:rFonts w:cs="Arial"/>
          <w:szCs w:val="20"/>
        </w:rPr>
        <w:t xml:space="preserve">It should be noted </w:t>
      </w:r>
      <w:r>
        <w:rPr>
          <w:rFonts w:cs="Arial"/>
          <w:szCs w:val="20"/>
        </w:rPr>
        <w:t xml:space="preserve">again </w:t>
      </w:r>
      <w:r w:rsidRPr="00147DC1">
        <w:rPr>
          <w:rFonts w:cs="Arial"/>
          <w:szCs w:val="20"/>
        </w:rPr>
        <w:t>that sample</w:t>
      </w:r>
      <w:r>
        <w:rPr>
          <w:rFonts w:cs="Arial"/>
          <w:szCs w:val="20"/>
        </w:rPr>
        <w:t>-</w:t>
      </w:r>
      <w:r w:rsidRPr="00147DC1">
        <w:rPr>
          <w:rFonts w:cs="Arial"/>
          <w:szCs w:val="20"/>
        </w:rPr>
        <w:t>to</w:t>
      </w:r>
      <w:r>
        <w:rPr>
          <w:rFonts w:cs="Arial"/>
          <w:szCs w:val="20"/>
        </w:rPr>
        <w:t>-</w:t>
      </w:r>
      <w:r w:rsidRPr="00147DC1">
        <w:rPr>
          <w:rFonts w:cs="Arial"/>
          <w:szCs w:val="20"/>
        </w:rPr>
        <w:t xml:space="preserve">population weights </w:t>
      </w:r>
      <w:r>
        <w:rPr>
          <w:rFonts w:cs="Arial"/>
          <w:szCs w:val="20"/>
        </w:rPr>
        <w:t>are</w:t>
      </w:r>
      <w:r w:rsidRPr="00147DC1">
        <w:rPr>
          <w:rFonts w:cs="Arial"/>
          <w:szCs w:val="20"/>
        </w:rPr>
        <w:t xml:space="preserve"> </w:t>
      </w:r>
      <w:r>
        <w:rPr>
          <w:rFonts w:cs="Arial"/>
          <w:szCs w:val="20"/>
        </w:rPr>
        <w:t>used</w:t>
      </w:r>
      <w:r w:rsidRPr="00147DC1">
        <w:rPr>
          <w:rFonts w:cs="Arial"/>
          <w:szCs w:val="20"/>
        </w:rPr>
        <w:t xml:space="preserve"> throughout all stages </w:t>
      </w:r>
      <w:r>
        <w:rPr>
          <w:rFonts w:cs="Arial"/>
          <w:szCs w:val="20"/>
        </w:rPr>
        <w:t>in the development of the cost model.</w:t>
      </w:r>
    </w:p>
    <w:p w:rsidR="00460371" w:rsidRPr="00B85B5A" w:rsidRDefault="00460371" w:rsidP="0040091A">
      <w:pPr>
        <w:pStyle w:val="Heading3"/>
        <w:keepLines w:val="0"/>
        <w:numPr>
          <w:ilvl w:val="2"/>
          <w:numId w:val="35"/>
        </w:numPr>
        <w:tabs>
          <w:tab w:val="left" w:pos="1162"/>
        </w:tabs>
        <w:spacing w:before="240" w:after="120"/>
      </w:pPr>
      <w:bookmarkStart w:id="133" w:name="_Toc349759203"/>
      <w:bookmarkStart w:id="134" w:name="_Toc349761940"/>
      <w:bookmarkStart w:id="135" w:name="_Toc349765479"/>
      <w:bookmarkStart w:id="136" w:name="_Toc349769934"/>
      <w:bookmarkStart w:id="137" w:name="_Toc349770619"/>
      <w:bookmarkStart w:id="138" w:name="_Toc349771595"/>
      <w:bookmarkStart w:id="139" w:name="_Toc349771714"/>
      <w:bookmarkStart w:id="140" w:name="_Toc349771833"/>
      <w:bookmarkStart w:id="141" w:name="_Toc349772051"/>
      <w:bookmarkStart w:id="142" w:name="_Toc349759204"/>
      <w:bookmarkStart w:id="143" w:name="_Toc349761941"/>
      <w:bookmarkStart w:id="144" w:name="_Toc349765480"/>
      <w:bookmarkStart w:id="145" w:name="_Toc349769935"/>
      <w:bookmarkStart w:id="146" w:name="_Toc349770620"/>
      <w:bookmarkStart w:id="147" w:name="_Toc349771596"/>
      <w:bookmarkStart w:id="148" w:name="_Toc349771715"/>
      <w:bookmarkStart w:id="149" w:name="_Toc349771834"/>
      <w:bookmarkStart w:id="150" w:name="_Toc349772052"/>
      <w:bookmarkStart w:id="151" w:name="_Toc349759206"/>
      <w:bookmarkStart w:id="152" w:name="_Toc349761943"/>
      <w:bookmarkStart w:id="153" w:name="_Toc349765482"/>
      <w:bookmarkStart w:id="154" w:name="_Toc349769937"/>
      <w:bookmarkStart w:id="155" w:name="_Toc349770622"/>
      <w:bookmarkStart w:id="156" w:name="_Toc349771598"/>
      <w:bookmarkStart w:id="157" w:name="_Toc349771717"/>
      <w:bookmarkStart w:id="158" w:name="_Toc349771836"/>
      <w:bookmarkStart w:id="159" w:name="_Toc349772054"/>
      <w:bookmarkStart w:id="160" w:name="_Toc349759207"/>
      <w:bookmarkStart w:id="161" w:name="_Toc349761944"/>
      <w:bookmarkStart w:id="162" w:name="_Toc349765483"/>
      <w:bookmarkStart w:id="163" w:name="_Toc349769938"/>
      <w:bookmarkStart w:id="164" w:name="_Toc349770623"/>
      <w:bookmarkStart w:id="165" w:name="_Toc349771599"/>
      <w:bookmarkStart w:id="166" w:name="_Toc349771718"/>
      <w:bookmarkStart w:id="167" w:name="_Toc349771837"/>
      <w:bookmarkStart w:id="168" w:name="_Toc349772055"/>
      <w:bookmarkStart w:id="169" w:name="_Toc349759208"/>
      <w:bookmarkStart w:id="170" w:name="_Toc349761945"/>
      <w:bookmarkStart w:id="171" w:name="_Toc349765484"/>
      <w:bookmarkStart w:id="172" w:name="_Toc349769939"/>
      <w:bookmarkStart w:id="173" w:name="_Toc349770624"/>
      <w:bookmarkStart w:id="174" w:name="_Toc349771600"/>
      <w:bookmarkStart w:id="175" w:name="_Toc349771719"/>
      <w:bookmarkStart w:id="176" w:name="_Toc349771838"/>
      <w:bookmarkStart w:id="177" w:name="_Toc349772056"/>
      <w:bookmarkStart w:id="178" w:name="_Toc349759229"/>
      <w:bookmarkStart w:id="179" w:name="_Toc349761966"/>
      <w:bookmarkStart w:id="180" w:name="_Toc349765505"/>
      <w:bookmarkStart w:id="181" w:name="_Toc349769960"/>
      <w:bookmarkStart w:id="182" w:name="_Toc349770645"/>
      <w:bookmarkStart w:id="183" w:name="_Toc349771621"/>
      <w:bookmarkStart w:id="184" w:name="_Toc349771740"/>
      <w:bookmarkStart w:id="185" w:name="_Toc349771859"/>
      <w:bookmarkStart w:id="186" w:name="_Toc349772077"/>
      <w:bookmarkStart w:id="187" w:name="_Toc349759230"/>
      <w:bookmarkStart w:id="188" w:name="_Toc349761967"/>
      <w:bookmarkStart w:id="189" w:name="_Toc349765506"/>
      <w:bookmarkStart w:id="190" w:name="_Toc349769961"/>
      <w:bookmarkStart w:id="191" w:name="_Toc349770646"/>
      <w:bookmarkStart w:id="192" w:name="_Toc349771622"/>
      <w:bookmarkStart w:id="193" w:name="_Toc349771741"/>
      <w:bookmarkStart w:id="194" w:name="_Toc349771860"/>
      <w:bookmarkStart w:id="195" w:name="_Toc349772078"/>
      <w:bookmarkStart w:id="196" w:name="_Ref342385160"/>
      <w:bookmarkStart w:id="197" w:name="_Toc380754706"/>
      <w:bookmarkStart w:id="198" w:name="_Toc44452858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t>Price weights and NWAU</w:t>
      </w:r>
      <w:bookmarkEnd w:id="196"/>
      <w:bookmarkEnd w:id="197"/>
      <w:bookmarkEnd w:id="198"/>
    </w:p>
    <w:p w:rsidR="00460371" w:rsidRDefault="00460371" w:rsidP="00AD4FFC">
      <w:pPr>
        <w:tabs>
          <w:tab w:val="left" w:pos="1162"/>
        </w:tabs>
        <w:rPr>
          <w:rFonts w:cs="Arial"/>
          <w:szCs w:val="20"/>
        </w:rPr>
      </w:pPr>
      <w:r w:rsidRPr="00922B83">
        <w:rPr>
          <w:rFonts w:cs="Arial"/>
          <w:szCs w:val="20"/>
        </w:rPr>
        <w:t>The fi</w:t>
      </w:r>
      <w:r>
        <w:rPr>
          <w:rFonts w:cs="Arial"/>
          <w:szCs w:val="20"/>
        </w:rPr>
        <w:t>nal step in the process involves</w:t>
      </w:r>
      <w:r w:rsidRPr="00922B83">
        <w:rPr>
          <w:rFonts w:cs="Arial"/>
          <w:szCs w:val="20"/>
        </w:rPr>
        <w:t xml:space="preserve"> </w:t>
      </w:r>
      <w:r>
        <w:rPr>
          <w:rFonts w:cs="Arial"/>
          <w:szCs w:val="20"/>
        </w:rPr>
        <w:t xml:space="preserve">the </w:t>
      </w:r>
      <w:r w:rsidRPr="00922B83">
        <w:rPr>
          <w:rFonts w:cs="Arial"/>
          <w:szCs w:val="20"/>
        </w:rPr>
        <w:t xml:space="preserve">conversion of </w:t>
      </w:r>
      <w:r>
        <w:rPr>
          <w:rFonts w:cs="Arial"/>
          <w:szCs w:val="20"/>
        </w:rPr>
        <w:t xml:space="preserve">the </w:t>
      </w:r>
      <w:r w:rsidR="004808B8">
        <w:rPr>
          <w:rFonts w:cs="Arial"/>
          <w:szCs w:val="20"/>
        </w:rPr>
        <w:t>2013-14</w:t>
      </w:r>
      <w:r>
        <w:rPr>
          <w:rFonts w:cs="Arial"/>
          <w:szCs w:val="20"/>
        </w:rPr>
        <w:t xml:space="preserve"> cost model parameters </w:t>
      </w:r>
      <w:r w:rsidRPr="00922B83">
        <w:rPr>
          <w:rFonts w:cs="Arial"/>
          <w:szCs w:val="20"/>
        </w:rPr>
        <w:t xml:space="preserve">to cost weight values by dividing the cost </w:t>
      </w:r>
      <w:r>
        <w:rPr>
          <w:rFonts w:cs="Arial"/>
          <w:szCs w:val="20"/>
        </w:rPr>
        <w:t xml:space="preserve">parameters </w:t>
      </w:r>
      <w:r w:rsidRPr="00922B83">
        <w:rPr>
          <w:rFonts w:cs="Arial"/>
          <w:szCs w:val="20"/>
        </w:rPr>
        <w:t xml:space="preserve">by </w:t>
      </w:r>
      <w:r>
        <w:rPr>
          <w:rFonts w:cs="Arial"/>
          <w:szCs w:val="20"/>
        </w:rPr>
        <w:t>a reference cost.</w:t>
      </w:r>
    </w:p>
    <w:p w:rsidR="000406E0" w:rsidRDefault="00460371" w:rsidP="00AD4FFC">
      <w:pPr>
        <w:tabs>
          <w:tab w:val="left" w:pos="1162"/>
        </w:tabs>
        <w:rPr>
          <w:rFonts w:cs="Arial"/>
          <w:szCs w:val="20"/>
        </w:rPr>
      </w:pPr>
      <w:r>
        <w:rPr>
          <w:rFonts w:cs="Arial"/>
          <w:szCs w:val="20"/>
        </w:rPr>
        <w:t xml:space="preserve">The reference cost used was the </w:t>
      </w:r>
      <w:r w:rsidR="004808B8">
        <w:rPr>
          <w:rFonts w:cs="Arial"/>
          <w:szCs w:val="20"/>
        </w:rPr>
        <w:t>2012-13</w:t>
      </w:r>
      <w:r>
        <w:rPr>
          <w:rFonts w:cs="Arial"/>
          <w:szCs w:val="20"/>
        </w:rPr>
        <w:t xml:space="preserve"> reference cost indexed one year by the growth rate in the consecutive years’ cost models, where this growth rate is standardised against the </w:t>
      </w:r>
      <w:r w:rsidR="004808B8">
        <w:rPr>
          <w:rFonts w:cs="Arial"/>
          <w:szCs w:val="20"/>
        </w:rPr>
        <w:t>2013-14</w:t>
      </w:r>
      <w:r>
        <w:rPr>
          <w:rFonts w:cs="Arial"/>
          <w:szCs w:val="20"/>
        </w:rPr>
        <w:t xml:space="preserve"> activity data. Specifically, the standardised growth rate was derived by applying the </w:t>
      </w:r>
      <w:r w:rsidR="004808B8">
        <w:rPr>
          <w:rFonts w:cs="Arial"/>
          <w:szCs w:val="20"/>
        </w:rPr>
        <w:t>2012-13</w:t>
      </w:r>
      <w:r>
        <w:rPr>
          <w:rFonts w:cs="Arial"/>
          <w:szCs w:val="20"/>
        </w:rPr>
        <w:t xml:space="preserve"> and </w:t>
      </w:r>
      <w:r w:rsidR="004808B8">
        <w:rPr>
          <w:rFonts w:cs="Arial"/>
          <w:szCs w:val="20"/>
        </w:rPr>
        <w:t>2013-14</w:t>
      </w:r>
      <w:r>
        <w:rPr>
          <w:rFonts w:cs="Arial"/>
          <w:szCs w:val="20"/>
        </w:rPr>
        <w:t xml:space="preserve"> cost models (excluding private patient adjustments) to the </w:t>
      </w:r>
      <w:r w:rsidR="004808B8">
        <w:rPr>
          <w:rFonts w:cs="Arial"/>
          <w:szCs w:val="20"/>
        </w:rPr>
        <w:t>2013-14</w:t>
      </w:r>
      <w:r>
        <w:rPr>
          <w:rFonts w:cs="Arial"/>
          <w:szCs w:val="20"/>
        </w:rPr>
        <w:t xml:space="preserve"> activity data, and calculating the change in total modelled costs between the two models. </w:t>
      </w:r>
    </w:p>
    <w:p w:rsidR="00460371" w:rsidRDefault="00460371" w:rsidP="00AD4FFC">
      <w:pPr>
        <w:tabs>
          <w:tab w:val="left" w:pos="1162"/>
        </w:tabs>
        <w:rPr>
          <w:rFonts w:cs="Arial"/>
          <w:szCs w:val="20"/>
        </w:rPr>
      </w:pPr>
      <w:r>
        <w:rPr>
          <w:rFonts w:cs="Arial"/>
          <w:szCs w:val="20"/>
        </w:rPr>
        <w:t>Th</w:t>
      </w:r>
      <w:r w:rsidR="000406E0">
        <w:rPr>
          <w:rFonts w:cs="Arial"/>
          <w:szCs w:val="20"/>
        </w:rPr>
        <w:t>is i</w:t>
      </w:r>
      <w:r>
        <w:rPr>
          <w:rFonts w:cs="Arial"/>
          <w:szCs w:val="20"/>
        </w:rPr>
        <w:t xml:space="preserve">s the same methodology used to calculate the </w:t>
      </w:r>
      <w:r w:rsidR="004808B8">
        <w:rPr>
          <w:rFonts w:cs="Arial"/>
          <w:szCs w:val="20"/>
        </w:rPr>
        <w:t>2012-13</w:t>
      </w:r>
      <w:r>
        <w:rPr>
          <w:rFonts w:cs="Arial"/>
          <w:szCs w:val="20"/>
        </w:rPr>
        <w:t xml:space="preserve"> reference cost from the </w:t>
      </w:r>
      <w:r w:rsidR="004808B8">
        <w:rPr>
          <w:rFonts w:cs="Arial"/>
          <w:szCs w:val="20"/>
        </w:rPr>
        <w:t>2011-12</w:t>
      </w:r>
      <w:r>
        <w:rPr>
          <w:rFonts w:cs="Arial"/>
          <w:szCs w:val="20"/>
        </w:rPr>
        <w:t xml:space="preserve"> reference cost</w:t>
      </w:r>
      <w:r w:rsidR="000406E0">
        <w:rPr>
          <w:rFonts w:cs="Arial"/>
          <w:szCs w:val="20"/>
        </w:rPr>
        <w:t>. The</w:t>
      </w:r>
      <w:r>
        <w:rPr>
          <w:rFonts w:cs="Arial"/>
          <w:szCs w:val="20"/>
        </w:rPr>
        <w:t xml:space="preserve"> resulting cost weights are then converted to the price weights that are used to assign NWAU, as explained </w:t>
      </w:r>
      <w:r w:rsidR="000406E0">
        <w:rPr>
          <w:rFonts w:cs="Arial"/>
          <w:szCs w:val="20"/>
        </w:rPr>
        <w:t xml:space="preserve">further </w:t>
      </w:r>
      <w:r>
        <w:rPr>
          <w:rFonts w:cs="Arial"/>
          <w:szCs w:val="20"/>
        </w:rPr>
        <w:t xml:space="preserve">at </w:t>
      </w:r>
      <w:hyperlink w:anchor="AttB" w:history="1">
        <w:r w:rsidRPr="00F804F5">
          <w:rPr>
            <w:rStyle w:val="Hyperlink"/>
            <w:rFonts w:cs="Arial"/>
            <w:b/>
            <w:szCs w:val="20"/>
          </w:rPr>
          <w:t>Attachment B</w:t>
        </w:r>
      </w:hyperlink>
      <w:r>
        <w:rPr>
          <w:rFonts w:cs="Arial"/>
          <w:szCs w:val="20"/>
        </w:rPr>
        <w:t>.</w:t>
      </w:r>
    </w:p>
    <w:p w:rsidR="00B903EF" w:rsidRPr="00B903EF" w:rsidRDefault="00460371" w:rsidP="00AD4FFC">
      <w:pPr>
        <w:pStyle w:val="Heading2"/>
        <w:keepLines w:val="0"/>
        <w:numPr>
          <w:ilvl w:val="1"/>
          <w:numId w:val="35"/>
        </w:numPr>
        <w:tabs>
          <w:tab w:val="left" w:pos="1162"/>
        </w:tabs>
        <w:spacing w:after="60"/>
      </w:pPr>
      <w:bookmarkStart w:id="199" w:name="_Toc349759232"/>
      <w:bookmarkStart w:id="200" w:name="_Toc349761969"/>
      <w:bookmarkStart w:id="201" w:name="_Toc349765508"/>
      <w:bookmarkStart w:id="202" w:name="_Toc349769963"/>
      <w:bookmarkStart w:id="203" w:name="_Toc349770648"/>
      <w:bookmarkStart w:id="204" w:name="_Toc349771624"/>
      <w:bookmarkStart w:id="205" w:name="_Toc349771743"/>
      <w:bookmarkStart w:id="206" w:name="_Toc349771862"/>
      <w:bookmarkStart w:id="207" w:name="_Toc349772080"/>
      <w:bookmarkStart w:id="208" w:name="_Toc380754707"/>
      <w:bookmarkStart w:id="209" w:name="_Toc444528587"/>
      <w:bookmarkEnd w:id="199"/>
      <w:bookmarkEnd w:id="200"/>
      <w:bookmarkEnd w:id="201"/>
      <w:bookmarkEnd w:id="202"/>
      <w:bookmarkEnd w:id="203"/>
      <w:bookmarkEnd w:id="204"/>
      <w:bookmarkEnd w:id="205"/>
      <w:bookmarkEnd w:id="206"/>
      <w:bookmarkEnd w:id="207"/>
      <w:r>
        <w:t>Applying the NEP</w:t>
      </w:r>
      <w:bookmarkEnd w:id="208"/>
      <w:bookmarkEnd w:id="209"/>
    </w:p>
    <w:p w:rsidR="00460371" w:rsidRDefault="00460371" w:rsidP="00AD4FFC">
      <w:pPr>
        <w:tabs>
          <w:tab w:val="left" w:pos="1162"/>
        </w:tabs>
        <w:spacing w:before="120"/>
        <w:rPr>
          <w:rFonts w:cs="Arial"/>
          <w:szCs w:val="20"/>
        </w:rPr>
      </w:pPr>
      <w:bookmarkStart w:id="210" w:name="_Toc326738640"/>
      <w:r w:rsidRPr="00922B83">
        <w:rPr>
          <w:rFonts w:cs="Arial"/>
          <w:szCs w:val="20"/>
        </w:rPr>
        <w:t xml:space="preserve">As set out </w:t>
      </w:r>
      <w:r w:rsidRPr="00AE3B9F">
        <w:rPr>
          <w:rFonts w:cs="Arial"/>
          <w:szCs w:val="20"/>
        </w:rPr>
        <w:t>in</w:t>
      </w:r>
      <w:r w:rsidR="00E85B8C">
        <w:rPr>
          <w:rFonts w:cs="Arial"/>
          <w:szCs w:val="20"/>
        </w:rPr>
        <w:t xml:space="preserve"> the</w:t>
      </w:r>
      <w:r w:rsidRPr="00AE3B9F">
        <w:rPr>
          <w:rFonts w:cs="Arial"/>
          <w:szCs w:val="20"/>
        </w:rPr>
        <w:t xml:space="preserve"> NEP</w:t>
      </w:r>
      <w:r w:rsidR="00B238EA">
        <w:rPr>
          <w:rFonts w:cs="Arial"/>
          <w:szCs w:val="20"/>
        </w:rPr>
        <w:t>16</w:t>
      </w:r>
      <w:r w:rsidRPr="00AE3B9F">
        <w:rPr>
          <w:rFonts w:cs="Arial"/>
          <w:szCs w:val="20"/>
        </w:rPr>
        <w:t xml:space="preserve"> Determination</w:t>
      </w:r>
      <w:r w:rsidRPr="00183A38">
        <w:rPr>
          <w:rFonts w:cs="Arial"/>
          <w:szCs w:val="20"/>
        </w:rPr>
        <w:t>, the price of an ABF Activity is calculated using the following formula, with adjustments applied as applicable:</w:t>
      </w:r>
    </w:p>
    <w:p w:rsidR="009F697A" w:rsidRPr="009F697A" w:rsidRDefault="009F697A" w:rsidP="00AD4FFC">
      <w:pPr>
        <w:tabs>
          <w:tab w:val="left" w:pos="1162"/>
        </w:tabs>
        <w:spacing w:before="120"/>
        <w:rPr>
          <w:rFonts w:cs="Arial"/>
          <w:b/>
          <w:szCs w:val="20"/>
        </w:rPr>
      </w:pPr>
      <w:r w:rsidRPr="009F697A">
        <w:rPr>
          <w:rFonts w:cs="Arial"/>
          <w:b/>
          <w:szCs w:val="20"/>
        </w:rPr>
        <w:t>Price of an admitted acute ABF activity</w:t>
      </w:r>
    </w:p>
    <w:p w:rsidR="00614E8A" w:rsidRPr="00614E8A" w:rsidRDefault="00614E8A" w:rsidP="00AD4FFC">
      <w:pPr>
        <w:tabs>
          <w:tab w:val="left" w:pos="1162"/>
        </w:tabs>
        <w:rPr>
          <w:rFonts w:cs="Arial"/>
          <w:szCs w:val="20"/>
        </w:rPr>
      </w:pPr>
      <m:oMathPara>
        <m:oMath>
          <m:r>
            <m:rPr>
              <m:sty m:val="p"/>
            </m:rPr>
            <w:rPr>
              <w:rFonts w:ascii="Cambria Math" w:hAnsi="Cambria Math" w:cs="Arial"/>
              <w:szCs w:val="20"/>
            </w:rPr>
            <m:t>={</m:t>
          </m:r>
          <m:d>
            <m:dPr>
              <m:begChr m:val="["/>
              <m:endChr m:val="]"/>
              <m:ctrlPr>
                <w:rPr>
                  <w:rFonts w:ascii="Cambria Math" w:hAnsi="Cambria Math" w:cs="Arial"/>
                  <w:szCs w:val="20"/>
                </w:rPr>
              </m:ctrlPr>
            </m:dPr>
            <m:e>
              <m:r>
                <m:rPr>
                  <m:sty m:val="p"/>
                </m:rPr>
                <w:rPr>
                  <w:rFonts w:ascii="Cambria Math" w:hAnsi="Cambria Math" w:cs="Arial"/>
                  <w:szCs w:val="20"/>
                </w:rPr>
                <m:t>PW×</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Paed</m:t>
                  </m:r>
                </m:sub>
              </m:sSub>
              <m:r>
                <m:rPr>
                  <m:sty m:val="p"/>
                </m:rPr>
                <w:rPr>
                  <w:rFonts w:ascii="Cambria Math" w:hAnsi="Cambria Math" w:cs="Arial"/>
                  <w:szCs w:val="20"/>
                </w:rPr>
                <m:t>×</m:t>
              </m:r>
              <m:d>
                <m:dPr>
                  <m:ctrlPr>
                    <w:rPr>
                      <w:rFonts w:ascii="Cambria Math" w:hAnsi="Cambria Math" w:cs="Arial"/>
                      <w:szCs w:val="20"/>
                    </w:rPr>
                  </m:ctrlPr>
                </m:dPr>
                <m:e>
                  <m:r>
                    <m:rPr>
                      <m:sty m:val="p"/>
                    </m:rPr>
                    <w:rPr>
                      <w:rFonts w:ascii="Cambria Math" w:hAnsi="Cambria Math" w:cs="Arial"/>
                      <w:szCs w:val="20"/>
                    </w:rPr>
                    <m:t>1+</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SPA</m:t>
                      </m:r>
                    </m:sub>
                  </m:sSub>
                </m:e>
              </m:d>
              <m:r>
                <m:rPr>
                  <m:sty m:val="p"/>
                </m:rPr>
                <w:rPr>
                  <w:rFonts w:ascii="Cambria Math" w:hAnsi="Cambria Math" w:cs="Arial"/>
                  <w:szCs w:val="20"/>
                </w:rPr>
                <m:t>×</m:t>
              </m:r>
              <m:d>
                <m:dPr>
                  <m:ctrlPr>
                    <w:rPr>
                      <w:rFonts w:ascii="Cambria Math" w:hAnsi="Cambria Math" w:cs="Arial"/>
                      <w:szCs w:val="20"/>
                    </w:rPr>
                  </m:ctrlPr>
                </m:dPr>
                <m:e>
                  <m:r>
                    <m:rPr>
                      <m:sty m:val="p"/>
                    </m:rPr>
                    <w:rPr>
                      <w:rFonts w:ascii="Cambria Math" w:hAnsi="Cambria Math" w:cs="Arial"/>
                      <w:szCs w:val="20"/>
                    </w:rPr>
                    <m:t>1+</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Ind</m:t>
                      </m:r>
                    </m:sub>
                  </m:sSub>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m:t>
                      </m:r>
                    </m:sub>
                  </m:sSub>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RT</m:t>
                      </m:r>
                    </m:sub>
                  </m:sSub>
                  <m: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Dia</m:t>
                      </m:r>
                    </m:sub>
                  </m:sSub>
                </m:e>
              </m:d>
              <m:r>
                <m:rPr>
                  <m:sty m:val="p"/>
                </m:rPr>
                <w:rPr>
                  <w:rFonts w:ascii="Cambria Math" w:hAnsi="Cambria Math" w:cs="Arial"/>
                  <w:szCs w:val="20"/>
                </w:rPr>
                <m:t>+</m:t>
              </m:r>
              <m:d>
                <m:dPr>
                  <m:ctrlPr>
                    <w:rPr>
                      <w:rFonts w:ascii="Cambria Math" w:hAnsi="Cambria Math" w:cs="Arial"/>
                      <w:szCs w:val="20"/>
                    </w:rPr>
                  </m:ctrlPr>
                </m:dPr>
                <m:e>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ICU</m:t>
                      </m:r>
                    </m:sub>
                  </m:sSub>
                  <m:r>
                    <m:rPr>
                      <m:sty m:val="p"/>
                    </m:rPr>
                    <w:rPr>
                      <w:rFonts w:ascii="Cambria Math" w:hAnsi="Cambria Math" w:cs="Arial"/>
                      <w:szCs w:val="20"/>
                    </w:rPr>
                    <m:t>×ICU hours</m:t>
                  </m:r>
                </m:e>
              </m:d>
            </m:e>
          </m:d>
          <m:r>
            <m:rPr>
              <m:sty m:val="p"/>
            </m:rPr>
            <w:rPr>
              <w:rFonts w:ascii="Cambria Math" w:hAnsi="Cambria Math" w:cs="Arial"/>
              <w:szCs w:val="20"/>
            </w:rPr>
            <m:t>-[</m:t>
          </m:r>
          <m:d>
            <m:dPr>
              <m:ctrlPr>
                <w:rPr>
                  <w:rFonts w:ascii="Cambria Math" w:hAnsi="Cambria Math" w:cs="Arial"/>
                  <w:szCs w:val="20"/>
                </w:rPr>
              </m:ctrlPr>
            </m:dPr>
            <m:e>
              <m:r>
                <m:rPr>
                  <m:sty m:val="p"/>
                </m:rPr>
                <w:rPr>
                  <w:rFonts w:ascii="Cambria Math" w:hAnsi="Cambria Math" w:cs="Arial"/>
                  <w:szCs w:val="20"/>
                </w:rPr>
                <m:t>PW+</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ICU</m:t>
                  </m:r>
                </m:sub>
              </m:sSub>
              <m:r>
                <m:rPr>
                  <m:sty m:val="p"/>
                </m:rPr>
                <w:rPr>
                  <w:rFonts w:ascii="Cambria Math" w:hAnsi="Cambria Math" w:cs="Arial"/>
                  <w:szCs w:val="20"/>
                </w:rPr>
                <m:t>×ICU hours</m:t>
              </m:r>
            </m:e>
          </m:d>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PPS</m:t>
              </m:r>
            </m:sub>
          </m:sSub>
          <m:r>
            <m:rPr>
              <m:sty m:val="p"/>
            </m:rPr>
            <w:rPr>
              <w:rFonts w:ascii="Cambria Math" w:hAnsi="Cambria Math" w:cs="Arial"/>
              <w:szCs w:val="20"/>
            </w:rPr>
            <m:t>+LOS×</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Acc</m:t>
              </m:r>
            </m:sub>
          </m:sSub>
          <m:r>
            <m:rPr>
              <m:sty m:val="p"/>
            </m:rPr>
            <w:rPr>
              <w:rFonts w:ascii="Cambria Math" w:hAnsi="Cambria Math" w:cs="Arial"/>
              <w:szCs w:val="20"/>
            </w:rPr>
            <m:t xml:space="preserve">]}×NEP </m:t>
          </m:r>
        </m:oMath>
      </m:oMathPara>
    </w:p>
    <w:p w:rsidR="00614E8A" w:rsidRPr="00614E8A" w:rsidRDefault="00614E8A" w:rsidP="00AD4FFC">
      <w:pPr>
        <w:tabs>
          <w:tab w:val="left" w:pos="1162"/>
        </w:tabs>
        <w:autoSpaceDE w:val="0"/>
        <w:autoSpaceDN w:val="0"/>
        <w:adjustRightInd w:val="0"/>
        <w:spacing w:after="0"/>
        <w:rPr>
          <w:rFonts w:cs="Arial"/>
          <w:szCs w:val="20"/>
          <w:lang w:eastAsia="en-AU"/>
        </w:rPr>
      </w:pPr>
      <w:r w:rsidRPr="00614E8A">
        <w:rPr>
          <w:rFonts w:cs="Arial"/>
          <w:szCs w:val="20"/>
          <w:lang w:eastAsia="en-AU"/>
        </w:rPr>
        <w:t>Where:</w:t>
      </w:r>
    </w:p>
    <w:p w:rsidR="00614E8A" w:rsidRPr="00614E8A" w:rsidRDefault="00614E8A" w:rsidP="00AD4FFC">
      <w:pPr>
        <w:numPr>
          <w:ilvl w:val="1"/>
          <w:numId w:val="18"/>
        </w:numPr>
        <w:tabs>
          <w:tab w:val="left" w:pos="1162"/>
        </w:tabs>
        <w:autoSpaceDE w:val="0"/>
        <w:autoSpaceDN w:val="0"/>
        <w:adjustRightInd w:val="0"/>
        <w:spacing w:after="0"/>
        <w:ind w:left="1434" w:hanging="357"/>
        <w:rPr>
          <w:rFonts w:cs="Arial"/>
          <w:szCs w:val="20"/>
          <w:lang w:eastAsia="en-AU"/>
        </w:rPr>
      </w:pPr>
      <m:oMath>
        <m:r>
          <m:rPr>
            <m:sty m:val="p"/>
          </m:rPr>
          <w:rPr>
            <w:rFonts w:ascii="Cambria Math" w:hAnsi="Cambria Math" w:cs="Arial"/>
            <w:szCs w:val="20"/>
          </w:rPr>
          <m:t>PW</m:t>
        </m:r>
      </m:oMath>
      <w:r w:rsidRPr="00614E8A">
        <w:rPr>
          <w:rFonts w:cs="Arial"/>
          <w:szCs w:val="20"/>
        </w:rPr>
        <w:t xml:space="preserve"> means the Price Weight for an ABF activity as set </w:t>
      </w:r>
      <w:r w:rsidRPr="00614E8A">
        <w:rPr>
          <w:rFonts w:cs="Arial"/>
          <w:szCs w:val="20"/>
          <w:lang w:eastAsia="en-AU"/>
        </w:rPr>
        <w:t xml:space="preserve">out at Appendix B of the </w:t>
      </w:r>
      <w:r w:rsidRPr="00B3571F">
        <w:rPr>
          <w:rFonts w:cs="Arial"/>
          <w:szCs w:val="20"/>
          <w:lang w:eastAsia="en-AU"/>
        </w:rPr>
        <w:t>NEP</w:t>
      </w:r>
      <w:r w:rsidR="00CF6CDC">
        <w:rPr>
          <w:rFonts w:cs="Arial"/>
          <w:szCs w:val="20"/>
          <w:lang w:eastAsia="en-AU"/>
        </w:rPr>
        <w:t>16</w:t>
      </w:r>
      <w:r w:rsidRPr="00B3571F">
        <w:rPr>
          <w:rFonts w:cs="Arial"/>
          <w:szCs w:val="20"/>
          <w:lang w:eastAsia="en-AU"/>
        </w:rPr>
        <w:t xml:space="preserve"> Determination</w:t>
      </w:r>
    </w:p>
    <w:p w:rsidR="00614E8A" w:rsidRPr="00614E8A" w:rsidRDefault="00FE788C" w:rsidP="00AD4FFC">
      <w:pPr>
        <w:numPr>
          <w:ilvl w:val="1"/>
          <w:numId w:val="18"/>
        </w:numPr>
        <w:tabs>
          <w:tab w:val="left" w:pos="1162"/>
        </w:tabs>
        <w:spacing w:after="0"/>
        <w:ind w:left="1434" w:hanging="357"/>
        <w:rPr>
          <w:rFonts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Paed</m:t>
            </m:r>
          </m:sub>
        </m:sSub>
      </m:oMath>
      <w:r w:rsidR="00614E8A" w:rsidRPr="00614E8A">
        <w:rPr>
          <w:rFonts w:cs="Arial"/>
          <w:szCs w:val="20"/>
        </w:rPr>
        <w:t xml:space="preserve"> means the paediatric adjustment</w:t>
      </w:r>
    </w:p>
    <w:p w:rsidR="00614E8A" w:rsidRPr="00614E8A" w:rsidRDefault="00FE788C" w:rsidP="00AD4FFC">
      <w:pPr>
        <w:numPr>
          <w:ilvl w:val="1"/>
          <w:numId w:val="18"/>
        </w:numPr>
        <w:tabs>
          <w:tab w:val="left" w:pos="1162"/>
        </w:tabs>
        <w:spacing w:after="0"/>
        <w:ind w:left="1434" w:hanging="357"/>
        <w:rPr>
          <w:rFonts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SPA</m:t>
            </m:r>
          </m:sub>
        </m:sSub>
      </m:oMath>
      <w:r w:rsidR="00614E8A" w:rsidRPr="00614E8A">
        <w:rPr>
          <w:rFonts w:cs="Arial"/>
          <w:szCs w:val="20"/>
        </w:rPr>
        <w:t xml:space="preserve"> means the sp</w:t>
      </w:r>
      <w:proofErr w:type="spellStart"/>
      <w:r w:rsidR="00665F40">
        <w:rPr>
          <w:rFonts w:cs="Arial"/>
          <w:szCs w:val="20"/>
        </w:rPr>
        <w:t>ecialist</w:t>
      </w:r>
      <w:proofErr w:type="spellEnd"/>
      <w:r w:rsidR="00665F40">
        <w:rPr>
          <w:rFonts w:cs="Arial"/>
          <w:szCs w:val="20"/>
        </w:rPr>
        <w:t xml:space="preserve"> psychiatric age adjustment</w:t>
      </w:r>
    </w:p>
    <w:p w:rsidR="00614E8A" w:rsidRPr="00614E8A" w:rsidRDefault="00FE788C" w:rsidP="00AD4FFC">
      <w:pPr>
        <w:numPr>
          <w:ilvl w:val="1"/>
          <w:numId w:val="18"/>
        </w:numPr>
        <w:tabs>
          <w:tab w:val="left" w:pos="1162"/>
        </w:tabs>
        <w:spacing w:after="0"/>
        <w:ind w:left="1434" w:hanging="357"/>
        <w:rPr>
          <w:rFonts w:eastAsiaTheme="minorEastAsia" w:cs="Arial"/>
          <w:szCs w:val="20"/>
          <w:lang w:eastAsia="en-AU"/>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Ind</m:t>
            </m:r>
          </m:sub>
        </m:sSub>
      </m:oMath>
      <w:r w:rsidR="00614E8A" w:rsidRPr="00614E8A">
        <w:rPr>
          <w:rFonts w:cs="Arial"/>
          <w:b/>
          <w:szCs w:val="20"/>
        </w:rPr>
        <w:t xml:space="preserve"> </w:t>
      </w:r>
      <w:r w:rsidR="00614E8A" w:rsidRPr="00614E8A">
        <w:rPr>
          <w:rFonts w:cs="Arial"/>
          <w:szCs w:val="20"/>
        </w:rPr>
        <w:t xml:space="preserve">means the </w:t>
      </w:r>
      <w:r w:rsidR="00DF77B4">
        <w:rPr>
          <w:rFonts w:cs="Arial"/>
          <w:szCs w:val="20"/>
        </w:rPr>
        <w:t>Indigenous</w:t>
      </w:r>
      <w:r w:rsidR="00614E8A" w:rsidRPr="00614E8A">
        <w:rPr>
          <w:rFonts w:cs="Arial"/>
          <w:szCs w:val="20"/>
        </w:rPr>
        <w:t xml:space="preserve"> adjustment</w:t>
      </w:r>
    </w:p>
    <w:p w:rsidR="00614E8A" w:rsidRPr="00614E8A" w:rsidRDefault="00FE788C" w:rsidP="00AD4FFC">
      <w:pPr>
        <w:numPr>
          <w:ilvl w:val="1"/>
          <w:numId w:val="18"/>
        </w:numPr>
        <w:tabs>
          <w:tab w:val="left" w:pos="1162"/>
        </w:tabs>
        <w:spacing w:after="0"/>
        <w:ind w:left="1434" w:hanging="357"/>
        <w:rPr>
          <w:rFonts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m:t>
            </m:r>
          </m:sub>
        </m:sSub>
      </m:oMath>
      <w:r w:rsidR="00614E8A" w:rsidRPr="00614E8A">
        <w:rPr>
          <w:rFonts w:cs="Arial"/>
          <w:szCs w:val="20"/>
        </w:rPr>
        <w:t xml:space="preserve"> means the remoteness area adjustment</w:t>
      </w:r>
      <w:r w:rsidR="00614E8A" w:rsidRPr="00614E8A">
        <w:rPr>
          <w:rFonts w:cs="Arial"/>
          <w:b/>
          <w:szCs w:val="20"/>
        </w:rPr>
        <w:t xml:space="preserve"> </w:t>
      </w:r>
    </w:p>
    <w:p w:rsidR="00614E8A" w:rsidRPr="002B0802" w:rsidRDefault="00FE788C" w:rsidP="00AD4FFC">
      <w:pPr>
        <w:numPr>
          <w:ilvl w:val="1"/>
          <w:numId w:val="18"/>
        </w:numPr>
        <w:tabs>
          <w:tab w:val="left" w:pos="1162"/>
        </w:tabs>
        <w:spacing w:after="0"/>
        <w:ind w:left="1434" w:hanging="357"/>
        <w:rPr>
          <w:rFonts w:eastAsiaTheme="minorEastAsia"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RT</m:t>
            </m:r>
          </m:sub>
        </m:sSub>
      </m:oMath>
      <w:r w:rsidR="00614E8A" w:rsidRPr="00614E8A">
        <w:rPr>
          <w:rFonts w:cs="Arial"/>
          <w:b/>
          <w:szCs w:val="20"/>
        </w:rPr>
        <w:t xml:space="preserve"> </w:t>
      </w:r>
      <w:r w:rsidR="00614E8A" w:rsidRPr="00614E8A">
        <w:rPr>
          <w:rFonts w:cs="Arial"/>
          <w:szCs w:val="20"/>
        </w:rPr>
        <w:t>means the radiotherapy adjustment</w:t>
      </w:r>
    </w:p>
    <w:p w:rsidR="00AF74E4" w:rsidRPr="00614E8A" w:rsidRDefault="00FE788C" w:rsidP="00AD4FFC">
      <w:pPr>
        <w:numPr>
          <w:ilvl w:val="1"/>
          <w:numId w:val="18"/>
        </w:numPr>
        <w:tabs>
          <w:tab w:val="left" w:pos="1162"/>
        </w:tabs>
        <w:spacing w:after="0"/>
        <w:ind w:left="1434" w:hanging="357"/>
        <w:rPr>
          <w:rFonts w:eastAsiaTheme="minorEastAsia"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Dia</m:t>
            </m:r>
          </m:sub>
        </m:sSub>
      </m:oMath>
      <w:r w:rsidR="00AF74E4">
        <w:rPr>
          <w:rFonts w:eastAsiaTheme="minorEastAsia" w:cs="Arial"/>
          <w:szCs w:val="20"/>
        </w:rPr>
        <w:t xml:space="preserve"> means the dialysis adjustment</w:t>
      </w:r>
    </w:p>
    <w:p w:rsidR="00614E8A" w:rsidRPr="00614E8A" w:rsidRDefault="00FE788C" w:rsidP="00AD4FFC">
      <w:pPr>
        <w:numPr>
          <w:ilvl w:val="1"/>
          <w:numId w:val="18"/>
        </w:numPr>
        <w:tabs>
          <w:tab w:val="left" w:pos="1162"/>
        </w:tabs>
        <w:spacing w:after="0"/>
        <w:ind w:left="1434" w:hanging="357"/>
        <w:rPr>
          <w:rFonts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ICU</m:t>
            </m:r>
          </m:sub>
        </m:sSub>
      </m:oMath>
      <w:r w:rsidR="00614E8A" w:rsidRPr="00614E8A">
        <w:rPr>
          <w:rFonts w:cs="Arial"/>
          <w:szCs w:val="20"/>
        </w:rPr>
        <w:t xml:space="preserve"> means the ICU adjustment</w:t>
      </w:r>
    </w:p>
    <w:p w:rsidR="00614E8A" w:rsidRPr="00614E8A" w:rsidRDefault="00614E8A" w:rsidP="00AD4FFC">
      <w:pPr>
        <w:numPr>
          <w:ilvl w:val="1"/>
          <w:numId w:val="18"/>
        </w:numPr>
        <w:tabs>
          <w:tab w:val="left" w:pos="1162"/>
        </w:tabs>
        <w:spacing w:after="0"/>
        <w:ind w:left="1434" w:hanging="357"/>
        <w:rPr>
          <w:rFonts w:cs="Arial"/>
          <w:szCs w:val="20"/>
        </w:rPr>
      </w:pPr>
      <m:oMath>
        <m:r>
          <m:rPr>
            <m:sty m:val="p"/>
          </m:rPr>
          <w:rPr>
            <w:rFonts w:ascii="Cambria Math" w:hAnsi="Cambria Math" w:cs="Arial"/>
            <w:szCs w:val="20"/>
          </w:rPr>
          <m:t>ICU hours</m:t>
        </m:r>
      </m:oMath>
      <w:r w:rsidRPr="00614E8A">
        <w:rPr>
          <w:rFonts w:cs="Arial"/>
          <w:szCs w:val="20"/>
        </w:rPr>
        <w:t xml:space="preserve"> means the number of hours spent by a person within a Level 3 ICU/PICU</w:t>
      </w:r>
    </w:p>
    <w:p w:rsidR="00614E8A" w:rsidRPr="00614E8A" w:rsidRDefault="00FE788C" w:rsidP="00AD4FFC">
      <w:pPr>
        <w:numPr>
          <w:ilvl w:val="1"/>
          <w:numId w:val="18"/>
        </w:numPr>
        <w:tabs>
          <w:tab w:val="left" w:pos="1162"/>
        </w:tabs>
        <w:spacing w:after="0"/>
        <w:ind w:left="1434" w:hanging="357"/>
        <w:rPr>
          <w:rFonts w:eastAsiaTheme="minorEastAsia"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PPS</m:t>
            </m:r>
          </m:sub>
        </m:sSub>
      </m:oMath>
      <w:r w:rsidR="00614E8A" w:rsidRPr="00614E8A">
        <w:rPr>
          <w:rFonts w:cs="Arial"/>
          <w:szCs w:val="20"/>
        </w:rPr>
        <w:t xml:space="preserve"> means the private patient service adjustment</w:t>
      </w:r>
    </w:p>
    <w:p w:rsidR="00614E8A" w:rsidRPr="00614E8A" w:rsidRDefault="00FE788C" w:rsidP="00AD4FFC">
      <w:pPr>
        <w:numPr>
          <w:ilvl w:val="1"/>
          <w:numId w:val="18"/>
        </w:numPr>
        <w:tabs>
          <w:tab w:val="left" w:pos="1162"/>
        </w:tabs>
        <w:spacing w:after="0"/>
        <w:ind w:left="1434" w:hanging="357"/>
        <w:rPr>
          <w:rFonts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Acc</m:t>
            </m:r>
          </m:sub>
        </m:sSub>
      </m:oMath>
      <w:r w:rsidR="00614E8A" w:rsidRPr="00614E8A">
        <w:rPr>
          <w:rFonts w:cs="Arial"/>
          <w:b/>
          <w:szCs w:val="20"/>
        </w:rPr>
        <w:t xml:space="preserve"> </w:t>
      </w:r>
      <w:r w:rsidR="00614E8A" w:rsidRPr="00614E8A">
        <w:rPr>
          <w:rFonts w:cs="Arial"/>
          <w:szCs w:val="20"/>
        </w:rPr>
        <w:t>means the private patient accommodation adjustment applicable to the state/territory of hospitalisation and length of stay</w:t>
      </w:r>
    </w:p>
    <w:p w:rsidR="00614E8A" w:rsidRPr="00614E8A" w:rsidRDefault="00614E8A" w:rsidP="00AD4FFC">
      <w:pPr>
        <w:numPr>
          <w:ilvl w:val="1"/>
          <w:numId w:val="18"/>
        </w:numPr>
        <w:tabs>
          <w:tab w:val="left" w:pos="1162"/>
        </w:tabs>
        <w:autoSpaceDE w:val="0"/>
        <w:autoSpaceDN w:val="0"/>
        <w:adjustRightInd w:val="0"/>
        <w:spacing w:after="0"/>
        <w:ind w:left="1434" w:hanging="357"/>
        <w:rPr>
          <w:rFonts w:cs="Arial"/>
          <w:szCs w:val="20"/>
          <w:lang w:eastAsia="en-AU"/>
        </w:rPr>
      </w:pPr>
      <m:oMath>
        <m:r>
          <m:rPr>
            <m:sty m:val="p"/>
          </m:rPr>
          <w:rPr>
            <w:rFonts w:ascii="Cambria Math" w:hAnsi="Cambria Math" w:cs="Arial"/>
            <w:szCs w:val="20"/>
          </w:rPr>
          <m:t>LOS</m:t>
        </m:r>
      </m:oMath>
      <w:r w:rsidRPr="00614E8A">
        <w:rPr>
          <w:rFonts w:cs="Arial"/>
          <w:szCs w:val="20"/>
        </w:rPr>
        <w:t xml:space="preserve"> means length of stay in hospital (in days)</w:t>
      </w:r>
    </w:p>
    <w:p w:rsidR="00614E8A" w:rsidRPr="00614E8A" w:rsidRDefault="00614E8A" w:rsidP="00AD4FFC">
      <w:pPr>
        <w:numPr>
          <w:ilvl w:val="1"/>
          <w:numId w:val="18"/>
        </w:numPr>
        <w:tabs>
          <w:tab w:val="left" w:pos="1162"/>
        </w:tabs>
        <w:autoSpaceDE w:val="0"/>
        <w:autoSpaceDN w:val="0"/>
        <w:adjustRightInd w:val="0"/>
        <w:spacing w:after="0"/>
        <w:ind w:left="1434" w:hanging="357"/>
        <w:rPr>
          <w:rFonts w:cs="Arial"/>
          <w:szCs w:val="20"/>
          <w:lang w:eastAsia="en-AU"/>
        </w:rPr>
      </w:pPr>
      <m:oMath>
        <m:r>
          <m:rPr>
            <m:sty m:val="p"/>
          </m:rPr>
          <w:rPr>
            <w:rFonts w:ascii="Cambria Math" w:hAnsi="Cambria Math" w:cs="Arial"/>
            <w:szCs w:val="20"/>
          </w:rPr>
          <m:t>NEP</m:t>
        </m:r>
      </m:oMath>
      <w:r w:rsidRPr="00614E8A">
        <w:rPr>
          <w:rFonts w:cs="Arial"/>
          <w:szCs w:val="20"/>
        </w:rPr>
        <w:t xml:space="preserve"> is the National Efficient Price </w:t>
      </w:r>
      <w:r w:rsidR="000C75BC">
        <w:rPr>
          <w:rFonts w:cs="Arial"/>
          <w:szCs w:val="20"/>
        </w:rPr>
        <w:t>2016-17</w:t>
      </w:r>
    </w:p>
    <w:p w:rsidR="00992B3C" w:rsidRPr="00922B83" w:rsidRDefault="00460371" w:rsidP="00992B3C">
      <w:pPr>
        <w:tabs>
          <w:tab w:val="left" w:pos="1162"/>
        </w:tabs>
        <w:autoSpaceDE w:val="0"/>
        <w:autoSpaceDN w:val="0"/>
        <w:adjustRightInd w:val="0"/>
        <w:spacing w:before="240" w:after="0"/>
        <w:rPr>
          <w:rFonts w:cs="Arial"/>
          <w:szCs w:val="20"/>
          <w:lang w:eastAsia="en-AU"/>
        </w:rPr>
      </w:pPr>
      <w:r w:rsidRPr="00183A38">
        <w:rPr>
          <w:rFonts w:cs="Arial"/>
          <w:szCs w:val="20"/>
          <w:lang w:eastAsia="en-AU"/>
        </w:rPr>
        <w:t xml:space="preserve">In the event that the application of the private patient </w:t>
      </w:r>
      <w:r w:rsidRPr="00922B83">
        <w:rPr>
          <w:rFonts w:cs="Arial"/>
          <w:szCs w:val="20"/>
          <w:lang w:eastAsia="en-AU"/>
        </w:rPr>
        <w:t>adjustment</w:t>
      </w:r>
      <w:r>
        <w:rPr>
          <w:rFonts w:cs="Arial"/>
          <w:szCs w:val="20"/>
          <w:lang w:eastAsia="en-AU"/>
        </w:rPr>
        <w:t>s</w:t>
      </w:r>
      <w:r w:rsidRPr="00922B83">
        <w:rPr>
          <w:rFonts w:cs="Arial"/>
          <w:szCs w:val="20"/>
          <w:lang w:eastAsia="en-AU"/>
        </w:rPr>
        <w:t xml:space="preserve"> return a negative </w:t>
      </w:r>
      <w:proofErr w:type="gramStart"/>
      <w:r w:rsidRPr="00922B83">
        <w:rPr>
          <w:rFonts w:cs="Arial"/>
          <w:szCs w:val="20"/>
          <w:lang w:eastAsia="en-AU"/>
        </w:rPr>
        <w:t>NWAU(</w:t>
      </w:r>
      <w:proofErr w:type="gramEnd"/>
      <w:r w:rsidR="00E76D13">
        <w:rPr>
          <w:rFonts w:cs="Arial"/>
          <w:szCs w:val="20"/>
          <w:lang w:eastAsia="en-AU"/>
        </w:rPr>
        <w:t>16</w:t>
      </w:r>
      <w:r w:rsidRPr="00922B83">
        <w:rPr>
          <w:rFonts w:cs="Arial"/>
          <w:szCs w:val="20"/>
          <w:lang w:eastAsia="en-AU"/>
        </w:rPr>
        <w:t>) value for a</w:t>
      </w:r>
      <w:r>
        <w:rPr>
          <w:rFonts w:cs="Arial"/>
          <w:szCs w:val="20"/>
          <w:lang w:eastAsia="en-AU"/>
        </w:rPr>
        <w:t xml:space="preserve"> </w:t>
      </w:r>
      <w:r w:rsidRPr="00922B83">
        <w:rPr>
          <w:rFonts w:cs="Arial"/>
          <w:szCs w:val="20"/>
          <w:lang w:eastAsia="en-AU"/>
        </w:rPr>
        <w:t>particular patient, the NWAU</w:t>
      </w:r>
      <w:r>
        <w:rPr>
          <w:rFonts w:cs="Arial"/>
          <w:szCs w:val="20"/>
          <w:lang w:eastAsia="en-AU"/>
        </w:rPr>
        <w:t>(</w:t>
      </w:r>
      <w:r w:rsidR="00E76D13">
        <w:rPr>
          <w:rFonts w:cs="Arial"/>
          <w:szCs w:val="20"/>
          <w:lang w:eastAsia="en-AU"/>
        </w:rPr>
        <w:t>16</w:t>
      </w:r>
      <w:r>
        <w:rPr>
          <w:rFonts w:cs="Arial"/>
          <w:szCs w:val="20"/>
          <w:lang w:eastAsia="en-AU"/>
        </w:rPr>
        <w:t xml:space="preserve">) value is held to be zero; </w:t>
      </w:r>
      <w:r w:rsidRPr="00922B83">
        <w:rPr>
          <w:rFonts w:cs="Arial"/>
          <w:szCs w:val="20"/>
          <w:lang w:eastAsia="en-AU"/>
        </w:rPr>
        <w:t>that is, negative</w:t>
      </w:r>
      <w:r>
        <w:rPr>
          <w:rFonts w:cs="Arial"/>
          <w:szCs w:val="20"/>
          <w:lang w:eastAsia="en-AU"/>
        </w:rPr>
        <w:t xml:space="preserve"> </w:t>
      </w:r>
      <w:r w:rsidRPr="00922B83">
        <w:rPr>
          <w:rFonts w:cs="Arial"/>
          <w:szCs w:val="20"/>
          <w:lang w:eastAsia="en-AU"/>
        </w:rPr>
        <w:t>NWAU(</w:t>
      </w:r>
      <w:r w:rsidR="00E76D13">
        <w:rPr>
          <w:rFonts w:cs="Arial"/>
          <w:szCs w:val="20"/>
          <w:lang w:eastAsia="en-AU"/>
        </w:rPr>
        <w:t>16</w:t>
      </w:r>
      <w:r w:rsidRPr="00922B83">
        <w:rPr>
          <w:rFonts w:cs="Arial"/>
          <w:szCs w:val="20"/>
          <w:lang w:eastAsia="en-AU"/>
        </w:rPr>
        <w:t>) values are not permitted for any patients under the National Pricing</w:t>
      </w:r>
      <w:r>
        <w:rPr>
          <w:rFonts w:cs="Arial"/>
          <w:szCs w:val="20"/>
          <w:lang w:eastAsia="en-AU"/>
        </w:rPr>
        <w:t xml:space="preserve"> </w:t>
      </w:r>
      <w:r w:rsidRPr="00922B83">
        <w:rPr>
          <w:rFonts w:cs="Arial"/>
          <w:szCs w:val="20"/>
          <w:lang w:eastAsia="en-AU"/>
        </w:rPr>
        <w:t>Model.</w:t>
      </w:r>
    </w:p>
    <w:p w:rsidR="00460371" w:rsidRDefault="00460371" w:rsidP="00AD4FFC">
      <w:pPr>
        <w:pStyle w:val="Heading2"/>
        <w:keepLines w:val="0"/>
        <w:numPr>
          <w:ilvl w:val="1"/>
          <w:numId w:val="35"/>
        </w:numPr>
        <w:tabs>
          <w:tab w:val="left" w:pos="1162"/>
        </w:tabs>
        <w:spacing w:after="60"/>
      </w:pPr>
      <w:bookmarkStart w:id="211" w:name="_Toc436211123"/>
      <w:bookmarkStart w:id="212" w:name="_Toc436217282"/>
      <w:bookmarkStart w:id="213" w:name="_Toc436222102"/>
      <w:bookmarkStart w:id="214" w:name="_Toc436228412"/>
      <w:bookmarkStart w:id="215" w:name="_Ref342385185"/>
      <w:bookmarkStart w:id="216" w:name="_Toc380754708"/>
      <w:bookmarkStart w:id="217" w:name="_Toc444528588"/>
      <w:bookmarkEnd w:id="211"/>
      <w:bookmarkEnd w:id="212"/>
      <w:bookmarkEnd w:id="213"/>
      <w:bookmarkEnd w:id="214"/>
      <w:r>
        <w:t xml:space="preserve">Assigning NWAU to </w:t>
      </w:r>
      <w:r w:rsidR="001C6800">
        <w:t>admitted acute</w:t>
      </w:r>
      <w:r>
        <w:t xml:space="preserve"> patient data</w:t>
      </w:r>
      <w:bookmarkEnd w:id="215"/>
      <w:bookmarkEnd w:id="216"/>
      <w:bookmarkEnd w:id="217"/>
    </w:p>
    <w:bookmarkEnd w:id="210"/>
    <w:p w:rsidR="00DC7ED9" w:rsidRDefault="00460371" w:rsidP="00E33EAE">
      <w:pPr>
        <w:tabs>
          <w:tab w:val="left" w:pos="1162"/>
        </w:tabs>
        <w:spacing w:before="120"/>
        <w:rPr>
          <w:rFonts w:cs="Arial"/>
          <w:szCs w:val="20"/>
        </w:rPr>
      </w:pPr>
      <w:r w:rsidRPr="00922B83">
        <w:rPr>
          <w:rFonts w:cs="Arial"/>
          <w:szCs w:val="20"/>
        </w:rPr>
        <w:t xml:space="preserve">This section describes how the NWAU resulting from the analysis of costs described in the previous sections can be applied to </w:t>
      </w:r>
      <w:proofErr w:type="gramStart"/>
      <w:r w:rsidR="001C6800">
        <w:rPr>
          <w:rFonts w:cs="Arial"/>
          <w:szCs w:val="20"/>
        </w:rPr>
        <w:t>admitted</w:t>
      </w:r>
      <w:proofErr w:type="gramEnd"/>
      <w:r w:rsidR="001C6800">
        <w:rPr>
          <w:rFonts w:cs="Arial"/>
          <w:szCs w:val="20"/>
        </w:rPr>
        <w:t xml:space="preserve"> acute</w:t>
      </w:r>
      <w:r w:rsidRPr="00922B83">
        <w:rPr>
          <w:rFonts w:cs="Arial"/>
          <w:szCs w:val="20"/>
        </w:rPr>
        <w:t xml:space="preserve"> patient activity data to assign NWAU to </w:t>
      </w:r>
      <w:r w:rsidR="001C6800">
        <w:rPr>
          <w:rFonts w:cs="Arial"/>
          <w:szCs w:val="20"/>
        </w:rPr>
        <w:t>admitted acute</w:t>
      </w:r>
      <w:r w:rsidRPr="00922B83">
        <w:rPr>
          <w:rFonts w:cs="Arial"/>
          <w:szCs w:val="20"/>
        </w:rPr>
        <w:t xml:space="preserve"> episodes</w:t>
      </w:r>
      <w:r>
        <w:rPr>
          <w:rFonts w:cs="Arial"/>
          <w:szCs w:val="20"/>
        </w:rPr>
        <w:t xml:space="preserve">. To </w:t>
      </w:r>
      <w:r w:rsidRPr="00922B83">
        <w:rPr>
          <w:rFonts w:cs="Arial"/>
          <w:szCs w:val="20"/>
        </w:rPr>
        <w:t xml:space="preserve">enable users to implement the </w:t>
      </w:r>
      <w:r>
        <w:rPr>
          <w:rFonts w:cs="Arial"/>
          <w:szCs w:val="20"/>
        </w:rPr>
        <w:t>NWAU to activity data, this</w:t>
      </w:r>
      <w:r w:rsidRPr="00922B83">
        <w:rPr>
          <w:rFonts w:cs="Arial"/>
          <w:szCs w:val="20"/>
        </w:rPr>
        <w:t xml:space="preserve"> section </w:t>
      </w:r>
      <w:r>
        <w:rPr>
          <w:rFonts w:cs="Arial"/>
          <w:szCs w:val="20"/>
        </w:rPr>
        <w:t>gives detailed definitions of the variables required throughout the process of assigning NWAU.</w:t>
      </w:r>
    </w:p>
    <w:p w:rsidR="000B27D2" w:rsidRDefault="00460371" w:rsidP="00CD4FCF">
      <w:pPr>
        <w:tabs>
          <w:tab w:val="left" w:pos="1162"/>
        </w:tabs>
        <w:spacing w:before="120"/>
        <w:rPr>
          <w:rFonts w:cs="Arial"/>
          <w:szCs w:val="20"/>
        </w:rPr>
      </w:pPr>
      <w:r w:rsidRPr="00922B83">
        <w:rPr>
          <w:rFonts w:cs="Arial"/>
          <w:szCs w:val="20"/>
        </w:rPr>
        <w:t xml:space="preserve">The key steps in determining NWAU for </w:t>
      </w:r>
      <w:r w:rsidR="001C6800">
        <w:rPr>
          <w:rFonts w:cs="Arial"/>
          <w:szCs w:val="20"/>
        </w:rPr>
        <w:t>admitted acute</w:t>
      </w:r>
      <w:r w:rsidRPr="00922B83">
        <w:rPr>
          <w:rFonts w:cs="Arial"/>
          <w:szCs w:val="20"/>
        </w:rPr>
        <w:t xml:space="preserve"> activity are:</w:t>
      </w:r>
    </w:p>
    <w:p w:rsidR="00460371" w:rsidRPr="00F45E94" w:rsidRDefault="00C82274" w:rsidP="00AD4FFC">
      <w:pPr>
        <w:tabs>
          <w:tab w:val="left" w:pos="1162"/>
        </w:tabs>
        <w:spacing w:before="120"/>
        <w:rPr>
          <w:rFonts w:cs="Arial"/>
          <w:szCs w:val="20"/>
        </w:rPr>
      </w:pPr>
      <w:r w:rsidRPr="00F45E94">
        <w:rPr>
          <w:rFonts w:cs="Arial"/>
          <w:szCs w:val="20"/>
          <w:u w:val="single"/>
        </w:rPr>
        <w:t>Stage 1</w:t>
      </w:r>
      <w:r>
        <w:rPr>
          <w:rFonts w:cs="Arial"/>
          <w:szCs w:val="20"/>
        </w:rPr>
        <w:t>:</w:t>
      </w:r>
      <w:r w:rsidRPr="00F45E94">
        <w:rPr>
          <w:rFonts w:cs="Arial"/>
          <w:szCs w:val="20"/>
        </w:rPr>
        <w:t xml:space="preserve"> </w:t>
      </w:r>
      <w:r w:rsidR="00460371" w:rsidRPr="00F45E94">
        <w:rPr>
          <w:rFonts w:cs="Arial"/>
          <w:szCs w:val="20"/>
        </w:rPr>
        <w:t xml:space="preserve">Preparation of </w:t>
      </w:r>
      <w:r w:rsidR="001C6800">
        <w:rPr>
          <w:rFonts w:cs="Arial"/>
          <w:szCs w:val="20"/>
        </w:rPr>
        <w:t>admitted acute</w:t>
      </w:r>
      <w:r w:rsidR="00460371" w:rsidRPr="00F45E94">
        <w:rPr>
          <w:rFonts w:cs="Arial"/>
          <w:szCs w:val="20"/>
        </w:rPr>
        <w:t xml:space="preserve"> patient data and creation of variables required for NWAU calculation.</w:t>
      </w:r>
    </w:p>
    <w:p w:rsidR="00460371" w:rsidRPr="00F45E94" w:rsidRDefault="00C82274" w:rsidP="00AD4FFC">
      <w:pPr>
        <w:tabs>
          <w:tab w:val="left" w:pos="1162"/>
        </w:tabs>
        <w:rPr>
          <w:rFonts w:cs="Arial"/>
          <w:szCs w:val="20"/>
        </w:rPr>
      </w:pPr>
      <w:r w:rsidRPr="00F45E94">
        <w:rPr>
          <w:rFonts w:cs="Arial"/>
          <w:szCs w:val="20"/>
          <w:u w:val="single"/>
        </w:rPr>
        <w:t>Stage 2</w:t>
      </w:r>
      <w:r>
        <w:rPr>
          <w:rFonts w:cs="Arial"/>
          <w:szCs w:val="20"/>
        </w:rPr>
        <w:t>:</w:t>
      </w:r>
      <w:r w:rsidRPr="00F45E94">
        <w:rPr>
          <w:rFonts w:cs="Arial"/>
          <w:szCs w:val="20"/>
        </w:rPr>
        <w:t xml:space="preserve"> </w:t>
      </w:r>
      <w:r w:rsidR="00460371" w:rsidRPr="00F45E94">
        <w:rPr>
          <w:rFonts w:cs="Arial"/>
          <w:szCs w:val="20"/>
        </w:rPr>
        <w:t xml:space="preserve">Calculation of NWAU using </w:t>
      </w:r>
      <w:r w:rsidR="001C6800">
        <w:rPr>
          <w:rFonts w:cs="Arial"/>
          <w:szCs w:val="20"/>
        </w:rPr>
        <w:t>admitted acute</w:t>
      </w:r>
      <w:r w:rsidR="00460371" w:rsidRPr="00F45E94">
        <w:rPr>
          <w:rFonts w:cs="Arial"/>
          <w:szCs w:val="20"/>
        </w:rPr>
        <w:t xml:space="preserve"> patient data prepared in Stage 1.</w:t>
      </w:r>
    </w:p>
    <w:p w:rsidR="00460371" w:rsidRPr="00F45E94" w:rsidRDefault="00460371" w:rsidP="00AD4FFC">
      <w:pPr>
        <w:pStyle w:val="Heading3"/>
        <w:keepLines w:val="0"/>
        <w:numPr>
          <w:ilvl w:val="2"/>
          <w:numId w:val="35"/>
        </w:numPr>
        <w:tabs>
          <w:tab w:val="left" w:pos="1162"/>
        </w:tabs>
        <w:spacing w:before="240" w:after="120"/>
      </w:pPr>
      <w:bookmarkStart w:id="218" w:name="_Toc380754709"/>
      <w:bookmarkStart w:id="219" w:name="_Toc444528589"/>
      <w:r w:rsidRPr="00F45E94">
        <w:t>Data Preparation</w:t>
      </w:r>
      <w:bookmarkEnd w:id="218"/>
      <w:r w:rsidR="000F590C">
        <w:t xml:space="preserve"> and Calculation NWAU</w:t>
      </w:r>
      <w:bookmarkEnd w:id="219"/>
    </w:p>
    <w:p w:rsidR="00BC68AC" w:rsidRDefault="00460371" w:rsidP="00AD4FFC">
      <w:pPr>
        <w:tabs>
          <w:tab w:val="left" w:pos="1162"/>
        </w:tabs>
        <w:rPr>
          <w:rFonts w:cs="Arial"/>
          <w:szCs w:val="20"/>
        </w:rPr>
      </w:pPr>
      <w:r w:rsidRPr="00F45E94">
        <w:rPr>
          <w:rFonts w:cs="Arial"/>
          <w:szCs w:val="20"/>
        </w:rPr>
        <w:t xml:space="preserve">The data preparation </w:t>
      </w:r>
      <w:r w:rsidR="0029628B">
        <w:rPr>
          <w:rFonts w:cs="Arial"/>
          <w:szCs w:val="20"/>
        </w:rPr>
        <w:t>stage</w:t>
      </w:r>
      <w:r w:rsidRPr="00F45E94">
        <w:rPr>
          <w:rFonts w:cs="Arial"/>
          <w:szCs w:val="20"/>
        </w:rPr>
        <w:t xml:space="preserve"> is illustrated in</w:t>
      </w:r>
      <w:r w:rsidR="00AE054F">
        <w:rPr>
          <w:rFonts w:cs="Arial"/>
          <w:szCs w:val="20"/>
        </w:rPr>
        <w:t xml:space="preserve"> Figure 5</w:t>
      </w:r>
      <w:r w:rsidRPr="00F45E94">
        <w:rPr>
          <w:rFonts w:cs="Arial"/>
          <w:szCs w:val="20"/>
        </w:rPr>
        <w:t xml:space="preserve">. The process is broken into </w:t>
      </w:r>
      <w:r w:rsidR="00E85B8C">
        <w:rPr>
          <w:rFonts w:cs="Arial"/>
          <w:szCs w:val="20"/>
        </w:rPr>
        <w:t>seven</w:t>
      </w:r>
      <w:r w:rsidRPr="00F45E94">
        <w:rPr>
          <w:rFonts w:cs="Arial"/>
          <w:szCs w:val="20"/>
        </w:rPr>
        <w:t xml:space="preserve"> steps each requiring variables created in previous steps. The resulting dataset is </w:t>
      </w:r>
      <w:bookmarkStart w:id="220" w:name="_Ref342308999"/>
      <w:r w:rsidR="0029628B">
        <w:rPr>
          <w:rFonts w:cs="Arial"/>
          <w:szCs w:val="20"/>
        </w:rPr>
        <w:t>called the ‘prepared acute dataset’</w:t>
      </w:r>
      <w:r w:rsidR="000F590C">
        <w:rPr>
          <w:rFonts w:cs="Arial"/>
          <w:szCs w:val="20"/>
        </w:rPr>
        <w:t>.</w:t>
      </w:r>
    </w:p>
    <w:p w:rsidR="00460371" w:rsidRDefault="00460371">
      <w:pPr>
        <w:pStyle w:val="table"/>
      </w:pPr>
      <w:r>
        <w:t xml:space="preserve">Figure </w:t>
      </w:r>
      <w:bookmarkEnd w:id="220"/>
      <w:r w:rsidR="00933C77">
        <w:t>5</w:t>
      </w:r>
      <w:r>
        <w:t xml:space="preserve">: </w:t>
      </w:r>
      <w:r w:rsidR="000F590C">
        <w:t xml:space="preserve">Acute Data Set Preparation Process </w:t>
      </w:r>
      <w:r w:rsidR="009A5828">
        <w:t>– Stage 1</w:t>
      </w:r>
    </w:p>
    <w:p w:rsidR="00E76D13" w:rsidRDefault="00CB2899" w:rsidP="00992B3C">
      <w:r>
        <w:rPr>
          <w:noProof/>
          <w:lang w:eastAsia="en-AU"/>
        </w:rPr>
        <w:drawing>
          <wp:inline distT="0" distB="0" distL="0" distR="0" wp14:anchorId="62704036" wp14:editId="075C49A9">
            <wp:extent cx="5732145" cy="3379883"/>
            <wp:effectExtent l="19050" t="19050" r="20955"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2145" cy="3379883"/>
                    </a:xfrm>
                    <a:prstGeom prst="rect">
                      <a:avLst/>
                    </a:prstGeom>
                    <a:ln>
                      <a:solidFill>
                        <a:schemeClr val="tx1"/>
                      </a:solidFill>
                    </a:ln>
                  </pic:spPr>
                </pic:pic>
              </a:graphicData>
            </a:graphic>
          </wp:inline>
        </w:drawing>
      </w:r>
    </w:p>
    <w:p w:rsidR="000D6010" w:rsidRPr="000D6010" w:rsidRDefault="00B32A11" w:rsidP="00992B3C">
      <w:r w:rsidRPr="002909DA">
        <w:t xml:space="preserve">The process requires the </w:t>
      </w:r>
      <w:r>
        <w:t>seven</w:t>
      </w:r>
      <w:r w:rsidRPr="002909DA">
        <w:t xml:space="preserve"> input datasets or tables referred to in</w:t>
      </w:r>
      <w:r>
        <w:t xml:space="preserve"> </w:t>
      </w:r>
      <w:r w:rsidR="00933C77">
        <w:t>Table 4.</w:t>
      </w:r>
      <w:bookmarkStart w:id="221" w:name="_Ref342307829"/>
      <w:r w:rsidR="000D6010" w:rsidRPr="000D6010">
        <w:t xml:space="preserve"> </w:t>
      </w:r>
    </w:p>
    <w:p w:rsidR="000D6010" w:rsidRDefault="000D6010" w:rsidP="000D6010">
      <w:r>
        <w:t xml:space="preserve">The input APC dataset has </w:t>
      </w:r>
      <w:r w:rsidRPr="002074EB">
        <w:t>19</w:t>
      </w:r>
      <w:r>
        <w:t xml:space="preserve"> variables. </w:t>
      </w:r>
    </w:p>
    <w:p w:rsidR="000D6010" w:rsidRDefault="000D6010" w:rsidP="000D6010">
      <w:r>
        <w:t xml:space="preserve">Table 5 lists these variables, which form part of the </w:t>
      </w:r>
      <w:r w:rsidR="00EF5610" w:rsidRPr="00EF5610">
        <w:t>Admitted Patient Care National Minimum Data Set (APC NMDS)</w:t>
      </w:r>
      <w:r>
        <w:t>, located on the IHPA website.</w:t>
      </w:r>
    </w:p>
    <w:p w:rsidR="007C57DE" w:rsidRPr="000D6010" w:rsidRDefault="000D6010" w:rsidP="000D6010">
      <w:r>
        <w:t>The variable definitions required in the process are given in Table 6.</w:t>
      </w:r>
    </w:p>
    <w:p w:rsidR="00460371" w:rsidRDefault="00460371" w:rsidP="00044050">
      <w:pPr>
        <w:pStyle w:val="table"/>
      </w:pPr>
      <w:r>
        <w:t>Table</w:t>
      </w:r>
      <w:bookmarkEnd w:id="221"/>
      <w:r w:rsidR="000406E0">
        <w:t xml:space="preserve"> 4</w:t>
      </w:r>
      <w:r>
        <w:t xml:space="preserve">: </w:t>
      </w:r>
      <w:r w:rsidRPr="00E301C0">
        <w:t xml:space="preserve">Dataset and tables required for assignment of NWAU to </w:t>
      </w:r>
      <w:r w:rsidR="001C6800">
        <w:t>admitted acute</w:t>
      </w:r>
      <w:r w:rsidRPr="00E301C0">
        <w:t xml:space="preserve"> patient data</w:t>
      </w: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A summary of table 4 is outlined in the text prior to this table."/>
      </w:tblPr>
      <w:tblGrid>
        <w:gridCol w:w="2660"/>
        <w:gridCol w:w="6583"/>
      </w:tblGrid>
      <w:tr w:rsidR="00B32A11" w:rsidRPr="00C525F3" w:rsidTr="00225003">
        <w:trPr>
          <w:cantSplit/>
          <w:tblHeader/>
        </w:trPr>
        <w:tc>
          <w:tcPr>
            <w:tcW w:w="2660" w:type="dxa"/>
            <w:shd w:val="clear" w:color="auto" w:fill="BFBFBF" w:themeFill="background1" w:themeFillShade="BF"/>
          </w:tcPr>
          <w:p w:rsidR="00B32A11" w:rsidRPr="00B70359" w:rsidRDefault="00B32A11" w:rsidP="00AD4FFC">
            <w:pPr>
              <w:tabs>
                <w:tab w:val="left" w:pos="1162"/>
              </w:tabs>
              <w:spacing w:before="80" w:after="80"/>
              <w:rPr>
                <w:rFonts w:cs="Arial"/>
                <w:b/>
                <w:sz w:val="20"/>
                <w:szCs w:val="20"/>
              </w:rPr>
            </w:pPr>
            <w:bookmarkStart w:id="222" w:name="_Ref342307855"/>
            <w:r w:rsidRPr="00B70359">
              <w:rPr>
                <w:rFonts w:cs="Arial"/>
                <w:b/>
                <w:sz w:val="20"/>
                <w:szCs w:val="20"/>
              </w:rPr>
              <w:t>Input dataset or table</w:t>
            </w:r>
          </w:p>
        </w:tc>
        <w:tc>
          <w:tcPr>
            <w:tcW w:w="6583" w:type="dxa"/>
            <w:shd w:val="clear" w:color="auto" w:fill="BFBFBF" w:themeFill="background1" w:themeFillShade="BF"/>
          </w:tcPr>
          <w:p w:rsidR="00B32A11" w:rsidRPr="00B70359" w:rsidRDefault="00B32A11" w:rsidP="00AD4FFC">
            <w:pPr>
              <w:tabs>
                <w:tab w:val="left" w:pos="1162"/>
              </w:tabs>
              <w:spacing w:before="80" w:after="80"/>
              <w:rPr>
                <w:rFonts w:cs="Arial"/>
                <w:b/>
                <w:sz w:val="20"/>
                <w:szCs w:val="20"/>
              </w:rPr>
            </w:pPr>
            <w:r w:rsidRPr="00B70359">
              <w:rPr>
                <w:rFonts w:cs="Arial"/>
                <w:b/>
                <w:sz w:val="20"/>
                <w:szCs w:val="20"/>
              </w:rPr>
              <w:t>Description</w:t>
            </w:r>
          </w:p>
        </w:tc>
      </w:tr>
      <w:tr w:rsidR="00B32A11" w:rsidRPr="00C525F3" w:rsidTr="00225003">
        <w:trPr>
          <w:cantSplit/>
        </w:trPr>
        <w:tc>
          <w:tcPr>
            <w:tcW w:w="2660" w:type="dxa"/>
          </w:tcPr>
          <w:p w:rsidR="00B32A11" w:rsidRPr="00E33EAE" w:rsidRDefault="00B32A11" w:rsidP="00B71156">
            <w:pPr>
              <w:tabs>
                <w:tab w:val="left" w:pos="1162"/>
              </w:tabs>
              <w:spacing w:before="80" w:after="80"/>
              <w:rPr>
                <w:rFonts w:cs="Arial"/>
                <w:sz w:val="18"/>
                <w:szCs w:val="20"/>
              </w:rPr>
            </w:pPr>
            <w:r w:rsidRPr="00E33EAE">
              <w:rPr>
                <w:rFonts w:cs="Arial"/>
                <w:sz w:val="18"/>
                <w:szCs w:val="20"/>
              </w:rPr>
              <w:t xml:space="preserve">APC </w:t>
            </w:r>
            <w:r w:rsidR="00B71156" w:rsidRPr="00E33EAE">
              <w:rPr>
                <w:rFonts w:cs="Arial"/>
                <w:sz w:val="18"/>
                <w:szCs w:val="20"/>
              </w:rPr>
              <w:t xml:space="preserve">NMDS </w:t>
            </w:r>
          </w:p>
        </w:tc>
        <w:tc>
          <w:tcPr>
            <w:tcW w:w="6583" w:type="dxa"/>
          </w:tcPr>
          <w:p w:rsidR="00B32A11" w:rsidRPr="00E33EAE" w:rsidRDefault="00B32A11" w:rsidP="00B71156">
            <w:pPr>
              <w:tabs>
                <w:tab w:val="left" w:pos="1162"/>
              </w:tabs>
              <w:spacing w:before="80" w:after="80"/>
              <w:rPr>
                <w:rFonts w:cs="Arial"/>
                <w:sz w:val="18"/>
                <w:szCs w:val="20"/>
              </w:rPr>
            </w:pPr>
            <w:r w:rsidRPr="00E33EAE">
              <w:rPr>
                <w:rFonts w:cs="Arial"/>
                <w:sz w:val="18"/>
                <w:szCs w:val="20"/>
              </w:rPr>
              <w:t xml:space="preserve">Dataset based on the </w:t>
            </w:r>
            <w:r w:rsidR="000C75BC" w:rsidRPr="00E33EAE">
              <w:rPr>
                <w:rFonts w:cs="Arial"/>
                <w:sz w:val="18"/>
                <w:szCs w:val="20"/>
              </w:rPr>
              <w:t>2016-17</w:t>
            </w:r>
            <w:r w:rsidRPr="00E33EAE">
              <w:rPr>
                <w:rFonts w:cs="Arial"/>
                <w:sz w:val="18"/>
                <w:szCs w:val="20"/>
              </w:rPr>
              <w:t xml:space="preserve"> Admitted Patient Care</w:t>
            </w:r>
            <w:r w:rsidR="00B71156" w:rsidRPr="00E33EAE">
              <w:rPr>
                <w:rFonts w:cs="Arial"/>
                <w:sz w:val="18"/>
                <w:szCs w:val="20"/>
              </w:rPr>
              <w:t xml:space="preserve"> National Minimum Data Set</w:t>
            </w:r>
            <w:r w:rsidRPr="00E33EAE">
              <w:rPr>
                <w:rFonts w:cs="Arial"/>
                <w:sz w:val="18"/>
                <w:szCs w:val="20"/>
              </w:rPr>
              <w:t xml:space="preserve"> </w:t>
            </w:r>
            <w:r w:rsidR="00B71156" w:rsidRPr="00E33EAE">
              <w:rPr>
                <w:rFonts w:cs="Arial"/>
                <w:sz w:val="18"/>
                <w:szCs w:val="20"/>
              </w:rPr>
              <w:t>(APC NMDS)</w:t>
            </w:r>
            <w:r w:rsidRPr="00E33EAE">
              <w:rPr>
                <w:rFonts w:cs="Arial"/>
                <w:sz w:val="18"/>
                <w:szCs w:val="20"/>
              </w:rPr>
              <w:t xml:space="preserve"> located on the IHPA website.</w:t>
            </w:r>
          </w:p>
        </w:tc>
      </w:tr>
      <w:tr w:rsidR="00B32A11" w:rsidRPr="00C525F3" w:rsidTr="00225003">
        <w:trPr>
          <w:cantSplit/>
        </w:trPr>
        <w:tc>
          <w:tcPr>
            <w:tcW w:w="2660" w:type="dxa"/>
          </w:tcPr>
          <w:p w:rsidR="00B32A11" w:rsidRPr="00E33EAE" w:rsidRDefault="00B32A11" w:rsidP="00AD4FFC">
            <w:pPr>
              <w:tabs>
                <w:tab w:val="left" w:pos="1162"/>
              </w:tabs>
              <w:spacing w:before="80" w:after="80"/>
              <w:rPr>
                <w:rFonts w:cs="Arial"/>
                <w:sz w:val="18"/>
                <w:szCs w:val="20"/>
              </w:rPr>
            </w:pPr>
            <w:r w:rsidRPr="00E33EAE">
              <w:rPr>
                <w:rFonts w:cs="Arial"/>
                <w:sz w:val="18"/>
                <w:szCs w:val="20"/>
              </w:rPr>
              <w:t>Postcode table</w:t>
            </w:r>
          </w:p>
        </w:tc>
        <w:tc>
          <w:tcPr>
            <w:tcW w:w="6583" w:type="dxa"/>
          </w:tcPr>
          <w:p w:rsidR="00B32A11" w:rsidRPr="00E33EAE" w:rsidRDefault="00B32A11" w:rsidP="00AD4FFC">
            <w:pPr>
              <w:tabs>
                <w:tab w:val="left" w:pos="1162"/>
              </w:tabs>
              <w:spacing w:before="80" w:after="80"/>
              <w:rPr>
                <w:rFonts w:cs="Arial"/>
                <w:sz w:val="18"/>
                <w:szCs w:val="20"/>
              </w:rPr>
            </w:pPr>
            <w:r w:rsidRPr="00E33EAE">
              <w:rPr>
                <w:rFonts w:cs="Arial"/>
                <w:sz w:val="18"/>
                <w:szCs w:val="20"/>
              </w:rPr>
              <w:t>Table of postcodes mapped to the 2011 ASGS Remoteness Area classification. Each postcode is mapped to the Remoteness Area category within which the majority of the postcode’s population resides. PO Box postcodes are mapped to the Remoteness Area category within which the Post Office is located.</w:t>
            </w:r>
          </w:p>
        </w:tc>
      </w:tr>
      <w:tr w:rsidR="00B32A11" w:rsidRPr="00C525F3" w:rsidTr="00225003">
        <w:trPr>
          <w:cantSplit/>
        </w:trPr>
        <w:tc>
          <w:tcPr>
            <w:tcW w:w="2660" w:type="dxa"/>
          </w:tcPr>
          <w:p w:rsidR="00B32A11" w:rsidRPr="00E33EAE" w:rsidRDefault="00B32A11" w:rsidP="00AD4FFC">
            <w:pPr>
              <w:tabs>
                <w:tab w:val="left" w:pos="1162"/>
              </w:tabs>
              <w:spacing w:before="80" w:after="80"/>
              <w:rPr>
                <w:rFonts w:cs="Arial"/>
                <w:sz w:val="18"/>
                <w:szCs w:val="20"/>
              </w:rPr>
            </w:pPr>
            <w:r w:rsidRPr="00E33EAE">
              <w:rPr>
                <w:rFonts w:cs="Arial"/>
                <w:sz w:val="18"/>
                <w:szCs w:val="20"/>
              </w:rPr>
              <w:t>ASGS table</w:t>
            </w:r>
          </w:p>
        </w:tc>
        <w:tc>
          <w:tcPr>
            <w:tcW w:w="6583" w:type="dxa"/>
          </w:tcPr>
          <w:p w:rsidR="00B32A11" w:rsidRPr="00E33EAE" w:rsidRDefault="00B32A11" w:rsidP="00AD4FFC">
            <w:pPr>
              <w:tabs>
                <w:tab w:val="left" w:pos="1162"/>
              </w:tabs>
              <w:spacing w:before="80" w:after="80"/>
              <w:rPr>
                <w:rFonts w:cs="Arial"/>
                <w:sz w:val="18"/>
                <w:szCs w:val="20"/>
              </w:rPr>
            </w:pPr>
            <w:r w:rsidRPr="00E33EAE">
              <w:rPr>
                <w:rFonts w:cs="Arial"/>
                <w:sz w:val="18"/>
                <w:szCs w:val="20"/>
              </w:rPr>
              <w:t xml:space="preserve">Table of </w:t>
            </w:r>
            <w:r w:rsidRPr="00E33EAE">
              <w:rPr>
                <w:rFonts w:ascii="Arial" w:hAnsi="Arial" w:cs="Arial"/>
                <w:sz w:val="18"/>
                <w:szCs w:val="20"/>
              </w:rPr>
              <w:t>Australian Statistical Geography Standard</w:t>
            </w:r>
            <w:r w:rsidRPr="00E33EAE">
              <w:rPr>
                <w:rFonts w:cs="Arial"/>
                <w:sz w:val="18"/>
                <w:szCs w:val="20"/>
              </w:rPr>
              <w:t xml:space="preserve"> (ASGS) mapped to the Remoteness Area category within which the majority of the ASGS’s population resides.</w:t>
            </w:r>
          </w:p>
        </w:tc>
      </w:tr>
      <w:tr w:rsidR="00B32A11" w:rsidRPr="00C525F3" w:rsidTr="00225003">
        <w:trPr>
          <w:cantSplit/>
        </w:trPr>
        <w:tc>
          <w:tcPr>
            <w:tcW w:w="2660" w:type="dxa"/>
          </w:tcPr>
          <w:p w:rsidR="00B32A11" w:rsidRPr="00E33EAE" w:rsidRDefault="00B32A11" w:rsidP="00AD4FFC">
            <w:pPr>
              <w:tabs>
                <w:tab w:val="left" w:pos="1162"/>
              </w:tabs>
              <w:spacing w:before="80" w:after="80"/>
              <w:rPr>
                <w:rFonts w:cs="Arial"/>
                <w:sz w:val="18"/>
                <w:szCs w:val="20"/>
              </w:rPr>
            </w:pPr>
            <w:r w:rsidRPr="00E33EAE">
              <w:rPr>
                <w:rFonts w:cs="Arial"/>
                <w:sz w:val="18"/>
                <w:szCs w:val="20"/>
              </w:rPr>
              <w:t>SLA table</w:t>
            </w:r>
          </w:p>
        </w:tc>
        <w:tc>
          <w:tcPr>
            <w:tcW w:w="6583" w:type="dxa"/>
          </w:tcPr>
          <w:p w:rsidR="00B32A11" w:rsidRPr="00E33EAE" w:rsidRDefault="00B32A11" w:rsidP="00AD4FFC">
            <w:pPr>
              <w:tabs>
                <w:tab w:val="left" w:pos="1162"/>
              </w:tabs>
              <w:spacing w:before="80" w:after="80"/>
              <w:rPr>
                <w:rFonts w:cs="Arial"/>
                <w:sz w:val="18"/>
                <w:szCs w:val="20"/>
              </w:rPr>
            </w:pPr>
            <w:r w:rsidRPr="00E33EAE">
              <w:rPr>
                <w:rFonts w:cs="Arial"/>
                <w:sz w:val="18"/>
                <w:szCs w:val="20"/>
              </w:rPr>
              <w:t>Table of Statistical Local Areas (SLAs) mapped to the 2011 ASGS Remoteness Area classification. Each SLA is mapped to the Remoteness Area category within which the majority of the SLA’s population resides.</w:t>
            </w:r>
          </w:p>
        </w:tc>
      </w:tr>
      <w:tr w:rsidR="00B32A11" w:rsidRPr="00C525F3" w:rsidTr="00225003">
        <w:trPr>
          <w:cantSplit/>
        </w:trPr>
        <w:tc>
          <w:tcPr>
            <w:tcW w:w="2660" w:type="dxa"/>
          </w:tcPr>
          <w:p w:rsidR="00B32A11" w:rsidRPr="00E33EAE" w:rsidRDefault="00B32A11" w:rsidP="00AD4FFC">
            <w:pPr>
              <w:tabs>
                <w:tab w:val="left" w:pos="1162"/>
              </w:tabs>
              <w:spacing w:before="80" w:after="80"/>
              <w:rPr>
                <w:rFonts w:cs="Arial"/>
                <w:sz w:val="18"/>
                <w:szCs w:val="20"/>
              </w:rPr>
            </w:pPr>
            <w:r w:rsidRPr="00E33EAE">
              <w:rPr>
                <w:rFonts w:cs="Arial"/>
                <w:sz w:val="18"/>
                <w:szCs w:val="20"/>
              </w:rPr>
              <w:t>ICU Rate and Paediatric Adjustment eligibility table</w:t>
            </w:r>
          </w:p>
        </w:tc>
        <w:tc>
          <w:tcPr>
            <w:tcW w:w="6583" w:type="dxa"/>
          </w:tcPr>
          <w:p w:rsidR="00B32A11" w:rsidRPr="00E33EAE" w:rsidRDefault="00B32A11" w:rsidP="00A038D0">
            <w:pPr>
              <w:tabs>
                <w:tab w:val="left" w:pos="1162"/>
              </w:tabs>
              <w:spacing w:before="80" w:after="80"/>
              <w:rPr>
                <w:rFonts w:cs="Arial"/>
                <w:sz w:val="18"/>
                <w:szCs w:val="20"/>
              </w:rPr>
            </w:pPr>
            <w:r w:rsidRPr="00E33EAE">
              <w:rPr>
                <w:rFonts w:cs="Arial"/>
                <w:sz w:val="18"/>
                <w:szCs w:val="20"/>
              </w:rPr>
              <w:t xml:space="preserve">Table listing establishments with an eligible ICU or PICU, found in the </w:t>
            </w:r>
            <w:r w:rsidR="00A038D0" w:rsidRPr="00E33EAE">
              <w:rPr>
                <w:rFonts w:cs="Arial"/>
                <w:sz w:val="18"/>
                <w:szCs w:val="20"/>
              </w:rPr>
              <w:t xml:space="preserve">NEP16 </w:t>
            </w:r>
            <w:r w:rsidRPr="00E33EAE">
              <w:rPr>
                <w:rFonts w:cs="Arial"/>
                <w:sz w:val="18"/>
                <w:szCs w:val="20"/>
              </w:rPr>
              <w:t xml:space="preserve">Determination and Glossary.  </w:t>
            </w:r>
          </w:p>
        </w:tc>
      </w:tr>
      <w:tr w:rsidR="00B32A11" w:rsidRPr="00C525F3" w:rsidTr="00225003">
        <w:trPr>
          <w:cantSplit/>
        </w:trPr>
        <w:tc>
          <w:tcPr>
            <w:tcW w:w="2660" w:type="dxa"/>
          </w:tcPr>
          <w:p w:rsidR="00B32A11" w:rsidRPr="00E33EAE" w:rsidRDefault="000C75BC" w:rsidP="00AD4FFC">
            <w:pPr>
              <w:tabs>
                <w:tab w:val="left" w:pos="1162"/>
              </w:tabs>
              <w:spacing w:before="80" w:after="80"/>
              <w:rPr>
                <w:rFonts w:cs="Arial"/>
                <w:sz w:val="18"/>
                <w:szCs w:val="20"/>
              </w:rPr>
            </w:pPr>
            <w:r w:rsidRPr="00E33EAE">
              <w:rPr>
                <w:rFonts w:cs="Arial"/>
                <w:sz w:val="18"/>
                <w:szCs w:val="20"/>
              </w:rPr>
              <w:t>2016-17</w:t>
            </w:r>
            <w:r w:rsidR="00B32A11" w:rsidRPr="00E33EAE">
              <w:rPr>
                <w:rFonts w:cs="Arial"/>
                <w:sz w:val="18"/>
                <w:szCs w:val="20"/>
              </w:rPr>
              <w:t xml:space="preserve"> NWAU Price Weight table</w:t>
            </w:r>
          </w:p>
        </w:tc>
        <w:tc>
          <w:tcPr>
            <w:tcW w:w="6583" w:type="dxa"/>
          </w:tcPr>
          <w:p w:rsidR="00B32A11" w:rsidRPr="00E33EAE" w:rsidRDefault="000C75BC" w:rsidP="00F831B2">
            <w:pPr>
              <w:tabs>
                <w:tab w:val="left" w:pos="1162"/>
              </w:tabs>
              <w:spacing w:before="80" w:after="80"/>
              <w:rPr>
                <w:rFonts w:cs="Arial"/>
                <w:sz w:val="18"/>
                <w:szCs w:val="20"/>
              </w:rPr>
            </w:pPr>
            <w:r w:rsidRPr="00E33EAE">
              <w:rPr>
                <w:rFonts w:cs="Arial"/>
                <w:sz w:val="18"/>
                <w:szCs w:val="20"/>
              </w:rPr>
              <w:t>2016-17</w:t>
            </w:r>
            <w:r w:rsidR="00B32A11" w:rsidRPr="00E33EAE">
              <w:rPr>
                <w:rFonts w:cs="Arial"/>
                <w:sz w:val="18"/>
                <w:szCs w:val="20"/>
              </w:rPr>
              <w:t xml:space="preserve"> </w:t>
            </w:r>
            <w:r w:rsidR="001C6800">
              <w:rPr>
                <w:rFonts w:cs="Arial"/>
                <w:sz w:val="18"/>
                <w:szCs w:val="20"/>
              </w:rPr>
              <w:t>Admitted acute</w:t>
            </w:r>
            <w:r w:rsidR="00B32A11" w:rsidRPr="00E33EAE">
              <w:rPr>
                <w:rFonts w:cs="Arial"/>
                <w:sz w:val="18"/>
                <w:szCs w:val="20"/>
              </w:rPr>
              <w:t xml:space="preserve"> NWAU Price Weight table, found in the </w:t>
            </w:r>
            <w:r w:rsidR="00F831B2" w:rsidRPr="00E33EAE">
              <w:rPr>
                <w:rFonts w:cs="Arial"/>
                <w:sz w:val="18"/>
                <w:szCs w:val="20"/>
              </w:rPr>
              <w:t>NEP16</w:t>
            </w:r>
            <w:r w:rsidR="00F831B2" w:rsidRPr="00E33EAE">
              <w:rPr>
                <w:sz w:val="18"/>
              </w:rPr>
              <w:t> </w:t>
            </w:r>
            <w:r w:rsidR="00B32A11" w:rsidRPr="00E33EAE">
              <w:rPr>
                <w:rFonts w:cs="Arial"/>
                <w:sz w:val="18"/>
                <w:szCs w:val="20"/>
              </w:rPr>
              <w:t>Determination.</w:t>
            </w:r>
          </w:p>
        </w:tc>
      </w:tr>
      <w:tr w:rsidR="00B32A11" w:rsidRPr="00C525F3" w:rsidTr="00225003">
        <w:trPr>
          <w:cantSplit/>
          <w:trHeight w:val="87"/>
        </w:trPr>
        <w:tc>
          <w:tcPr>
            <w:tcW w:w="2660" w:type="dxa"/>
          </w:tcPr>
          <w:p w:rsidR="00B32A11" w:rsidRPr="00E33EAE" w:rsidRDefault="000C75BC" w:rsidP="00AD4FFC">
            <w:pPr>
              <w:tabs>
                <w:tab w:val="left" w:pos="1162"/>
              </w:tabs>
              <w:spacing w:before="80" w:after="80"/>
              <w:rPr>
                <w:rFonts w:cs="Arial"/>
                <w:sz w:val="18"/>
                <w:szCs w:val="20"/>
              </w:rPr>
            </w:pPr>
            <w:r w:rsidRPr="00E33EAE">
              <w:rPr>
                <w:rFonts w:cs="Arial"/>
                <w:sz w:val="18"/>
                <w:szCs w:val="20"/>
              </w:rPr>
              <w:t>2016-17</w:t>
            </w:r>
            <w:r w:rsidR="00B32A11" w:rsidRPr="00E33EAE">
              <w:rPr>
                <w:rFonts w:cs="Arial"/>
                <w:sz w:val="18"/>
                <w:szCs w:val="20"/>
              </w:rPr>
              <w:t xml:space="preserve"> NWAU Adjustments</w:t>
            </w:r>
          </w:p>
        </w:tc>
        <w:tc>
          <w:tcPr>
            <w:tcW w:w="6583" w:type="dxa"/>
          </w:tcPr>
          <w:p w:rsidR="00B32A11" w:rsidRPr="00E33EAE" w:rsidRDefault="000C75BC" w:rsidP="00F831B2">
            <w:pPr>
              <w:tabs>
                <w:tab w:val="left" w:pos="1162"/>
              </w:tabs>
              <w:spacing w:before="80" w:after="80"/>
              <w:rPr>
                <w:rFonts w:cs="Arial"/>
                <w:sz w:val="18"/>
                <w:szCs w:val="20"/>
              </w:rPr>
            </w:pPr>
            <w:r w:rsidRPr="00E33EAE">
              <w:rPr>
                <w:rFonts w:cs="Arial"/>
                <w:sz w:val="18"/>
                <w:szCs w:val="20"/>
              </w:rPr>
              <w:t>2016-17</w:t>
            </w:r>
            <w:r w:rsidR="00B32A11" w:rsidRPr="00E33EAE">
              <w:rPr>
                <w:rFonts w:cs="Arial"/>
                <w:sz w:val="18"/>
                <w:szCs w:val="20"/>
              </w:rPr>
              <w:t xml:space="preserve"> </w:t>
            </w:r>
            <w:r w:rsidR="001C6800">
              <w:rPr>
                <w:rFonts w:cs="Arial"/>
                <w:sz w:val="18"/>
                <w:szCs w:val="20"/>
              </w:rPr>
              <w:t>Admitted acute</w:t>
            </w:r>
            <w:r w:rsidR="00B32A11" w:rsidRPr="00E33EAE">
              <w:rPr>
                <w:rFonts w:cs="Arial"/>
                <w:sz w:val="18"/>
                <w:szCs w:val="20"/>
              </w:rPr>
              <w:t xml:space="preserve"> NWAU Adjustments, found in the </w:t>
            </w:r>
            <w:r w:rsidR="00F831B2" w:rsidRPr="00E33EAE">
              <w:rPr>
                <w:rFonts w:cs="Arial"/>
                <w:sz w:val="18"/>
                <w:szCs w:val="20"/>
              </w:rPr>
              <w:t>NEP16 </w:t>
            </w:r>
            <w:r w:rsidR="00B32A11" w:rsidRPr="00E33EAE">
              <w:rPr>
                <w:rFonts w:cs="Arial"/>
                <w:sz w:val="18"/>
                <w:szCs w:val="20"/>
              </w:rPr>
              <w:t>Determination.</w:t>
            </w:r>
          </w:p>
        </w:tc>
      </w:tr>
    </w:tbl>
    <w:p w:rsidR="008D4B5F" w:rsidRDefault="00460371">
      <w:pPr>
        <w:pStyle w:val="table"/>
      </w:pPr>
      <w:r>
        <w:t xml:space="preserve">Table </w:t>
      </w:r>
      <w:bookmarkEnd w:id="222"/>
      <w:r w:rsidR="00933C77">
        <w:t>5</w:t>
      </w:r>
      <w:r>
        <w:t xml:space="preserve">: </w:t>
      </w:r>
      <w:r w:rsidR="00742565">
        <w:t>APC NMDS</w:t>
      </w:r>
      <w:r w:rsidRPr="00D26D05">
        <w:t xml:space="preserve"> variables used to calculate </w:t>
      </w:r>
      <w:r w:rsidR="000C75BC">
        <w:t>2016-17</w:t>
      </w:r>
      <w:r w:rsidRPr="00D26D05">
        <w:t xml:space="preserve"> </w:t>
      </w:r>
      <w:r w:rsidR="001C6800">
        <w:t>admitted acute</w:t>
      </w:r>
      <w:r w:rsidRPr="00D26D05">
        <w:t xml:space="preserve"> NWAU</w:t>
      </w:r>
    </w:p>
    <w:tbl>
      <w:tblPr>
        <w:tblW w:w="5828"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The table consists of one column that lists the Australian Patient Care National Minimum Data Set (APC NMDS) variables used to calculate 2015-16 acute admitted National Weighted Activity Units (NWAUs).  "/>
      </w:tblPr>
      <w:tblGrid>
        <w:gridCol w:w="5828"/>
      </w:tblGrid>
      <w:tr w:rsidR="00B32A11" w:rsidRPr="00C525F3" w:rsidTr="00B32A11">
        <w:trPr>
          <w:cantSplit/>
          <w:trHeight w:val="255"/>
          <w:tblHeader/>
          <w:jc w:val="center"/>
        </w:trPr>
        <w:tc>
          <w:tcPr>
            <w:tcW w:w="5828" w:type="dxa"/>
            <w:shd w:val="clear" w:color="auto" w:fill="BFBFBF" w:themeFill="background1" w:themeFillShade="BF"/>
            <w:noWrap/>
            <w:vAlign w:val="center"/>
          </w:tcPr>
          <w:p w:rsidR="00B32A11" w:rsidRPr="00B70359" w:rsidRDefault="00B32A11" w:rsidP="008E0156">
            <w:pPr>
              <w:tabs>
                <w:tab w:val="left" w:pos="1162"/>
              </w:tabs>
              <w:spacing w:before="40" w:after="40"/>
              <w:jc w:val="center"/>
              <w:rPr>
                <w:rFonts w:cs="Arial"/>
                <w:b/>
                <w:color w:val="000000"/>
                <w:sz w:val="20"/>
                <w:szCs w:val="20"/>
                <w:lang w:eastAsia="en-AU"/>
              </w:rPr>
            </w:pPr>
            <w:r w:rsidRPr="00B70359">
              <w:rPr>
                <w:rFonts w:cs="Arial"/>
                <w:b/>
                <w:color w:val="000000"/>
                <w:sz w:val="20"/>
                <w:szCs w:val="20"/>
                <w:lang w:eastAsia="en-AU"/>
              </w:rPr>
              <w:t xml:space="preserve">APC </w:t>
            </w:r>
            <w:r w:rsidR="008E0156">
              <w:rPr>
                <w:rFonts w:cs="Arial"/>
                <w:b/>
                <w:color w:val="000000"/>
                <w:sz w:val="20"/>
                <w:szCs w:val="20"/>
                <w:lang w:eastAsia="en-AU"/>
              </w:rPr>
              <w:t>NMDS</w:t>
            </w:r>
            <w:r w:rsidRPr="00B70359">
              <w:rPr>
                <w:rFonts w:cs="Arial"/>
                <w:b/>
                <w:color w:val="000000"/>
                <w:sz w:val="20"/>
                <w:szCs w:val="20"/>
                <w:lang w:eastAsia="en-AU"/>
              </w:rPr>
              <w:t xml:space="preserve"> Variable</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State Identifier</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Establishment Identifier</w:t>
            </w:r>
          </w:p>
        </w:tc>
      </w:tr>
      <w:tr w:rsidR="00B32A11" w:rsidRPr="00C525F3" w:rsidTr="00B32A11">
        <w:trPr>
          <w:cantSplit/>
          <w:trHeight w:val="255"/>
          <w:jc w:val="center"/>
        </w:trPr>
        <w:tc>
          <w:tcPr>
            <w:tcW w:w="5828" w:type="dxa"/>
            <w:shd w:val="clear" w:color="auto" w:fill="auto"/>
            <w:noWrap/>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Hospital geographical Indicator</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Date of Birth</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Date of Admission</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Date of Separation</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Care Type</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Number of Qualified Days for Newborns</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Total Psychiatric Care Days</w:t>
            </w:r>
          </w:p>
        </w:tc>
      </w:tr>
      <w:tr w:rsidR="00B32A11" w:rsidRPr="00C525F3" w:rsidTr="00B32A11">
        <w:trPr>
          <w:cantSplit/>
          <w:trHeight w:val="255"/>
          <w:jc w:val="center"/>
        </w:trPr>
        <w:tc>
          <w:tcPr>
            <w:tcW w:w="5828" w:type="dxa"/>
            <w:shd w:val="clear" w:color="auto" w:fill="auto"/>
            <w:noWrap/>
            <w:hideMark/>
          </w:tcPr>
          <w:p w:rsidR="00B32A11" w:rsidRPr="00E33EAE" w:rsidRDefault="00DF77B4" w:rsidP="00AD4FFC">
            <w:pPr>
              <w:tabs>
                <w:tab w:val="left" w:pos="1162"/>
              </w:tabs>
              <w:spacing w:after="0"/>
              <w:rPr>
                <w:rFonts w:cs="Arial"/>
                <w:color w:val="000000"/>
                <w:sz w:val="18"/>
                <w:szCs w:val="20"/>
                <w:lang w:eastAsia="en-AU"/>
              </w:rPr>
            </w:pPr>
            <w:r w:rsidRPr="00E33EAE">
              <w:rPr>
                <w:rFonts w:cs="Arial"/>
                <w:color w:val="000000"/>
                <w:sz w:val="18"/>
                <w:szCs w:val="20"/>
                <w:lang w:eastAsia="en-AU"/>
              </w:rPr>
              <w:t>Indigenous</w:t>
            </w:r>
            <w:r w:rsidR="00B32A11" w:rsidRPr="00E33EAE">
              <w:rPr>
                <w:rFonts w:cs="Arial"/>
                <w:color w:val="000000"/>
                <w:sz w:val="18"/>
                <w:szCs w:val="20"/>
                <w:lang w:eastAsia="en-AU"/>
              </w:rPr>
              <w:t xml:space="preserve"> Status</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Funding Source</w:t>
            </w:r>
            <w:r w:rsidRPr="00E33EAE">
              <w:rPr>
                <w:rStyle w:val="FootnoteReference"/>
                <w:rFonts w:cs="Arial"/>
                <w:color w:val="000000"/>
                <w:sz w:val="18"/>
                <w:szCs w:val="20"/>
                <w:lang w:eastAsia="en-AU"/>
              </w:rPr>
              <w:footnoteReference w:id="11"/>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038D0">
            <w:pPr>
              <w:tabs>
                <w:tab w:val="left" w:pos="1162"/>
              </w:tabs>
              <w:spacing w:after="0"/>
              <w:rPr>
                <w:rFonts w:cs="Arial"/>
                <w:color w:val="000000"/>
                <w:sz w:val="18"/>
                <w:szCs w:val="20"/>
                <w:lang w:eastAsia="en-AU"/>
              </w:rPr>
            </w:pPr>
            <w:r w:rsidRPr="00E33EAE">
              <w:rPr>
                <w:rFonts w:cs="Arial"/>
                <w:color w:val="000000"/>
                <w:sz w:val="18"/>
                <w:szCs w:val="20"/>
                <w:lang w:eastAsia="en-AU"/>
              </w:rPr>
              <w:t xml:space="preserve">Diagnosis Related Group </w:t>
            </w:r>
            <w:r w:rsidR="00A038D0" w:rsidRPr="00E33EAE">
              <w:rPr>
                <w:rFonts w:cs="Arial"/>
                <w:color w:val="000000"/>
                <w:sz w:val="18"/>
                <w:szCs w:val="20"/>
                <w:lang w:eastAsia="en-AU"/>
              </w:rPr>
              <w:t>v8.0</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Total Leave Days</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Total Hours spent in Intensive Care Unit</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Postcode of Patient's Usual Residence</w:t>
            </w:r>
          </w:p>
        </w:tc>
      </w:tr>
      <w:tr w:rsidR="00B32A11" w:rsidRPr="00C525F3" w:rsidTr="00B32A11">
        <w:trPr>
          <w:cantSplit/>
          <w:trHeight w:val="255"/>
          <w:jc w:val="center"/>
        </w:trPr>
        <w:tc>
          <w:tcPr>
            <w:tcW w:w="5828" w:type="dxa"/>
            <w:shd w:val="clear" w:color="auto" w:fill="auto"/>
            <w:noWrap/>
          </w:tcPr>
          <w:p w:rsidR="00B32A11" w:rsidRPr="00E33EAE" w:rsidRDefault="00B32A11" w:rsidP="00AD4FFC">
            <w:pPr>
              <w:tabs>
                <w:tab w:val="left" w:pos="1162"/>
              </w:tabs>
              <w:spacing w:after="0"/>
              <w:rPr>
                <w:rFonts w:cs="Arial"/>
                <w:color w:val="000000"/>
                <w:sz w:val="18"/>
                <w:szCs w:val="20"/>
                <w:lang w:eastAsia="en-AU"/>
              </w:rPr>
            </w:pPr>
            <w:r w:rsidRPr="00E33EAE">
              <w:rPr>
                <w:rFonts w:ascii="Arial" w:hAnsi="Arial" w:cs="Arial"/>
                <w:sz w:val="18"/>
                <w:szCs w:val="20"/>
              </w:rPr>
              <w:t>Australian Statistical Geography Standard</w:t>
            </w:r>
            <w:r w:rsidRPr="00E33EAE">
              <w:rPr>
                <w:rFonts w:cs="Arial"/>
                <w:sz w:val="18"/>
                <w:szCs w:val="20"/>
              </w:rPr>
              <w:t xml:space="preserve"> (ASGS) of </w:t>
            </w:r>
            <w:r w:rsidRPr="00E33EAE">
              <w:rPr>
                <w:rFonts w:cs="Arial"/>
                <w:color w:val="000000"/>
                <w:sz w:val="18"/>
                <w:szCs w:val="20"/>
                <w:lang w:eastAsia="en-AU"/>
              </w:rPr>
              <w:t>Patient's Usual Residence</w:t>
            </w:r>
          </w:p>
        </w:tc>
      </w:tr>
      <w:tr w:rsidR="00B32A11" w:rsidRPr="00C525F3" w:rsidTr="00B32A11">
        <w:trPr>
          <w:cantSplit/>
          <w:trHeight w:val="255"/>
          <w:jc w:val="center"/>
        </w:trPr>
        <w:tc>
          <w:tcPr>
            <w:tcW w:w="5828" w:type="dxa"/>
            <w:shd w:val="clear" w:color="auto" w:fill="auto"/>
            <w:noWrap/>
            <w:hideMark/>
          </w:tcPr>
          <w:p w:rsidR="00B32A11" w:rsidRPr="00E33EAE" w:rsidRDefault="00B32A11" w:rsidP="00AD4FFC">
            <w:pPr>
              <w:tabs>
                <w:tab w:val="left" w:pos="1162"/>
              </w:tabs>
              <w:spacing w:after="0"/>
              <w:rPr>
                <w:rFonts w:cs="Arial"/>
                <w:color w:val="000000"/>
                <w:sz w:val="18"/>
                <w:szCs w:val="20"/>
                <w:lang w:eastAsia="en-AU"/>
              </w:rPr>
            </w:pPr>
            <w:r w:rsidRPr="00E33EAE">
              <w:rPr>
                <w:rFonts w:cs="Arial"/>
                <w:color w:val="000000"/>
                <w:sz w:val="18"/>
                <w:szCs w:val="20"/>
                <w:lang w:eastAsia="en-AU"/>
              </w:rPr>
              <w:t>Statistical Local Area of Patient's Usual Residence</w:t>
            </w:r>
          </w:p>
        </w:tc>
      </w:tr>
      <w:tr w:rsidR="00B32A11" w:rsidRPr="00C525F3" w:rsidTr="00B32A11">
        <w:trPr>
          <w:cantSplit/>
          <w:trHeight w:val="255"/>
          <w:jc w:val="center"/>
        </w:trPr>
        <w:tc>
          <w:tcPr>
            <w:tcW w:w="5828" w:type="dxa"/>
            <w:shd w:val="clear" w:color="auto" w:fill="auto"/>
            <w:noWrap/>
          </w:tcPr>
          <w:p w:rsidR="00B32A11" w:rsidRPr="00E33EAE" w:rsidRDefault="00B32A11" w:rsidP="008B4D5E">
            <w:pPr>
              <w:tabs>
                <w:tab w:val="left" w:pos="1162"/>
              </w:tabs>
              <w:spacing w:after="0"/>
              <w:rPr>
                <w:rFonts w:cs="Arial"/>
                <w:color w:val="000000"/>
                <w:sz w:val="18"/>
                <w:szCs w:val="20"/>
                <w:lang w:eastAsia="en-AU"/>
              </w:rPr>
            </w:pPr>
            <w:r w:rsidRPr="00E33EAE">
              <w:rPr>
                <w:rFonts w:cs="Arial"/>
                <w:color w:val="000000"/>
                <w:sz w:val="18"/>
                <w:szCs w:val="20"/>
                <w:lang w:eastAsia="en-AU"/>
              </w:rPr>
              <w:t>Either the identifier signifying radiotherapy treatment/planning or the list of patient’s ICD-10</w:t>
            </w:r>
            <w:r w:rsidR="00B71156" w:rsidRPr="00E33EAE">
              <w:rPr>
                <w:rFonts w:cs="Arial"/>
                <w:color w:val="000000"/>
                <w:sz w:val="18"/>
                <w:szCs w:val="20"/>
                <w:lang w:eastAsia="en-AU"/>
              </w:rPr>
              <w:t>-AM</w:t>
            </w:r>
            <w:r w:rsidRPr="00E33EAE">
              <w:rPr>
                <w:rFonts w:cs="Arial"/>
                <w:color w:val="000000"/>
                <w:sz w:val="18"/>
                <w:szCs w:val="20"/>
                <w:lang w:eastAsia="en-AU"/>
              </w:rPr>
              <w:t xml:space="preserve"> </w:t>
            </w:r>
            <w:r w:rsidR="008B4D5E" w:rsidRPr="00E33EAE">
              <w:rPr>
                <w:rFonts w:cs="Arial"/>
                <w:color w:val="000000"/>
                <w:sz w:val="18"/>
                <w:szCs w:val="20"/>
                <w:lang w:eastAsia="en-AU"/>
              </w:rPr>
              <w:t>9</w:t>
            </w:r>
            <w:r w:rsidRPr="00E33EAE">
              <w:rPr>
                <w:rFonts w:cs="Arial"/>
                <w:color w:val="000000"/>
                <w:sz w:val="18"/>
                <w:szCs w:val="20"/>
                <w:vertAlign w:val="superscript"/>
                <w:lang w:eastAsia="en-AU"/>
              </w:rPr>
              <w:t>th</w:t>
            </w:r>
            <w:r w:rsidRPr="00E33EAE">
              <w:rPr>
                <w:rFonts w:cs="Arial"/>
                <w:color w:val="000000"/>
                <w:sz w:val="18"/>
                <w:szCs w:val="20"/>
                <w:lang w:eastAsia="en-AU"/>
              </w:rPr>
              <w:t xml:space="preserve"> Edition procedure codes.</w:t>
            </w:r>
          </w:p>
        </w:tc>
      </w:tr>
      <w:tr w:rsidR="00B32A11" w:rsidRPr="00C525F3" w:rsidTr="00B32A11">
        <w:trPr>
          <w:cantSplit/>
          <w:trHeight w:val="255"/>
          <w:jc w:val="center"/>
        </w:trPr>
        <w:tc>
          <w:tcPr>
            <w:tcW w:w="5828" w:type="dxa"/>
            <w:shd w:val="clear" w:color="auto" w:fill="auto"/>
            <w:noWrap/>
          </w:tcPr>
          <w:p w:rsidR="00B32A11" w:rsidRPr="00E33EAE" w:rsidRDefault="00B32A11" w:rsidP="008B4D5E">
            <w:pPr>
              <w:tabs>
                <w:tab w:val="left" w:pos="1162"/>
              </w:tabs>
              <w:spacing w:after="0"/>
              <w:rPr>
                <w:rFonts w:cs="Arial"/>
                <w:color w:val="000000"/>
                <w:sz w:val="18"/>
                <w:szCs w:val="20"/>
                <w:lang w:eastAsia="en-AU"/>
              </w:rPr>
            </w:pPr>
            <w:r w:rsidRPr="00E33EAE">
              <w:rPr>
                <w:rFonts w:cs="Arial"/>
                <w:color w:val="000000"/>
                <w:sz w:val="18"/>
                <w:szCs w:val="20"/>
                <w:lang w:eastAsia="en-AU"/>
              </w:rPr>
              <w:t>Either the identifier signifying dialysis or the list of patient’s ICD-10</w:t>
            </w:r>
            <w:r w:rsidR="00B71156" w:rsidRPr="00E33EAE">
              <w:rPr>
                <w:rFonts w:cs="Arial"/>
                <w:color w:val="000000"/>
                <w:sz w:val="18"/>
                <w:szCs w:val="20"/>
                <w:lang w:eastAsia="en-AU"/>
              </w:rPr>
              <w:t>-AM</w:t>
            </w:r>
            <w:r w:rsidRPr="00E33EAE">
              <w:rPr>
                <w:rFonts w:cs="Arial"/>
                <w:color w:val="000000"/>
                <w:sz w:val="18"/>
                <w:szCs w:val="20"/>
                <w:lang w:eastAsia="en-AU"/>
              </w:rPr>
              <w:t xml:space="preserve"> </w:t>
            </w:r>
            <w:r w:rsidR="008B4D5E" w:rsidRPr="00E33EAE">
              <w:rPr>
                <w:rFonts w:cs="Arial"/>
                <w:color w:val="000000"/>
                <w:sz w:val="18"/>
                <w:szCs w:val="20"/>
                <w:lang w:eastAsia="en-AU"/>
              </w:rPr>
              <w:t>9</w:t>
            </w:r>
            <w:r w:rsidRPr="00E33EAE">
              <w:rPr>
                <w:rFonts w:cs="Arial"/>
                <w:color w:val="000000"/>
                <w:sz w:val="18"/>
                <w:szCs w:val="20"/>
                <w:vertAlign w:val="superscript"/>
                <w:lang w:eastAsia="en-AU"/>
              </w:rPr>
              <w:t>th</w:t>
            </w:r>
            <w:r w:rsidRPr="00E33EAE">
              <w:rPr>
                <w:rFonts w:cs="Arial"/>
                <w:color w:val="000000"/>
                <w:sz w:val="18"/>
                <w:szCs w:val="20"/>
                <w:lang w:eastAsia="en-AU"/>
              </w:rPr>
              <w:t xml:space="preserve"> Edition procedure codes.</w:t>
            </w:r>
          </w:p>
        </w:tc>
      </w:tr>
    </w:tbl>
    <w:p w:rsidR="00460371" w:rsidRDefault="00460371" w:rsidP="00AD4FFC">
      <w:pPr>
        <w:tabs>
          <w:tab w:val="left" w:pos="1162"/>
        </w:tabs>
        <w:rPr>
          <w:rFonts w:cs="Arial"/>
          <w:b/>
          <w:szCs w:val="20"/>
        </w:rPr>
        <w:sectPr w:rsidR="00460371" w:rsidSect="00CF3B74">
          <w:headerReference w:type="default" r:id="rId26"/>
          <w:headerReference w:type="first" r:id="rId27"/>
          <w:footerReference w:type="first" r:id="rId28"/>
          <w:pgSz w:w="11907" w:h="16839" w:code="9"/>
          <w:pgMar w:top="1440" w:right="1440" w:bottom="1440" w:left="1440" w:header="709" w:footer="709" w:gutter="0"/>
          <w:pgNumType w:start="1"/>
          <w:cols w:space="708"/>
          <w:titlePg/>
          <w:docGrid w:linePitch="360"/>
        </w:sectPr>
      </w:pPr>
    </w:p>
    <w:p w:rsidR="00460371" w:rsidRDefault="00460371">
      <w:pPr>
        <w:pStyle w:val="table"/>
      </w:pPr>
      <w:bookmarkStart w:id="223" w:name="_Ref342307877"/>
      <w:r>
        <w:t xml:space="preserve">Table </w:t>
      </w:r>
      <w:bookmarkEnd w:id="223"/>
      <w:r w:rsidR="00933C77">
        <w:t>6</w:t>
      </w:r>
      <w:r>
        <w:t xml:space="preserve">: </w:t>
      </w:r>
      <w:r w:rsidRPr="00C71BB8">
        <w:t xml:space="preserve">Assigning NWAU to </w:t>
      </w:r>
      <w:r w:rsidR="001C6800">
        <w:t>admitted acute</w:t>
      </w:r>
      <w:r w:rsidRPr="00C71BB8">
        <w:t xml:space="preserve"> patient data – Stage 1 – Data Preparation – variable definitions</w:t>
      </w: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817"/>
        <w:gridCol w:w="992"/>
        <w:gridCol w:w="3119"/>
        <w:gridCol w:w="4536"/>
        <w:gridCol w:w="4711"/>
      </w:tblGrid>
      <w:tr w:rsidR="0036490E" w:rsidRPr="00C525F3" w:rsidTr="00865674">
        <w:trPr>
          <w:cantSplit/>
          <w:trHeight w:val="225"/>
          <w:tblHeader/>
        </w:trPr>
        <w:tc>
          <w:tcPr>
            <w:tcW w:w="817" w:type="dxa"/>
            <w:shd w:val="clear" w:color="auto" w:fill="BFBFBF" w:themeFill="background1" w:themeFillShade="BF"/>
            <w:noWrap/>
            <w:hideMark/>
          </w:tcPr>
          <w:p w:rsidR="0036490E" w:rsidRPr="00822178" w:rsidRDefault="0036490E" w:rsidP="00865674">
            <w:pPr>
              <w:tabs>
                <w:tab w:val="left" w:pos="1162"/>
              </w:tabs>
              <w:spacing w:before="80" w:after="80"/>
              <w:rPr>
                <w:rFonts w:cs="Arial"/>
                <w:b/>
                <w:bCs/>
                <w:color w:val="000000"/>
                <w:sz w:val="18"/>
                <w:szCs w:val="18"/>
                <w:lang w:eastAsia="en-AU"/>
              </w:rPr>
            </w:pPr>
            <w:r w:rsidRPr="00822178">
              <w:rPr>
                <w:rFonts w:cs="Arial"/>
                <w:b/>
                <w:bCs/>
                <w:color w:val="000000"/>
                <w:sz w:val="18"/>
                <w:szCs w:val="18"/>
                <w:lang w:eastAsia="en-AU"/>
              </w:rPr>
              <w:t>Step</w:t>
            </w:r>
          </w:p>
        </w:tc>
        <w:tc>
          <w:tcPr>
            <w:tcW w:w="992" w:type="dxa"/>
            <w:shd w:val="clear" w:color="auto" w:fill="BFBFBF" w:themeFill="background1" w:themeFillShade="BF"/>
            <w:noWrap/>
            <w:hideMark/>
          </w:tcPr>
          <w:p w:rsidR="0036490E" w:rsidRPr="00822178" w:rsidRDefault="0036490E" w:rsidP="00865674">
            <w:pPr>
              <w:tabs>
                <w:tab w:val="left" w:pos="1162"/>
              </w:tabs>
              <w:spacing w:before="80" w:after="80"/>
              <w:jc w:val="center"/>
              <w:rPr>
                <w:rFonts w:cs="Arial"/>
                <w:b/>
                <w:color w:val="000000"/>
                <w:sz w:val="18"/>
                <w:szCs w:val="18"/>
                <w:lang w:eastAsia="en-AU"/>
              </w:rPr>
            </w:pPr>
            <w:r w:rsidRPr="00822178">
              <w:rPr>
                <w:rFonts w:cs="Arial"/>
                <w:b/>
                <w:color w:val="000000"/>
                <w:sz w:val="18"/>
                <w:szCs w:val="18"/>
                <w:lang w:eastAsia="en-AU"/>
              </w:rPr>
              <w:t>Variable</w:t>
            </w:r>
          </w:p>
        </w:tc>
        <w:tc>
          <w:tcPr>
            <w:tcW w:w="3119" w:type="dxa"/>
            <w:shd w:val="clear" w:color="auto" w:fill="BFBFBF" w:themeFill="background1" w:themeFillShade="BF"/>
            <w:noWrap/>
            <w:hideMark/>
          </w:tcPr>
          <w:p w:rsidR="0036490E" w:rsidRPr="00822178" w:rsidRDefault="0036490E" w:rsidP="00865674">
            <w:pPr>
              <w:tabs>
                <w:tab w:val="left" w:pos="1162"/>
              </w:tabs>
              <w:spacing w:before="80" w:after="80"/>
              <w:rPr>
                <w:rFonts w:cs="Arial"/>
                <w:b/>
                <w:bCs/>
                <w:color w:val="000000"/>
                <w:sz w:val="18"/>
                <w:szCs w:val="18"/>
                <w:lang w:eastAsia="en-AU"/>
              </w:rPr>
            </w:pPr>
            <w:r w:rsidRPr="00822178">
              <w:rPr>
                <w:rFonts w:cs="Arial"/>
                <w:b/>
                <w:bCs/>
                <w:color w:val="000000"/>
                <w:sz w:val="18"/>
                <w:szCs w:val="18"/>
                <w:lang w:eastAsia="en-AU"/>
              </w:rPr>
              <w:t>Name</w:t>
            </w:r>
          </w:p>
        </w:tc>
        <w:tc>
          <w:tcPr>
            <w:tcW w:w="4536" w:type="dxa"/>
            <w:shd w:val="clear" w:color="auto" w:fill="BFBFBF" w:themeFill="background1" w:themeFillShade="BF"/>
            <w:hideMark/>
          </w:tcPr>
          <w:p w:rsidR="0036490E" w:rsidRPr="00822178" w:rsidRDefault="0036490E" w:rsidP="00865674">
            <w:pPr>
              <w:tabs>
                <w:tab w:val="left" w:pos="1162"/>
              </w:tabs>
              <w:spacing w:before="80" w:after="80"/>
              <w:rPr>
                <w:rFonts w:cs="Arial"/>
                <w:b/>
                <w:bCs/>
                <w:color w:val="000000"/>
                <w:sz w:val="18"/>
                <w:szCs w:val="18"/>
                <w:lang w:eastAsia="en-AU"/>
              </w:rPr>
            </w:pPr>
            <w:r w:rsidRPr="00822178">
              <w:rPr>
                <w:rFonts w:cs="Arial"/>
                <w:b/>
                <w:bCs/>
                <w:color w:val="000000"/>
                <w:sz w:val="18"/>
                <w:szCs w:val="18"/>
                <w:lang w:eastAsia="en-AU"/>
              </w:rPr>
              <w:t>Description</w:t>
            </w:r>
          </w:p>
        </w:tc>
        <w:tc>
          <w:tcPr>
            <w:tcW w:w="4711" w:type="dxa"/>
            <w:shd w:val="clear" w:color="auto" w:fill="BFBFBF" w:themeFill="background1" w:themeFillShade="BF"/>
            <w:hideMark/>
          </w:tcPr>
          <w:p w:rsidR="0036490E" w:rsidRPr="00822178" w:rsidRDefault="0036490E" w:rsidP="00865674">
            <w:pPr>
              <w:tabs>
                <w:tab w:val="left" w:pos="1162"/>
              </w:tabs>
              <w:spacing w:before="80" w:after="80"/>
              <w:rPr>
                <w:rFonts w:cs="Arial"/>
                <w:b/>
                <w:bCs/>
                <w:color w:val="000000"/>
                <w:sz w:val="18"/>
                <w:szCs w:val="18"/>
                <w:lang w:eastAsia="en-AU"/>
              </w:rPr>
            </w:pPr>
            <w:r w:rsidRPr="00822178">
              <w:rPr>
                <w:rFonts w:cs="Arial"/>
                <w:b/>
                <w:bCs/>
                <w:color w:val="000000"/>
                <w:sz w:val="18"/>
                <w:szCs w:val="18"/>
                <w:lang w:eastAsia="en-AU"/>
              </w:rPr>
              <w:t>Definition</w:t>
            </w:r>
          </w:p>
        </w:tc>
      </w:tr>
      <w:tr w:rsidR="0036490E" w:rsidRPr="00C525F3" w:rsidTr="00865674">
        <w:trPr>
          <w:cantSplit/>
          <w:trHeight w:val="450"/>
        </w:trPr>
        <w:tc>
          <w:tcPr>
            <w:tcW w:w="817" w:type="dxa"/>
            <w:vMerge w:val="restart"/>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 xml:space="preserve">Step </w:t>
            </w:r>
            <w:r>
              <w:rPr>
                <w:rFonts w:cs="Arial"/>
                <w:color w:val="000000"/>
                <w:sz w:val="18"/>
                <w:szCs w:val="18"/>
                <w:lang w:eastAsia="en-AU"/>
              </w:rPr>
              <w:t>1</w:t>
            </w:r>
          </w:p>
        </w:tc>
        <w:tc>
          <w:tcPr>
            <w:tcW w:w="992" w:type="dxa"/>
            <w:shd w:val="clear" w:color="auto" w:fill="auto"/>
            <w:noWrap/>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w:t>
            </w:r>
            <w:r>
              <w:rPr>
                <w:rFonts w:cs="Arial"/>
                <w:color w:val="000000"/>
                <w:sz w:val="18"/>
                <w:szCs w:val="18"/>
                <w:lang w:eastAsia="en-AU"/>
              </w:rPr>
              <w:t>0</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pat_radiotherapy_flag</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Radiotherapy eligible separation. Either supplied in the input dataset or derived from the list of supplied procedure codes.</w:t>
            </w:r>
          </w:p>
        </w:tc>
        <w:tc>
          <w:tcPr>
            <w:tcW w:w="4711"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1 if patient had radiotherapy related treatment or planning procedure</w:t>
            </w:r>
            <w:r w:rsidR="00BF4B2B">
              <w:rPr>
                <w:rFonts w:cs="Arial"/>
                <w:color w:val="000000"/>
                <w:sz w:val="18"/>
                <w:szCs w:val="18"/>
                <w:lang w:eastAsia="en-AU"/>
              </w:rPr>
              <w:t>; else 0.</w:t>
            </w:r>
          </w:p>
        </w:tc>
      </w:tr>
      <w:tr w:rsidR="0036490E" w:rsidRPr="00C525F3" w:rsidTr="00865674">
        <w:trPr>
          <w:cantSplit/>
          <w:trHeight w:val="450"/>
        </w:trPr>
        <w:tc>
          <w:tcPr>
            <w:tcW w:w="817" w:type="dxa"/>
            <w:vMerge/>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Pr="00822178"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A01</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pat_dialysis</w:t>
            </w:r>
            <w:r w:rsidRPr="00822178">
              <w:rPr>
                <w:rFonts w:cs="Arial"/>
                <w:color w:val="000000"/>
                <w:sz w:val="18"/>
                <w:szCs w:val="18"/>
                <w:lang w:eastAsia="en-AU"/>
              </w:rPr>
              <w:t>_flag</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Dialysis</w:t>
            </w:r>
            <w:r w:rsidRPr="00822178">
              <w:rPr>
                <w:rFonts w:cs="Arial"/>
                <w:color w:val="000000"/>
                <w:sz w:val="18"/>
                <w:szCs w:val="18"/>
                <w:lang w:eastAsia="en-AU"/>
              </w:rPr>
              <w:t xml:space="preserve"> eligible separation. Either supplied in the input dataset or derived from the list of supplied procedure codes.</w:t>
            </w:r>
          </w:p>
        </w:tc>
        <w:tc>
          <w:tcPr>
            <w:tcW w:w="4711"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E33EAE">
              <w:rPr>
                <w:rFonts w:cs="Arial"/>
                <w:color w:val="000000"/>
                <w:sz w:val="18"/>
                <w:szCs w:val="18"/>
                <w:lang w:eastAsia="en-AU"/>
              </w:rPr>
              <w:t>1 if patient had a dial</w:t>
            </w:r>
            <w:r w:rsidR="00234D43" w:rsidRPr="00E33EAE">
              <w:rPr>
                <w:rFonts w:cs="Arial"/>
                <w:color w:val="000000"/>
                <w:sz w:val="18"/>
                <w:szCs w:val="18"/>
                <w:lang w:eastAsia="en-AU"/>
              </w:rPr>
              <w:t>ysis procedure and is not in AR</w:t>
            </w:r>
            <w:r w:rsidR="00234D43" w:rsidRPr="00E33EAE">
              <w:rPr>
                <w:rFonts w:cs="Arial"/>
                <w:color w:val="000000"/>
                <w:sz w:val="18"/>
                <w:szCs w:val="18"/>
                <w:lang w:eastAsia="en-AU"/>
              </w:rPr>
              <w:noBreakHyphen/>
            </w:r>
            <w:r w:rsidRPr="00E33EAE">
              <w:rPr>
                <w:rFonts w:cs="Arial"/>
                <w:color w:val="000000"/>
                <w:sz w:val="18"/>
                <w:szCs w:val="18"/>
                <w:lang w:eastAsia="en-AU"/>
              </w:rPr>
              <w:t>DRG L61Z</w:t>
            </w:r>
            <w:r w:rsidR="0050729C" w:rsidRPr="00E33EAE">
              <w:rPr>
                <w:rFonts w:cs="Arial"/>
                <w:color w:val="000000"/>
                <w:sz w:val="18"/>
                <w:szCs w:val="18"/>
                <w:lang w:eastAsia="en-AU"/>
              </w:rPr>
              <w:t xml:space="preserve"> or L68Z</w:t>
            </w:r>
            <w:r w:rsidR="00BF4B2B">
              <w:rPr>
                <w:rFonts w:cs="Arial"/>
                <w:color w:val="000000"/>
                <w:sz w:val="18"/>
                <w:szCs w:val="18"/>
                <w:lang w:eastAsia="en-AU"/>
              </w:rPr>
              <w:t>; else 0.</w:t>
            </w:r>
          </w:p>
        </w:tc>
      </w:tr>
      <w:tr w:rsidR="0036490E" w:rsidRPr="00C525F3" w:rsidTr="00865674">
        <w:trPr>
          <w:cantSplit/>
          <w:trHeight w:val="450"/>
        </w:trPr>
        <w:tc>
          <w:tcPr>
            <w:tcW w:w="817" w:type="dxa"/>
            <w:vMerge w:val="restart"/>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 xml:space="preserve">Step </w:t>
            </w:r>
            <w:r>
              <w:rPr>
                <w:rFonts w:cs="Arial"/>
                <w:color w:val="000000"/>
                <w:sz w:val="18"/>
                <w:szCs w:val="18"/>
                <w:lang w:eastAsia="en-AU"/>
              </w:rPr>
              <w:t>2</w:t>
            </w: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A02</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est_eligible_icu_flag</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ICU rate adjustment eligible establishment, derived from ICU and paediatric eligibility table</w:t>
            </w:r>
          </w:p>
        </w:tc>
        <w:tc>
          <w:tcPr>
            <w:tcW w:w="4711" w:type="dxa"/>
            <w:shd w:val="clear" w:color="auto" w:fill="auto"/>
            <w:hideMark/>
          </w:tcPr>
          <w:p w:rsidR="0036490E" w:rsidRPr="00822178" w:rsidRDefault="0036490E" w:rsidP="00DF77B4">
            <w:pPr>
              <w:tabs>
                <w:tab w:val="left" w:pos="1162"/>
              </w:tabs>
              <w:spacing w:after="0"/>
              <w:rPr>
                <w:rFonts w:cs="Arial"/>
                <w:color w:val="000000"/>
                <w:sz w:val="18"/>
                <w:szCs w:val="18"/>
                <w:lang w:eastAsia="en-AU"/>
              </w:rPr>
            </w:pPr>
            <w:r w:rsidRPr="00822178">
              <w:rPr>
                <w:rFonts w:cs="Arial"/>
                <w:color w:val="000000"/>
                <w:sz w:val="18"/>
                <w:szCs w:val="18"/>
                <w:lang w:eastAsia="en-AU"/>
              </w:rPr>
              <w:t>1 if establishment is designated as eligible for ICU rate adjustment; else</w:t>
            </w:r>
            <w:r w:rsidR="00BF4B2B">
              <w:rPr>
                <w:rFonts w:cs="Arial"/>
                <w:color w:val="000000"/>
                <w:sz w:val="18"/>
                <w:szCs w:val="18"/>
                <w:lang w:eastAsia="en-AU"/>
              </w:rPr>
              <w:t xml:space="preserve"> </w:t>
            </w:r>
            <w:r w:rsidRPr="00822178">
              <w:rPr>
                <w:rFonts w:cs="Arial"/>
                <w:color w:val="000000"/>
                <w:sz w:val="18"/>
                <w:szCs w:val="18"/>
                <w:lang w:eastAsia="en-AU"/>
              </w:rPr>
              <w:t>0.</w:t>
            </w:r>
          </w:p>
        </w:tc>
      </w:tr>
      <w:tr w:rsidR="0036490E" w:rsidRPr="00C525F3" w:rsidTr="00865674">
        <w:trPr>
          <w:cantSplit/>
          <w:trHeight w:val="450"/>
        </w:trPr>
        <w:tc>
          <w:tcPr>
            <w:tcW w:w="817" w:type="dxa"/>
            <w:vMerge/>
            <w:tcBorders>
              <w:bottom w:val="single" w:sz="4" w:space="0" w:color="auto"/>
            </w:tcBorders>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tcBorders>
              <w:bottom w:val="single" w:sz="4" w:space="0" w:color="auto"/>
            </w:tcBorders>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A03</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est_eligible_paed_flag</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Paediatric adjustment eligible establishment, derived from ICU paediatric eligibility table</w:t>
            </w:r>
          </w:p>
        </w:tc>
        <w:tc>
          <w:tcPr>
            <w:tcW w:w="4711" w:type="dxa"/>
            <w:shd w:val="clear" w:color="auto" w:fill="auto"/>
            <w:hideMark/>
          </w:tcPr>
          <w:p w:rsidR="0036490E" w:rsidRPr="00822178" w:rsidRDefault="0036490E" w:rsidP="00DF77B4">
            <w:pPr>
              <w:tabs>
                <w:tab w:val="left" w:pos="1162"/>
              </w:tabs>
              <w:spacing w:after="0"/>
              <w:rPr>
                <w:rFonts w:cs="Arial"/>
                <w:color w:val="000000"/>
                <w:sz w:val="18"/>
                <w:szCs w:val="18"/>
                <w:lang w:eastAsia="en-AU"/>
              </w:rPr>
            </w:pPr>
            <w:r w:rsidRPr="00822178">
              <w:rPr>
                <w:rFonts w:cs="Arial"/>
                <w:color w:val="000000"/>
                <w:sz w:val="18"/>
                <w:szCs w:val="18"/>
                <w:lang w:eastAsia="en-AU"/>
              </w:rPr>
              <w:t>1 if establishment is designated as eligible for paediatric adjustment; else</w:t>
            </w:r>
            <w:r w:rsidR="00BF4B2B">
              <w:rPr>
                <w:rFonts w:cs="Arial"/>
                <w:color w:val="000000"/>
                <w:sz w:val="18"/>
                <w:szCs w:val="18"/>
                <w:lang w:eastAsia="en-AU"/>
              </w:rPr>
              <w:t xml:space="preserve"> </w:t>
            </w:r>
            <w:r w:rsidRPr="00822178">
              <w:rPr>
                <w:rFonts w:cs="Arial"/>
                <w:color w:val="000000"/>
                <w:sz w:val="18"/>
                <w:szCs w:val="18"/>
                <w:lang w:eastAsia="en-AU"/>
              </w:rPr>
              <w:t>0.</w:t>
            </w:r>
          </w:p>
        </w:tc>
      </w:tr>
      <w:tr w:rsidR="0036490E" w:rsidRPr="00C525F3" w:rsidTr="00865674">
        <w:trPr>
          <w:cantSplit/>
          <w:trHeight w:val="450"/>
        </w:trPr>
        <w:tc>
          <w:tcPr>
            <w:tcW w:w="817" w:type="dxa"/>
            <w:tcBorders>
              <w:top w:val="single" w:sz="4" w:space="0" w:color="auto"/>
              <w:bottom w:val="single" w:sz="4" w:space="0" w:color="auto"/>
            </w:tcBorders>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Step 3</w:t>
            </w:r>
          </w:p>
        </w:tc>
        <w:tc>
          <w:tcPr>
            <w:tcW w:w="992" w:type="dxa"/>
            <w:tcBorders>
              <w:top w:val="single" w:sz="4" w:space="0" w:color="auto"/>
            </w:tcBorders>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A04</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w:t>
            </w:r>
            <w:r w:rsidRPr="00822178">
              <w:rPr>
                <w:rFonts w:cs="Arial"/>
                <w:color w:val="000000"/>
                <w:sz w:val="18"/>
                <w:szCs w:val="18"/>
                <w:lang w:eastAsia="en-AU"/>
              </w:rPr>
              <w:t>_remoteness</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Patient</w:t>
            </w:r>
            <w:r w:rsidRPr="00822178">
              <w:rPr>
                <w:rFonts w:cs="Arial"/>
                <w:color w:val="000000"/>
                <w:sz w:val="18"/>
                <w:szCs w:val="18"/>
                <w:lang w:eastAsia="en-AU"/>
              </w:rPr>
              <w:t xml:space="preserve"> Remoteness Area</w:t>
            </w:r>
          </w:p>
        </w:tc>
        <w:tc>
          <w:tcPr>
            <w:tcW w:w="4711"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2011 ASGS Remoteness Area category of the establishment location taken from the hospital geographical indicator variable, where</w:t>
            </w:r>
            <w:proofErr w:type="gramStart"/>
            <w:r w:rsidRPr="00822178">
              <w:rPr>
                <w:rFonts w:cs="Arial"/>
                <w:color w:val="000000"/>
                <w:sz w:val="18"/>
                <w:szCs w:val="18"/>
                <w:lang w:eastAsia="en-AU"/>
              </w:rPr>
              <w:t>:</w:t>
            </w:r>
            <w:proofErr w:type="gramEnd"/>
            <w:r w:rsidRPr="00822178">
              <w:rPr>
                <w:rFonts w:cs="Arial"/>
                <w:color w:val="000000"/>
                <w:sz w:val="18"/>
                <w:szCs w:val="18"/>
                <w:lang w:eastAsia="en-AU"/>
              </w:rPr>
              <w:br/>
              <w:t>0 = Major City; 1 = Inner Regional; 2 = Outer Regional; 3 = Remote; and 4 = Very Remote.</w:t>
            </w:r>
          </w:p>
        </w:tc>
      </w:tr>
      <w:tr w:rsidR="0036490E" w:rsidRPr="00C525F3" w:rsidTr="00865674">
        <w:trPr>
          <w:cantSplit/>
          <w:trHeight w:val="450"/>
        </w:trPr>
        <w:tc>
          <w:tcPr>
            <w:tcW w:w="817" w:type="dxa"/>
            <w:vMerge w:val="restart"/>
            <w:tcBorders>
              <w:top w:val="single" w:sz="4" w:space="0" w:color="auto"/>
            </w:tcBorders>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Step 4</w:t>
            </w: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A05</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pat_acute_flag</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Acute patient flag</w:t>
            </w:r>
          </w:p>
        </w:tc>
        <w:tc>
          <w:tcPr>
            <w:tcW w:w="4711" w:type="dxa"/>
            <w:shd w:val="clear" w:color="auto" w:fill="auto"/>
            <w:hideMark/>
          </w:tcPr>
          <w:p w:rsidR="0036490E" w:rsidRPr="00822178" w:rsidRDefault="0036490E" w:rsidP="00DF77B4">
            <w:pPr>
              <w:tabs>
                <w:tab w:val="left" w:pos="1162"/>
              </w:tabs>
              <w:spacing w:after="0"/>
              <w:rPr>
                <w:rFonts w:cs="Arial"/>
                <w:color w:val="000000"/>
                <w:sz w:val="18"/>
                <w:szCs w:val="18"/>
                <w:lang w:eastAsia="en-AU"/>
              </w:rPr>
            </w:pPr>
            <w:r w:rsidRPr="00822178">
              <w:rPr>
                <w:rFonts w:cs="Arial"/>
                <w:color w:val="000000"/>
                <w:sz w:val="18"/>
                <w:szCs w:val="18"/>
                <w:lang w:eastAsia="en-AU"/>
              </w:rPr>
              <w:t xml:space="preserve">1 if </w:t>
            </w:r>
            <w:proofErr w:type="gramStart"/>
            <w:r w:rsidRPr="00822178">
              <w:rPr>
                <w:rFonts w:cs="Arial"/>
                <w:color w:val="000000"/>
                <w:sz w:val="18"/>
                <w:szCs w:val="18"/>
                <w:lang w:eastAsia="en-AU"/>
              </w:rPr>
              <w:t>( Care</w:t>
            </w:r>
            <w:proofErr w:type="gramEnd"/>
            <w:r w:rsidRPr="00822178">
              <w:rPr>
                <w:rFonts w:cs="Arial"/>
                <w:color w:val="000000"/>
                <w:sz w:val="18"/>
                <w:szCs w:val="18"/>
                <w:lang w:eastAsia="en-AU"/>
              </w:rPr>
              <w:t xml:space="preserve"> Type = 1 ) or ( Care Type = 7 and Number of Qualified Days for Newborns &gt; 0 ); else</w:t>
            </w:r>
            <w:r w:rsidR="00BF4B2B">
              <w:rPr>
                <w:rFonts w:cs="Arial"/>
                <w:color w:val="000000"/>
                <w:sz w:val="18"/>
                <w:szCs w:val="18"/>
                <w:lang w:eastAsia="en-AU"/>
              </w:rPr>
              <w:t xml:space="preserve"> </w:t>
            </w:r>
            <w:r w:rsidRPr="00822178">
              <w:rPr>
                <w:rFonts w:cs="Arial"/>
                <w:color w:val="000000"/>
                <w:sz w:val="18"/>
                <w:szCs w:val="18"/>
                <w:lang w:eastAsia="en-AU"/>
              </w:rPr>
              <w:t>0.</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A06</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pat_los</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Length of stay</w:t>
            </w:r>
          </w:p>
        </w:tc>
        <w:tc>
          <w:tcPr>
            <w:tcW w:w="4711" w:type="dxa"/>
            <w:shd w:val="clear" w:color="auto" w:fill="auto"/>
          </w:tcPr>
          <w:p w:rsidR="0036490E" w:rsidRPr="00822178" w:rsidRDefault="00BF4B2B" w:rsidP="00D12D4B">
            <w:pPr>
              <w:tabs>
                <w:tab w:val="left" w:pos="1162"/>
              </w:tabs>
              <w:spacing w:after="0"/>
              <w:rPr>
                <w:rFonts w:cs="Arial"/>
                <w:color w:val="000000"/>
                <w:sz w:val="18"/>
                <w:szCs w:val="18"/>
                <w:lang w:eastAsia="en-AU"/>
              </w:rPr>
            </w:pPr>
            <w:proofErr w:type="gramStart"/>
            <w:r>
              <w:rPr>
                <w:rFonts w:cs="Arial"/>
                <w:color w:val="000000"/>
                <w:sz w:val="18"/>
                <w:szCs w:val="18"/>
                <w:lang w:eastAsia="en-AU"/>
              </w:rPr>
              <w:t>M</w:t>
            </w:r>
            <w:r w:rsidR="0036490E" w:rsidRPr="00822178">
              <w:rPr>
                <w:rFonts w:cs="Arial"/>
                <w:color w:val="000000"/>
                <w:sz w:val="18"/>
                <w:szCs w:val="18"/>
                <w:lang w:eastAsia="en-AU"/>
              </w:rPr>
              <w:t>ax(</w:t>
            </w:r>
            <w:proofErr w:type="gramEnd"/>
            <w:r w:rsidR="0036490E" w:rsidRPr="00822178">
              <w:rPr>
                <w:rFonts w:cs="Arial"/>
                <w:color w:val="000000"/>
                <w:sz w:val="18"/>
                <w:szCs w:val="18"/>
                <w:lang w:eastAsia="en-AU"/>
              </w:rPr>
              <w:t xml:space="preserve"> 1, ( Date of Separation ) - ( Date of Admission ) - (</w:t>
            </w:r>
            <w:r w:rsidR="00D12D4B">
              <w:t> </w:t>
            </w:r>
            <w:r w:rsidR="0036490E" w:rsidRPr="00822178">
              <w:rPr>
                <w:rFonts w:cs="Arial"/>
                <w:color w:val="000000"/>
                <w:sz w:val="18"/>
                <w:szCs w:val="18"/>
                <w:lang w:eastAsia="en-AU"/>
              </w:rPr>
              <w:t>Total Leave Days ) ) if Care Type = 1; else</w:t>
            </w:r>
            <w:r w:rsidR="0036490E" w:rsidRPr="00822178">
              <w:rPr>
                <w:rFonts w:cs="Arial"/>
                <w:color w:val="000000"/>
                <w:sz w:val="18"/>
                <w:szCs w:val="18"/>
                <w:lang w:eastAsia="en-AU"/>
              </w:rPr>
              <w:br/>
              <w:t>Total Qualified Days if Care Type = 7.</w:t>
            </w:r>
          </w:p>
        </w:tc>
      </w:tr>
      <w:tr w:rsidR="0036490E" w:rsidRPr="00C525F3" w:rsidTr="00865674">
        <w:trPr>
          <w:cantSplit/>
          <w:trHeight w:val="450"/>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w:t>
            </w:r>
            <w:r>
              <w:rPr>
                <w:rFonts w:cs="Arial"/>
                <w:color w:val="000000"/>
                <w:sz w:val="18"/>
                <w:szCs w:val="18"/>
                <w:lang w:eastAsia="en-AU"/>
              </w:rPr>
              <w:t>7</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pat_sameday_flag</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Same-day flag</w:t>
            </w:r>
          </w:p>
        </w:tc>
        <w:tc>
          <w:tcPr>
            <w:tcW w:w="4711" w:type="dxa"/>
            <w:shd w:val="clear" w:color="auto" w:fill="auto"/>
            <w:hideMark/>
          </w:tcPr>
          <w:p w:rsidR="0036490E" w:rsidRPr="00822178" w:rsidRDefault="0036490E" w:rsidP="00DF77B4">
            <w:pPr>
              <w:tabs>
                <w:tab w:val="left" w:pos="1162"/>
              </w:tabs>
              <w:spacing w:after="0"/>
              <w:rPr>
                <w:rFonts w:cs="Arial"/>
                <w:color w:val="000000"/>
                <w:sz w:val="18"/>
                <w:szCs w:val="18"/>
                <w:lang w:eastAsia="en-AU"/>
              </w:rPr>
            </w:pPr>
            <w:r w:rsidRPr="00822178">
              <w:rPr>
                <w:rFonts w:cs="Arial"/>
                <w:color w:val="000000"/>
                <w:sz w:val="18"/>
                <w:szCs w:val="18"/>
                <w:lang w:eastAsia="en-AU"/>
              </w:rPr>
              <w:t>1 if Date of Admission = Date of Separation; else</w:t>
            </w:r>
            <w:r w:rsidR="00BF4B2B">
              <w:rPr>
                <w:rFonts w:cs="Arial"/>
                <w:color w:val="000000"/>
                <w:sz w:val="18"/>
                <w:szCs w:val="18"/>
                <w:lang w:eastAsia="en-AU"/>
              </w:rPr>
              <w:t xml:space="preserve"> </w:t>
            </w:r>
            <w:r w:rsidRPr="00822178">
              <w:rPr>
                <w:rFonts w:cs="Arial"/>
                <w:color w:val="000000"/>
                <w:sz w:val="18"/>
                <w:szCs w:val="18"/>
                <w:lang w:eastAsia="en-AU"/>
              </w:rPr>
              <w:t>0.</w:t>
            </w:r>
          </w:p>
        </w:tc>
      </w:tr>
      <w:tr w:rsidR="0036490E" w:rsidRPr="00C525F3" w:rsidTr="00865674">
        <w:trPr>
          <w:cantSplit/>
          <w:trHeight w:val="450"/>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A08</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pat_age_years</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Age at admission (in years)</w:t>
            </w:r>
          </w:p>
        </w:tc>
        <w:tc>
          <w:tcPr>
            <w:tcW w:w="4711" w:type="dxa"/>
            <w:shd w:val="clear" w:color="auto" w:fill="auto"/>
            <w:hideMark/>
          </w:tcPr>
          <w:p w:rsidR="0036490E" w:rsidRPr="00822178"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T</w:t>
            </w:r>
            <w:r w:rsidR="0036490E" w:rsidRPr="00822178">
              <w:rPr>
                <w:rFonts w:cs="Arial"/>
                <w:color w:val="000000"/>
                <w:sz w:val="18"/>
                <w:szCs w:val="18"/>
                <w:lang w:eastAsia="en-AU"/>
              </w:rPr>
              <w:t>otal whole years from Date of Birth to Date of Admission.</w:t>
            </w:r>
          </w:p>
        </w:tc>
      </w:tr>
      <w:tr w:rsidR="0036490E" w:rsidRPr="00C525F3" w:rsidTr="00865674">
        <w:trPr>
          <w:cantSplit/>
          <w:trHeight w:val="225"/>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A09</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pat_eligible_paed_flag</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Paediatric Adjustment eligible patient</w:t>
            </w:r>
          </w:p>
        </w:tc>
        <w:tc>
          <w:tcPr>
            <w:tcW w:w="4711" w:type="dxa"/>
            <w:shd w:val="clear" w:color="auto" w:fill="auto"/>
            <w:hideMark/>
          </w:tcPr>
          <w:p w:rsidR="0036490E" w:rsidRPr="00822178" w:rsidRDefault="000E1BD6" w:rsidP="00865674">
            <w:pPr>
              <w:tabs>
                <w:tab w:val="left" w:pos="1162"/>
              </w:tabs>
              <w:spacing w:after="0"/>
              <w:rPr>
                <w:rFonts w:cs="Arial"/>
                <w:color w:val="000000"/>
                <w:sz w:val="18"/>
                <w:szCs w:val="18"/>
                <w:lang w:eastAsia="en-AU"/>
              </w:rPr>
            </w:pPr>
            <w:r>
              <w:rPr>
                <w:rFonts w:cs="Arial"/>
                <w:color w:val="000000"/>
                <w:sz w:val="18"/>
                <w:szCs w:val="18"/>
                <w:lang w:eastAsia="en-AU"/>
              </w:rPr>
              <w:t>1 if (_</w:t>
            </w:r>
            <w:proofErr w:type="spellStart"/>
            <w:r>
              <w:rPr>
                <w:rFonts w:cs="Arial"/>
                <w:color w:val="000000"/>
                <w:sz w:val="18"/>
                <w:szCs w:val="18"/>
                <w:lang w:eastAsia="en-AU"/>
              </w:rPr>
              <w:t>pat_age_years</w:t>
            </w:r>
            <w:proofErr w:type="spellEnd"/>
            <w:r>
              <w:rPr>
                <w:rFonts w:cs="Arial"/>
                <w:color w:val="000000"/>
                <w:sz w:val="18"/>
                <w:szCs w:val="18"/>
                <w:lang w:eastAsia="en-AU"/>
              </w:rPr>
              <w:t xml:space="preserve"> between 0 and 17) and (</w:t>
            </w:r>
            <w:proofErr w:type="spellStart"/>
            <w:r w:rsidRPr="00822178">
              <w:rPr>
                <w:rFonts w:cs="Arial"/>
                <w:color w:val="000000"/>
                <w:sz w:val="18"/>
                <w:szCs w:val="18"/>
                <w:lang w:eastAsia="en-AU"/>
              </w:rPr>
              <w:t>est_eligible_paed_flag</w:t>
            </w:r>
            <w:proofErr w:type="spellEnd"/>
            <w:r>
              <w:rPr>
                <w:rFonts w:cs="Arial"/>
                <w:color w:val="000000"/>
                <w:sz w:val="18"/>
                <w:szCs w:val="18"/>
                <w:lang w:eastAsia="en-AU"/>
              </w:rPr>
              <w:t>=1); else 0.</w:t>
            </w:r>
          </w:p>
        </w:tc>
      </w:tr>
      <w:tr w:rsidR="0036490E" w:rsidRPr="00C525F3" w:rsidTr="00865674">
        <w:trPr>
          <w:cantSplit/>
          <w:trHeight w:val="450"/>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A10</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pat_ind_flag</w:t>
            </w:r>
            <w:proofErr w:type="spellEnd"/>
          </w:p>
        </w:tc>
        <w:tc>
          <w:tcPr>
            <w:tcW w:w="4536" w:type="dxa"/>
            <w:shd w:val="clear" w:color="auto" w:fill="auto"/>
            <w:hideMark/>
          </w:tcPr>
          <w:p w:rsidR="0036490E" w:rsidRPr="00822178" w:rsidRDefault="00DF77B4" w:rsidP="00865674">
            <w:pPr>
              <w:tabs>
                <w:tab w:val="left" w:pos="1162"/>
              </w:tabs>
              <w:spacing w:after="0"/>
              <w:rPr>
                <w:rFonts w:cs="Arial"/>
                <w:color w:val="000000"/>
                <w:sz w:val="18"/>
                <w:szCs w:val="18"/>
                <w:lang w:eastAsia="en-AU"/>
              </w:rPr>
            </w:pPr>
            <w:r>
              <w:rPr>
                <w:rFonts w:cs="Arial"/>
                <w:color w:val="000000"/>
                <w:sz w:val="18"/>
                <w:szCs w:val="18"/>
                <w:lang w:eastAsia="en-AU"/>
              </w:rPr>
              <w:t>Indigenous</w:t>
            </w:r>
            <w:r w:rsidR="0036490E" w:rsidRPr="00822178">
              <w:rPr>
                <w:rFonts w:cs="Arial"/>
                <w:color w:val="000000"/>
                <w:sz w:val="18"/>
                <w:szCs w:val="18"/>
                <w:lang w:eastAsia="en-AU"/>
              </w:rPr>
              <w:t xml:space="preserve"> patient flag</w:t>
            </w:r>
          </w:p>
        </w:tc>
        <w:tc>
          <w:tcPr>
            <w:tcW w:w="4711" w:type="dxa"/>
            <w:shd w:val="clear" w:color="auto" w:fill="auto"/>
            <w:hideMark/>
          </w:tcPr>
          <w:p w:rsidR="0036490E" w:rsidRPr="00822178" w:rsidRDefault="0036490E" w:rsidP="00DF77B4">
            <w:pPr>
              <w:tabs>
                <w:tab w:val="left" w:pos="1162"/>
              </w:tabs>
              <w:spacing w:after="0"/>
              <w:rPr>
                <w:rFonts w:cs="Arial"/>
                <w:color w:val="000000"/>
                <w:sz w:val="18"/>
                <w:szCs w:val="18"/>
                <w:lang w:eastAsia="en-AU"/>
              </w:rPr>
            </w:pPr>
            <w:r w:rsidRPr="00822178">
              <w:rPr>
                <w:rFonts w:cs="Arial"/>
                <w:color w:val="000000"/>
                <w:sz w:val="18"/>
                <w:szCs w:val="18"/>
                <w:lang w:eastAsia="en-AU"/>
              </w:rPr>
              <w:t xml:space="preserve">1 if Patient </w:t>
            </w:r>
            <w:r w:rsidR="00DF77B4">
              <w:rPr>
                <w:rFonts w:cs="Arial"/>
                <w:color w:val="000000"/>
                <w:sz w:val="18"/>
                <w:szCs w:val="18"/>
                <w:lang w:eastAsia="en-AU"/>
              </w:rPr>
              <w:t>Indigenous</w:t>
            </w:r>
            <w:r w:rsidRPr="00822178">
              <w:rPr>
                <w:rFonts w:cs="Arial"/>
                <w:color w:val="000000"/>
                <w:sz w:val="18"/>
                <w:szCs w:val="18"/>
                <w:lang w:eastAsia="en-AU"/>
              </w:rPr>
              <w:t xml:space="preserve"> Status = 1, 2 or 3; else</w:t>
            </w:r>
            <w:r w:rsidR="00BF4B2B">
              <w:rPr>
                <w:rFonts w:cs="Arial"/>
                <w:color w:val="000000"/>
                <w:sz w:val="18"/>
                <w:szCs w:val="18"/>
                <w:lang w:eastAsia="en-AU"/>
              </w:rPr>
              <w:t xml:space="preserve"> </w:t>
            </w:r>
            <w:r w:rsidRPr="00822178">
              <w:rPr>
                <w:rFonts w:cs="Arial"/>
                <w:color w:val="000000"/>
                <w:sz w:val="18"/>
                <w:szCs w:val="18"/>
                <w:lang w:eastAsia="en-AU"/>
              </w:rPr>
              <w:t>0.</w:t>
            </w:r>
          </w:p>
        </w:tc>
      </w:tr>
      <w:tr w:rsidR="0036490E" w:rsidRPr="00C525F3" w:rsidTr="00865674">
        <w:trPr>
          <w:cantSplit/>
          <w:trHeight w:val="450"/>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A11</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pat_private_flag</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Private patient flag</w:t>
            </w:r>
          </w:p>
        </w:tc>
        <w:tc>
          <w:tcPr>
            <w:tcW w:w="4711"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6E13C4">
              <w:rPr>
                <w:rFonts w:cs="Arial"/>
                <w:color w:val="000000"/>
                <w:sz w:val="18"/>
                <w:szCs w:val="18"/>
                <w:lang w:eastAsia="en-AU"/>
              </w:rPr>
              <w:t>1 if Funding Source = 9 or 13 for 2012-13 data and later.</w:t>
            </w:r>
            <w:r w:rsidRPr="006E13C4">
              <w:rPr>
                <w:rStyle w:val="FootnoteReference"/>
                <w:rFonts w:cs="Arial"/>
                <w:color w:val="000000"/>
                <w:sz w:val="18"/>
                <w:szCs w:val="18"/>
                <w:lang w:eastAsia="en-AU"/>
              </w:rPr>
              <w:footnoteReference w:id="12"/>
            </w:r>
          </w:p>
        </w:tc>
      </w:tr>
      <w:tr w:rsidR="0036490E" w:rsidRPr="00C525F3" w:rsidTr="00865674">
        <w:trPr>
          <w:cantSplit/>
          <w:trHeight w:val="450"/>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A12</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pat_public_flag</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Public patient flag</w:t>
            </w:r>
          </w:p>
        </w:tc>
        <w:tc>
          <w:tcPr>
            <w:tcW w:w="4711" w:type="dxa"/>
            <w:shd w:val="clear" w:color="auto" w:fill="auto"/>
            <w:hideMark/>
          </w:tcPr>
          <w:p w:rsidR="0036490E" w:rsidRPr="00822178" w:rsidRDefault="00BE0C35" w:rsidP="00C92D56">
            <w:pPr>
              <w:tabs>
                <w:tab w:val="left" w:pos="1162"/>
              </w:tabs>
              <w:spacing w:after="0"/>
              <w:rPr>
                <w:rFonts w:cs="Arial"/>
                <w:color w:val="000000"/>
                <w:sz w:val="18"/>
                <w:szCs w:val="18"/>
                <w:lang w:eastAsia="en-AU"/>
              </w:rPr>
            </w:pPr>
            <w:r>
              <w:rPr>
                <w:rFonts w:cs="Arial"/>
                <w:color w:val="000000"/>
                <w:sz w:val="18"/>
                <w:szCs w:val="18"/>
                <w:lang w:eastAsia="en-AU"/>
              </w:rPr>
              <w:t xml:space="preserve">1 if Funding Source = 1, 2 </w:t>
            </w:r>
            <w:r w:rsidR="0036490E" w:rsidRPr="006E13C4">
              <w:rPr>
                <w:rFonts w:cs="Arial"/>
                <w:color w:val="000000"/>
                <w:sz w:val="18"/>
                <w:szCs w:val="18"/>
                <w:lang w:eastAsia="en-AU"/>
              </w:rPr>
              <w:t>or 8 for 2012-13 data and later.</w:t>
            </w:r>
            <w:r w:rsidR="0036490E" w:rsidRPr="006E13C4">
              <w:rPr>
                <w:rStyle w:val="FootnoteReference"/>
                <w:rFonts w:cs="Arial"/>
                <w:color w:val="000000"/>
                <w:sz w:val="18"/>
                <w:szCs w:val="18"/>
                <w:lang w:eastAsia="en-AU"/>
              </w:rPr>
              <w:footnoteReference w:id="13"/>
            </w:r>
          </w:p>
        </w:tc>
      </w:tr>
      <w:tr w:rsidR="0036490E" w:rsidRPr="00C525F3" w:rsidTr="00865674">
        <w:trPr>
          <w:cantSplit/>
          <w:trHeight w:val="2307"/>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A13</w:t>
            </w:r>
          </w:p>
          <w:p w:rsidR="0036490E" w:rsidRPr="00822178" w:rsidRDefault="0036490E" w:rsidP="00865674">
            <w:pPr>
              <w:tabs>
                <w:tab w:val="left" w:pos="1162"/>
              </w:tabs>
              <w:spacing w:after="0"/>
              <w:jc w:val="center"/>
              <w:rPr>
                <w:rFonts w:cs="Arial"/>
                <w:color w:val="000000"/>
                <w:sz w:val="18"/>
                <w:szCs w:val="18"/>
                <w:lang w:eastAsia="en-AU"/>
              </w:rPr>
            </w:pP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pat_spa_category</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 xml:space="preserve">Patient specialist psychiatric category. All patients classified have positive psychiatric care days. </w:t>
            </w:r>
          </w:p>
          <w:p w:rsidR="0036490E" w:rsidRPr="00822178" w:rsidRDefault="0036490E" w:rsidP="00865674">
            <w:pPr>
              <w:tabs>
                <w:tab w:val="left" w:pos="1162"/>
              </w:tabs>
              <w:spacing w:after="0"/>
              <w:rPr>
                <w:rFonts w:cs="Arial"/>
                <w:color w:val="000000"/>
                <w:sz w:val="18"/>
                <w:szCs w:val="18"/>
                <w:lang w:eastAsia="en-AU"/>
              </w:rPr>
            </w:pPr>
          </w:p>
        </w:tc>
        <w:tc>
          <w:tcPr>
            <w:tcW w:w="4711" w:type="dxa"/>
            <w:shd w:val="clear" w:color="auto" w:fill="auto"/>
          </w:tcPr>
          <w:p w:rsidR="0036490E" w:rsidRDefault="0036490E" w:rsidP="00C245E0">
            <w:pPr>
              <w:pStyle w:val="ListParagraph"/>
              <w:numPr>
                <w:ilvl w:val="0"/>
                <w:numId w:val="65"/>
              </w:numPr>
              <w:tabs>
                <w:tab w:val="left" w:pos="1162"/>
              </w:tabs>
              <w:spacing w:after="0"/>
              <w:contextualSpacing/>
              <w:rPr>
                <w:rFonts w:cs="Arial"/>
                <w:color w:val="000000"/>
                <w:sz w:val="18"/>
                <w:szCs w:val="18"/>
                <w:lang w:eastAsia="en-AU"/>
              </w:rPr>
            </w:pPr>
            <w:r>
              <w:rPr>
                <w:rFonts w:cs="Arial"/>
                <w:color w:val="000000"/>
                <w:sz w:val="18"/>
                <w:szCs w:val="18"/>
                <w:lang w:eastAsia="en-AU"/>
              </w:rPr>
              <w:t xml:space="preserve">0: if not a specialist psychiatric patient </w:t>
            </w:r>
          </w:p>
          <w:p w:rsidR="0036490E" w:rsidRDefault="0036490E" w:rsidP="00C245E0">
            <w:pPr>
              <w:pStyle w:val="ListParagraph"/>
              <w:numPr>
                <w:ilvl w:val="0"/>
                <w:numId w:val="65"/>
              </w:numPr>
              <w:tabs>
                <w:tab w:val="left" w:pos="1162"/>
              </w:tabs>
              <w:spacing w:after="0"/>
              <w:contextualSpacing/>
              <w:rPr>
                <w:rFonts w:cs="Arial"/>
                <w:color w:val="000000"/>
                <w:sz w:val="18"/>
                <w:szCs w:val="18"/>
                <w:lang w:eastAsia="en-AU"/>
              </w:rPr>
            </w:pPr>
            <w:r w:rsidRPr="00295902">
              <w:rPr>
                <w:rFonts w:cs="Arial"/>
                <w:color w:val="000000"/>
                <w:sz w:val="18"/>
                <w:szCs w:val="18"/>
                <w:lang w:eastAsia="en-AU"/>
              </w:rPr>
              <w:t>1.1</w:t>
            </w:r>
            <w:r w:rsidRPr="00FA3851">
              <w:rPr>
                <w:rFonts w:cs="Arial"/>
                <w:color w:val="000000"/>
                <w:sz w:val="18"/>
                <w:szCs w:val="18"/>
                <w:lang w:eastAsia="en-AU"/>
              </w:rPr>
              <w:t>: if 0 to 17 years from establishment not eligible for Paediatric Adjustment</w:t>
            </w:r>
            <w:r w:rsidRPr="00FA3851" w:rsidDel="00B62E07">
              <w:rPr>
                <w:rFonts w:cs="Arial"/>
                <w:color w:val="000000"/>
                <w:sz w:val="18"/>
                <w:szCs w:val="18"/>
                <w:lang w:eastAsia="en-AU"/>
              </w:rPr>
              <w:t xml:space="preserve"> </w:t>
            </w:r>
            <w:r w:rsidRPr="00FA3851">
              <w:rPr>
                <w:rFonts w:cs="Arial"/>
                <w:color w:val="000000"/>
                <w:sz w:val="18"/>
                <w:szCs w:val="18"/>
                <w:lang w:eastAsia="en-AU"/>
              </w:rPr>
              <w:t xml:space="preserve">and in MDC 19 or 20 </w:t>
            </w:r>
          </w:p>
          <w:p w:rsidR="0036490E" w:rsidRDefault="0036490E" w:rsidP="00C245E0">
            <w:pPr>
              <w:pStyle w:val="ListParagraph"/>
              <w:numPr>
                <w:ilvl w:val="0"/>
                <w:numId w:val="65"/>
              </w:numPr>
              <w:tabs>
                <w:tab w:val="left" w:pos="1162"/>
              </w:tabs>
              <w:spacing w:after="0"/>
              <w:contextualSpacing/>
              <w:rPr>
                <w:rFonts w:cs="Arial"/>
                <w:color w:val="000000"/>
                <w:sz w:val="18"/>
                <w:szCs w:val="18"/>
                <w:lang w:eastAsia="en-AU"/>
              </w:rPr>
            </w:pPr>
            <w:r>
              <w:rPr>
                <w:rFonts w:cs="Arial"/>
                <w:color w:val="000000"/>
                <w:sz w:val="18"/>
                <w:szCs w:val="18"/>
                <w:lang w:eastAsia="en-AU"/>
              </w:rPr>
              <w:t xml:space="preserve">1.2: </w:t>
            </w:r>
            <w:r w:rsidRPr="00822178">
              <w:rPr>
                <w:rFonts w:cs="Arial"/>
                <w:color w:val="000000"/>
                <w:sz w:val="18"/>
                <w:szCs w:val="18"/>
                <w:lang w:eastAsia="en-AU"/>
              </w:rPr>
              <w:t>: 0 to 17 years from establishment eligible for Paediatric Adjustment</w:t>
            </w:r>
            <w:r>
              <w:rPr>
                <w:rFonts w:cs="Arial"/>
                <w:color w:val="000000"/>
                <w:sz w:val="18"/>
                <w:szCs w:val="18"/>
                <w:lang w:eastAsia="en-AU"/>
              </w:rPr>
              <w:t xml:space="preserve"> and in MDC 19 or 20 </w:t>
            </w:r>
          </w:p>
          <w:p w:rsidR="0036490E" w:rsidRDefault="0036490E" w:rsidP="00C245E0">
            <w:pPr>
              <w:pStyle w:val="ListParagraph"/>
              <w:numPr>
                <w:ilvl w:val="0"/>
                <w:numId w:val="65"/>
              </w:numPr>
              <w:tabs>
                <w:tab w:val="left" w:pos="1162"/>
              </w:tabs>
              <w:spacing w:after="0"/>
              <w:contextualSpacing/>
              <w:rPr>
                <w:rFonts w:cs="Arial"/>
                <w:color w:val="000000"/>
                <w:sz w:val="18"/>
                <w:szCs w:val="18"/>
                <w:lang w:eastAsia="en-AU"/>
              </w:rPr>
            </w:pPr>
            <w:r>
              <w:rPr>
                <w:rFonts w:cs="Arial"/>
                <w:color w:val="000000"/>
                <w:sz w:val="18"/>
                <w:szCs w:val="18"/>
                <w:lang w:eastAsia="en-AU"/>
              </w:rPr>
              <w:t>2</w:t>
            </w:r>
            <w:r w:rsidRPr="00F60424">
              <w:rPr>
                <w:rFonts w:cs="Arial"/>
                <w:color w:val="000000"/>
                <w:sz w:val="18"/>
                <w:szCs w:val="18"/>
                <w:lang w:eastAsia="en-AU"/>
              </w:rPr>
              <w:t>.1: if 0 to 17 years from establishment not eligible for Paediatric Adjustment</w:t>
            </w:r>
            <w:r w:rsidRPr="00F60424" w:rsidDel="00B62E07">
              <w:rPr>
                <w:rFonts w:cs="Arial"/>
                <w:color w:val="000000"/>
                <w:sz w:val="18"/>
                <w:szCs w:val="18"/>
                <w:lang w:eastAsia="en-AU"/>
              </w:rPr>
              <w:t xml:space="preserve"> </w:t>
            </w:r>
            <w:r w:rsidRPr="00F60424">
              <w:rPr>
                <w:rFonts w:cs="Arial"/>
                <w:color w:val="000000"/>
                <w:sz w:val="18"/>
                <w:szCs w:val="18"/>
                <w:lang w:eastAsia="en-AU"/>
              </w:rPr>
              <w:t>and</w:t>
            </w:r>
            <w:r>
              <w:rPr>
                <w:rFonts w:cs="Arial"/>
                <w:color w:val="000000"/>
                <w:sz w:val="18"/>
                <w:szCs w:val="18"/>
                <w:lang w:eastAsia="en-AU"/>
              </w:rPr>
              <w:t xml:space="preserve"> not</w:t>
            </w:r>
            <w:r w:rsidRPr="00F60424">
              <w:rPr>
                <w:rFonts w:cs="Arial"/>
                <w:color w:val="000000"/>
                <w:sz w:val="18"/>
                <w:szCs w:val="18"/>
                <w:lang w:eastAsia="en-AU"/>
              </w:rPr>
              <w:t xml:space="preserve"> in MDC 19 or 20 </w:t>
            </w:r>
          </w:p>
          <w:p w:rsidR="0036490E" w:rsidRDefault="0036490E" w:rsidP="00C245E0">
            <w:pPr>
              <w:pStyle w:val="ListParagraph"/>
              <w:numPr>
                <w:ilvl w:val="0"/>
                <w:numId w:val="65"/>
              </w:numPr>
              <w:tabs>
                <w:tab w:val="left" w:pos="1162"/>
              </w:tabs>
              <w:spacing w:after="0"/>
              <w:contextualSpacing/>
              <w:rPr>
                <w:rFonts w:cs="Arial"/>
                <w:color w:val="000000"/>
                <w:sz w:val="18"/>
                <w:szCs w:val="18"/>
                <w:lang w:eastAsia="en-AU"/>
              </w:rPr>
            </w:pPr>
            <w:r>
              <w:rPr>
                <w:rFonts w:cs="Arial"/>
                <w:color w:val="000000"/>
                <w:sz w:val="18"/>
                <w:szCs w:val="18"/>
                <w:lang w:eastAsia="en-AU"/>
              </w:rPr>
              <w:t xml:space="preserve">2.2: </w:t>
            </w:r>
            <w:r w:rsidRPr="00822178">
              <w:rPr>
                <w:rFonts w:cs="Arial"/>
                <w:color w:val="000000"/>
                <w:sz w:val="18"/>
                <w:szCs w:val="18"/>
                <w:lang w:eastAsia="en-AU"/>
              </w:rPr>
              <w:t>: 0 to 17 years from establishment eligible for Paediatric Adjustment</w:t>
            </w:r>
            <w:r>
              <w:rPr>
                <w:rFonts w:cs="Arial"/>
                <w:color w:val="000000"/>
                <w:sz w:val="18"/>
                <w:szCs w:val="18"/>
                <w:lang w:eastAsia="en-AU"/>
              </w:rPr>
              <w:t xml:space="preserve"> and not in MDC 19 or 20 </w:t>
            </w:r>
          </w:p>
          <w:p w:rsidR="0036490E" w:rsidRPr="00FA3851" w:rsidRDefault="0036490E" w:rsidP="00C245E0">
            <w:pPr>
              <w:pStyle w:val="ListParagraph"/>
              <w:numPr>
                <w:ilvl w:val="0"/>
                <w:numId w:val="65"/>
              </w:numPr>
              <w:tabs>
                <w:tab w:val="left" w:pos="1162"/>
              </w:tabs>
              <w:spacing w:after="0"/>
              <w:contextualSpacing/>
              <w:rPr>
                <w:rFonts w:cs="Arial"/>
                <w:color w:val="000000"/>
                <w:sz w:val="18"/>
                <w:szCs w:val="18"/>
                <w:lang w:eastAsia="en-AU"/>
              </w:rPr>
            </w:pPr>
            <w:r>
              <w:rPr>
                <w:rFonts w:cs="Arial"/>
                <w:color w:val="000000"/>
                <w:sz w:val="18"/>
                <w:szCs w:val="18"/>
                <w:lang w:eastAsia="en-AU"/>
              </w:rPr>
              <w:t xml:space="preserve">3: </w:t>
            </w:r>
            <w:r w:rsidRPr="00822178">
              <w:rPr>
                <w:rFonts w:cs="Arial"/>
                <w:color w:val="000000"/>
                <w:sz w:val="18"/>
                <w:szCs w:val="18"/>
                <w:lang w:eastAsia="en-AU"/>
              </w:rPr>
              <w:t xml:space="preserve">: </w:t>
            </w:r>
            <w:r>
              <w:rPr>
                <w:rFonts w:cs="Arial"/>
                <w:color w:val="000000"/>
                <w:sz w:val="18"/>
                <w:szCs w:val="18"/>
                <w:lang w:eastAsia="en-AU"/>
              </w:rPr>
              <w:t xml:space="preserve">Greater than 17 years not in MDC 19 or 20 </w:t>
            </w:r>
          </w:p>
        </w:tc>
      </w:tr>
      <w:tr w:rsidR="0036490E" w:rsidRPr="00C525F3" w:rsidTr="00865674">
        <w:trPr>
          <w:cantSplit/>
          <w:trHeight w:val="225"/>
        </w:trPr>
        <w:tc>
          <w:tcPr>
            <w:tcW w:w="817" w:type="dxa"/>
            <w:vMerge w:val="restart"/>
            <w:hideMark/>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Step 5</w:t>
            </w: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A14</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drg_samedaylist_flag</w:t>
            </w:r>
            <w:proofErr w:type="spellEnd"/>
            <w:r w:rsidRPr="00822178" w:rsidDel="00B62E07">
              <w:rPr>
                <w:rFonts w:cs="Arial"/>
                <w:color w:val="000000"/>
                <w:sz w:val="18"/>
                <w:szCs w:val="18"/>
                <w:lang w:eastAsia="en-AU"/>
              </w:rPr>
              <w:t xml:space="preserve"> </w:t>
            </w:r>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Same-day price list flag</w:t>
            </w:r>
            <w:r w:rsidRPr="00822178" w:rsidDel="00B62E07">
              <w:rPr>
                <w:rFonts w:cs="Arial"/>
                <w:color w:val="000000"/>
                <w:sz w:val="18"/>
                <w:szCs w:val="18"/>
                <w:lang w:eastAsia="en-AU"/>
              </w:rPr>
              <w:t xml:space="preserve"> </w:t>
            </w:r>
          </w:p>
        </w:tc>
        <w:tc>
          <w:tcPr>
            <w:tcW w:w="4711" w:type="dxa"/>
            <w:shd w:val="clear" w:color="auto" w:fill="auto"/>
            <w:hideMark/>
          </w:tcPr>
          <w:p w:rsidR="0036490E" w:rsidRPr="00822178" w:rsidRDefault="0036490E" w:rsidP="00DF77B4">
            <w:pPr>
              <w:tabs>
                <w:tab w:val="left" w:pos="1162"/>
              </w:tabs>
              <w:spacing w:after="0"/>
              <w:rPr>
                <w:rFonts w:cs="Arial"/>
                <w:color w:val="000000"/>
                <w:sz w:val="18"/>
                <w:szCs w:val="18"/>
                <w:lang w:eastAsia="en-AU"/>
              </w:rPr>
            </w:pPr>
            <w:r w:rsidRPr="00822178">
              <w:rPr>
                <w:rFonts w:cs="Arial"/>
                <w:color w:val="000000"/>
                <w:sz w:val="18"/>
                <w:szCs w:val="18"/>
                <w:lang w:eastAsia="en-AU"/>
              </w:rPr>
              <w:t>1 if Same-Day Price List variable from joined NWAU AR-DRG Price Weight table equals 'Yes'; else</w:t>
            </w:r>
            <w:r w:rsidR="00BF4B2B">
              <w:rPr>
                <w:rFonts w:cs="Arial"/>
                <w:color w:val="000000"/>
                <w:sz w:val="18"/>
                <w:szCs w:val="18"/>
                <w:lang w:eastAsia="en-AU"/>
              </w:rPr>
              <w:t xml:space="preserve"> </w:t>
            </w:r>
            <w:r w:rsidRPr="00822178">
              <w:rPr>
                <w:rFonts w:cs="Arial"/>
                <w:color w:val="000000"/>
                <w:sz w:val="18"/>
                <w:szCs w:val="18"/>
                <w:lang w:eastAsia="en-AU"/>
              </w:rPr>
              <w:t>0.</w:t>
            </w:r>
          </w:p>
        </w:tc>
      </w:tr>
      <w:tr w:rsidR="0036490E" w:rsidRPr="00C525F3" w:rsidTr="00865674">
        <w:trPr>
          <w:cantSplit/>
          <w:trHeight w:val="450"/>
        </w:trPr>
        <w:tc>
          <w:tcPr>
            <w:tcW w:w="817" w:type="dxa"/>
            <w:vMerge/>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sidRPr="00822178">
              <w:rPr>
                <w:rFonts w:cs="Arial"/>
                <w:color w:val="000000"/>
                <w:sz w:val="18"/>
                <w:szCs w:val="18"/>
                <w:lang w:eastAsia="en-AU"/>
              </w:rPr>
              <w:t>A1</w:t>
            </w:r>
            <w:r>
              <w:rPr>
                <w:rFonts w:cs="Arial"/>
                <w:color w:val="000000"/>
                <w:sz w:val="18"/>
                <w:szCs w:val="18"/>
                <w:lang w:eastAsia="en-AU"/>
              </w:rPr>
              <w:t>5</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drg_bundled_icu_flag</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Bundled ICU flag</w:t>
            </w:r>
          </w:p>
        </w:tc>
        <w:tc>
          <w:tcPr>
            <w:tcW w:w="4711" w:type="dxa"/>
            <w:shd w:val="clear" w:color="auto" w:fill="auto"/>
            <w:hideMark/>
          </w:tcPr>
          <w:p w:rsidR="0036490E" w:rsidRPr="00822178" w:rsidRDefault="0036490E" w:rsidP="00DF77B4">
            <w:pPr>
              <w:tabs>
                <w:tab w:val="left" w:pos="1162"/>
              </w:tabs>
              <w:spacing w:after="0"/>
              <w:rPr>
                <w:rFonts w:cs="Arial"/>
                <w:color w:val="000000"/>
                <w:sz w:val="18"/>
                <w:szCs w:val="18"/>
                <w:lang w:eastAsia="en-AU"/>
              </w:rPr>
            </w:pPr>
            <w:r w:rsidRPr="00822178">
              <w:rPr>
                <w:rFonts w:cs="Arial"/>
                <w:color w:val="000000"/>
                <w:sz w:val="18"/>
                <w:szCs w:val="18"/>
                <w:lang w:eastAsia="en-AU"/>
              </w:rPr>
              <w:t>1 if Bundled ICU variable from joined NWAU AR-DRG Price Weight table equals 'Yes'; else</w:t>
            </w:r>
            <w:r w:rsidR="00BF4B2B">
              <w:rPr>
                <w:rFonts w:cs="Arial"/>
                <w:color w:val="000000"/>
                <w:sz w:val="18"/>
                <w:szCs w:val="18"/>
                <w:lang w:eastAsia="en-AU"/>
              </w:rPr>
              <w:t xml:space="preserve"> </w:t>
            </w:r>
            <w:r w:rsidRPr="00822178">
              <w:rPr>
                <w:rFonts w:cs="Arial"/>
                <w:color w:val="000000"/>
                <w:sz w:val="18"/>
                <w:szCs w:val="18"/>
                <w:lang w:eastAsia="en-AU"/>
              </w:rPr>
              <w:t>0.</w:t>
            </w:r>
          </w:p>
        </w:tc>
      </w:tr>
      <w:tr w:rsidR="0036490E" w:rsidRPr="00C525F3" w:rsidTr="00865674">
        <w:trPr>
          <w:cantSplit/>
          <w:trHeight w:val="450"/>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A16</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drg_inlier_lb</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Inlier lower bound</w:t>
            </w:r>
          </w:p>
        </w:tc>
        <w:tc>
          <w:tcPr>
            <w:tcW w:w="4711" w:type="dxa"/>
            <w:shd w:val="clear" w:color="auto" w:fill="auto"/>
            <w:hideMark/>
          </w:tcPr>
          <w:p w:rsidR="0036490E" w:rsidRPr="00822178"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I</w:t>
            </w:r>
            <w:r w:rsidR="0036490E" w:rsidRPr="00822178">
              <w:rPr>
                <w:rFonts w:cs="Arial"/>
                <w:color w:val="000000"/>
                <w:sz w:val="18"/>
                <w:szCs w:val="18"/>
                <w:lang w:eastAsia="en-AU"/>
              </w:rPr>
              <w:t>nlier lower bound from NWAU AR-DRG Price Weight table.</w:t>
            </w:r>
          </w:p>
        </w:tc>
      </w:tr>
      <w:tr w:rsidR="0036490E" w:rsidRPr="00C525F3" w:rsidTr="00865674">
        <w:trPr>
          <w:cantSplit/>
          <w:trHeight w:val="450"/>
        </w:trPr>
        <w:tc>
          <w:tcPr>
            <w:tcW w:w="817" w:type="dxa"/>
            <w:vMerge/>
            <w:vAlign w:val="center"/>
            <w:hideMark/>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hideMark/>
          </w:tcPr>
          <w:p w:rsidR="0036490E" w:rsidRPr="00822178"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A17</w:t>
            </w:r>
          </w:p>
        </w:tc>
        <w:tc>
          <w:tcPr>
            <w:tcW w:w="3119" w:type="dxa"/>
            <w:shd w:val="clear" w:color="auto" w:fill="auto"/>
            <w:noWrap/>
            <w:hideMark/>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drg_inlier_ub</w:t>
            </w:r>
            <w:proofErr w:type="spellEnd"/>
          </w:p>
        </w:tc>
        <w:tc>
          <w:tcPr>
            <w:tcW w:w="4536" w:type="dxa"/>
            <w:shd w:val="clear" w:color="auto" w:fill="auto"/>
            <w:hideMark/>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Inlier upper bound</w:t>
            </w:r>
          </w:p>
        </w:tc>
        <w:tc>
          <w:tcPr>
            <w:tcW w:w="4711" w:type="dxa"/>
            <w:shd w:val="clear" w:color="auto" w:fill="auto"/>
            <w:hideMark/>
          </w:tcPr>
          <w:p w:rsidR="0036490E" w:rsidRPr="00822178"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I</w:t>
            </w:r>
            <w:r w:rsidR="0036490E" w:rsidRPr="00822178">
              <w:rPr>
                <w:rFonts w:cs="Arial"/>
                <w:color w:val="000000"/>
                <w:sz w:val="18"/>
                <w:szCs w:val="18"/>
                <w:lang w:eastAsia="en-AU"/>
              </w:rPr>
              <w:t>nlier upper bound from NWAU AR-DRG Price Weight table.</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A18</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drg_pw_sd</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Same-Day Price Weight</w:t>
            </w:r>
          </w:p>
        </w:tc>
        <w:tc>
          <w:tcPr>
            <w:tcW w:w="4711" w:type="dxa"/>
            <w:shd w:val="clear" w:color="auto" w:fill="auto"/>
          </w:tcPr>
          <w:p w:rsidR="0036490E" w:rsidRPr="00822178" w:rsidRDefault="00BF4B2B" w:rsidP="00DF77B4">
            <w:pPr>
              <w:tabs>
                <w:tab w:val="left" w:pos="1162"/>
              </w:tabs>
              <w:spacing w:after="0"/>
              <w:rPr>
                <w:rFonts w:cs="Arial"/>
                <w:color w:val="000000"/>
                <w:sz w:val="18"/>
                <w:szCs w:val="18"/>
                <w:lang w:eastAsia="en-AU"/>
              </w:rPr>
            </w:pPr>
            <w:r>
              <w:rPr>
                <w:rFonts w:cs="Arial"/>
                <w:color w:val="000000"/>
                <w:sz w:val="18"/>
                <w:szCs w:val="18"/>
                <w:lang w:eastAsia="en-AU"/>
              </w:rPr>
              <w:t>S</w:t>
            </w:r>
            <w:r w:rsidR="0036490E" w:rsidRPr="00822178">
              <w:rPr>
                <w:rFonts w:cs="Arial"/>
                <w:color w:val="000000"/>
                <w:sz w:val="18"/>
                <w:szCs w:val="18"/>
                <w:lang w:eastAsia="en-AU"/>
              </w:rPr>
              <w:t>ame-day price weight from joined NWAU AR-DRG Price Weight table if not missing; else</w:t>
            </w:r>
            <w:r>
              <w:rPr>
                <w:rFonts w:cs="Arial"/>
                <w:color w:val="000000"/>
                <w:sz w:val="18"/>
                <w:szCs w:val="18"/>
                <w:lang w:eastAsia="en-AU"/>
              </w:rPr>
              <w:t xml:space="preserve"> </w:t>
            </w:r>
            <w:r w:rsidR="0036490E" w:rsidRPr="00822178">
              <w:rPr>
                <w:rFonts w:cs="Arial"/>
                <w:color w:val="000000"/>
                <w:sz w:val="18"/>
                <w:szCs w:val="18"/>
                <w:lang w:eastAsia="en-AU"/>
              </w:rPr>
              <w:t>0.</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A19</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drg_pw_sso_base</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Short-Stay Outlier Base Price Weight</w:t>
            </w:r>
          </w:p>
        </w:tc>
        <w:tc>
          <w:tcPr>
            <w:tcW w:w="4711" w:type="dxa"/>
            <w:shd w:val="clear" w:color="auto" w:fill="auto"/>
          </w:tcPr>
          <w:p w:rsidR="0036490E" w:rsidRPr="00822178" w:rsidRDefault="00BF4B2B" w:rsidP="00DF77B4">
            <w:pPr>
              <w:tabs>
                <w:tab w:val="left" w:pos="1162"/>
              </w:tabs>
              <w:spacing w:after="0"/>
              <w:rPr>
                <w:rFonts w:cs="Arial"/>
                <w:color w:val="000000"/>
                <w:sz w:val="18"/>
                <w:szCs w:val="18"/>
                <w:lang w:eastAsia="en-AU"/>
              </w:rPr>
            </w:pPr>
            <w:r>
              <w:rPr>
                <w:rFonts w:cs="Arial"/>
                <w:color w:val="000000"/>
                <w:sz w:val="18"/>
                <w:szCs w:val="18"/>
                <w:lang w:eastAsia="en-AU"/>
              </w:rPr>
              <w:t>S</w:t>
            </w:r>
            <w:r w:rsidR="0036490E" w:rsidRPr="00822178">
              <w:rPr>
                <w:rFonts w:cs="Arial"/>
                <w:color w:val="000000"/>
                <w:sz w:val="18"/>
                <w:szCs w:val="18"/>
                <w:lang w:eastAsia="en-AU"/>
              </w:rPr>
              <w:t>hort-stay outlier base price weight from joined NWAU AR-DRG Price Weight table if not missing; else</w:t>
            </w:r>
            <w:r>
              <w:rPr>
                <w:rFonts w:cs="Arial"/>
                <w:color w:val="000000"/>
                <w:sz w:val="18"/>
                <w:szCs w:val="18"/>
                <w:lang w:eastAsia="en-AU"/>
              </w:rPr>
              <w:t xml:space="preserve"> </w:t>
            </w:r>
            <w:r w:rsidR="0036490E" w:rsidRPr="00822178">
              <w:rPr>
                <w:rFonts w:cs="Arial"/>
                <w:color w:val="000000"/>
                <w:sz w:val="18"/>
                <w:szCs w:val="18"/>
                <w:lang w:eastAsia="en-AU"/>
              </w:rPr>
              <w:t>0.</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A20</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drg_pw_sso_perdiem</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Short-Stay Outlier Per Diem Price Weight</w:t>
            </w:r>
          </w:p>
        </w:tc>
        <w:tc>
          <w:tcPr>
            <w:tcW w:w="4711" w:type="dxa"/>
            <w:shd w:val="clear" w:color="auto" w:fill="auto"/>
          </w:tcPr>
          <w:p w:rsidR="0036490E" w:rsidRPr="00822178" w:rsidRDefault="00BF4B2B" w:rsidP="00DF77B4">
            <w:pPr>
              <w:tabs>
                <w:tab w:val="left" w:pos="1162"/>
              </w:tabs>
              <w:spacing w:after="0"/>
              <w:rPr>
                <w:rFonts w:cs="Arial"/>
                <w:color w:val="000000"/>
                <w:sz w:val="18"/>
                <w:szCs w:val="18"/>
                <w:lang w:eastAsia="en-AU"/>
              </w:rPr>
            </w:pPr>
            <w:r>
              <w:rPr>
                <w:rFonts w:cs="Arial"/>
                <w:color w:val="000000"/>
                <w:sz w:val="18"/>
                <w:szCs w:val="18"/>
                <w:lang w:eastAsia="en-AU"/>
              </w:rPr>
              <w:t>S</w:t>
            </w:r>
            <w:r w:rsidR="0036490E" w:rsidRPr="00822178">
              <w:rPr>
                <w:rFonts w:cs="Arial"/>
                <w:color w:val="000000"/>
                <w:sz w:val="18"/>
                <w:szCs w:val="18"/>
                <w:lang w:eastAsia="en-AU"/>
              </w:rPr>
              <w:t>hort-stay outlier per diem price weight from joined NWAU AR-DRG Price Weight table if not missing; else</w:t>
            </w:r>
            <w:r>
              <w:rPr>
                <w:rFonts w:cs="Arial"/>
                <w:color w:val="000000"/>
                <w:sz w:val="18"/>
                <w:szCs w:val="18"/>
                <w:lang w:eastAsia="en-AU"/>
              </w:rPr>
              <w:t xml:space="preserve"> </w:t>
            </w:r>
            <w:r w:rsidR="0036490E" w:rsidRPr="00822178">
              <w:rPr>
                <w:rFonts w:cs="Arial"/>
                <w:color w:val="000000"/>
                <w:sz w:val="18"/>
                <w:szCs w:val="18"/>
                <w:lang w:eastAsia="en-AU"/>
              </w:rPr>
              <w:t>0.</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A21</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drg_pw_inlier</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Inlier Price Weight</w:t>
            </w:r>
          </w:p>
        </w:tc>
        <w:tc>
          <w:tcPr>
            <w:tcW w:w="4711" w:type="dxa"/>
            <w:shd w:val="clear" w:color="auto" w:fill="auto"/>
          </w:tcPr>
          <w:p w:rsidR="0036490E" w:rsidRPr="00822178"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I</w:t>
            </w:r>
            <w:r w:rsidR="0036490E" w:rsidRPr="00822178">
              <w:rPr>
                <w:rFonts w:cs="Arial"/>
                <w:color w:val="000000"/>
                <w:sz w:val="18"/>
                <w:szCs w:val="18"/>
                <w:lang w:eastAsia="en-AU"/>
              </w:rPr>
              <w:t>nlier price weight from joined NWAU AR-DRG Price Weight table.</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A22</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drg_pw_lso_perdiem</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Long-Stay Outlier Per Diem Price Weight</w:t>
            </w:r>
          </w:p>
        </w:tc>
        <w:tc>
          <w:tcPr>
            <w:tcW w:w="4711" w:type="dxa"/>
            <w:shd w:val="clear" w:color="auto" w:fill="auto"/>
          </w:tcPr>
          <w:p w:rsidR="0036490E" w:rsidRPr="00822178" w:rsidRDefault="00BF4B2B" w:rsidP="00DF77B4">
            <w:pPr>
              <w:tabs>
                <w:tab w:val="left" w:pos="1162"/>
              </w:tabs>
              <w:spacing w:after="0"/>
              <w:rPr>
                <w:rFonts w:cs="Arial"/>
                <w:color w:val="000000"/>
                <w:sz w:val="18"/>
                <w:szCs w:val="18"/>
                <w:lang w:eastAsia="en-AU"/>
              </w:rPr>
            </w:pPr>
            <w:r>
              <w:rPr>
                <w:rFonts w:cs="Arial"/>
                <w:color w:val="000000"/>
                <w:sz w:val="18"/>
                <w:szCs w:val="18"/>
                <w:lang w:eastAsia="en-AU"/>
              </w:rPr>
              <w:t>L</w:t>
            </w:r>
            <w:r w:rsidR="0036490E" w:rsidRPr="00822178">
              <w:rPr>
                <w:rFonts w:cs="Arial"/>
                <w:color w:val="000000"/>
                <w:sz w:val="18"/>
                <w:szCs w:val="18"/>
                <w:lang w:eastAsia="en-AU"/>
              </w:rPr>
              <w:t>ong-stay outlier per diem price weight from joined NWAU AR-DRG Price Weight table if not missing; else</w:t>
            </w:r>
            <w:r>
              <w:rPr>
                <w:rFonts w:cs="Arial"/>
                <w:color w:val="000000"/>
                <w:sz w:val="18"/>
                <w:szCs w:val="18"/>
                <w:lang w:eastAsia="en-AU"/>
              </w:rPr>
              <w:t xml:space="preserve"> </w:t>
            </w:r>
            <w:r w:rsidR="0036490E" w:rsidRPr="00822178">
              <w:rPr>
                <w:rFonts w:cs="Arial"/>
                <w:color w:val="000000"/>
                <w:sz w:val="18"/>
                <w:szCs w:val="18"/>
                <w:lang w:eastAsia="en-AU"/>
              </w:rPr>
              <w:t>0.</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A23</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drg_adj_paed</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Paediatric adjustment</w:t>
            </w:r>
          </w:p>
        </w:tc>
        <w:tc>
          <w:tcPr>
            <w:tcW w:w="4711" w:type="dxa"/>
            <w:shd w:val="clear" w:color="auto" w:fill="auto"/>
          </w:tcPr>
          <w:p w:rsidR="0036490E" w:rsidRPr="00822178"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P</w:t>
            </w:r>
            <w:r w:rsidR="0036490E" w:rsidRPr="00822178">
              <w:rPr>
                <w:rFonts w:cs="Arial"/>
                <w:color w:val="000000"/>
                <w:sz w:val="18"/>
                <w:szCs w:val="18"/>
                <w:lang w:eastAsia="en-AU"/>
              </w:rPr>
              <w:t>aediatric adjustment from joined NWAU AR-DRG Price Weight table.</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A24</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drg_adj_privpat_serv</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Private patient service adjustment</w:t>
            </w:r>
          </w:p>
        </w:tc>
        <w:tc>
          <w:tcPr>
            <w:tcW w:w="4711" w:type="dxa"/>
            <w:shd w:val="clear" w:color="auto" w:fill="auto"/>
          </w:tcPr>
          <w:p w:rsidR="0036490E" w:rsidRPr="00822178"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P</w:t>
            </w:r>
            <w:r w:rsidR="0036490E" w:rsidRPr="00822178">
              <w:rPr>
                <w:rFonts w:cs="Arial"/>
                <w:color w:val="000000"/>
                <w:sz w:val="18"/>
                <w:szCs w:val="18"/>
                <w:lang w:eastAsia="en-AU"/>
              </w:rPr>
              <w:t>rivate patient service adjustment from joined NWAU AR-DRG Price Weight table.</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A25</w:t>
            </w:r>
          </w:p>
        </w:tc>
        <w:tc>
          <w:tcPr>
            <w:tcW w:w="3119" w:type="dxa"/>
            <w:shd w:val="clear" w:color="auto" w:fill="auto"/>
            <w:noWrap/>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drg_inscope_flag</w:t>
            </w:r>
            <w:proofErr w:type="spellEnd"/>
          </w:p>
        </w:tc>
        <w:tc>
          <w:tcPr>
            <w:tcW w:w="4536"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 xml:space="preserve">DRG </w:t>
            </w:r>
            <w:r w:rsidR="00347801">
              <w:rPr>
                <w:rFonts w:cs="Arial"/>
                <w:color w:val="000000"/>
                <w:sz w:val="18"/>
                <w:szCs w:val="18"/>
                <w:lang w:eastAsia="en-AU"/>
              </w:rPr>
              <w:t>in-scope</w:t>
            </w:r>
            <w:r>
              <w:rPr>
                <w:rFonts w:cs="Arial"/>
                <w:color w:val="000000"/>
                <w:sz w:val="18"/>
                <w:szCs w:val="18"/>
                <w:lang w:eastAsia="en-AU"/>
              </w:rPr>
              <w:t xml:space="preserve"> flag </w:t>
            </w:r>
          </w:p>
        </w:tc>
        <w:tc>
          <w:tcPr>
            <w:tcW w:w="4711" w:type="dxa"/>
            <w:shd w:val="clear" w:color="auto" w:fill="auto"/>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1 if DRG is in scope; else 0</w:t>
            </w:r>
            <w:r w:rsidR="00BF4B2B">
              <w:rPr>
                <w:rFonts w:cs="Arial"/>
                <w:color w:val="000000"/>
                <w:sz w:val="18"/>
                <w:szCs w:val="18"/>
                <w:lang w:eastAsia="en-AU"/>
              </w:rPr>
              <w:t>.</w:t>
            </w:r>
          </w:p>
        </w:tc>
      </w:tr>
      <w:tr w:rsidR="0036490E" w:rsidRPr="00C525F3" w:rsidTr="00865674">
        <w:trPr>
          <w:cantSplit/>
          <w:trHeight w:val="450"/>
        </w:trPr>
        <w:tc>
          <w:tcPr>
            <w:tcW w:w="817" w:type="dxa"/>
            <w:vMerge w:val="restart"/>
            <w:tcBorders>
              <w:top w:val="nil"/>
            </w:tcBorders>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A26</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proofErr w:type="spellStart"/>
            <w:r>
              <w:rPr>
                <w:rFonts w:cs="Arial"/>
                <w:color w:val="000000"/>
                <w:sz w:val="18"/>
                <w:szCs w:val="18"/>
                <w:lang w:eastAsia="en-AU"/>
              </w:rPr>
              <w:t>adj_spa</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See definition</w:t>
            </w:r>
          </w:p>
        </w:tc>
        <w:tc>
          <w:tcPr>
            <w:tcW w:w="4711" w:type="dxa"/>
            <w:shd w:val="clear" w:color="auto" w:fill="auto"/>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w:t>
            </w:r>
            <w:r w:rsidRPr="00822178">
              <w:rPr>
                <w:rFonts w:cs="Arial"/>
                <w:color w:val="000000"/>
                <w:sz w:val="18"/>
                <w:szCs w:val="18"/>
                <w:lang w:eastAsia="en-AU"/>
              </w:rPr>
              <w:t xml:space="preserve">pecialist </w:t>
            </w:r>
            <w:r>
              <w:rPr>
                <w:rFonts w:cs="Arial"/>
                <w:color w:val="000000"/>
                <w:sz w:val="18"/>
                <w:szCs w:val="18"/>
                <w:lang w:eastAsia="en-AU"/>
              </w:rPr>
              <w:t>P</w:t>
            </w:r>
            <w:r w:rsidRPr="00822178">
              <w:rPr>
                <w:rFonts w:cs="Arial"/>
                <w:color w:val="000000"/>
                <w:sz w:val="18"/>
                <w:szCs w:val="18"/>
                <w:lang w:eastAsia="en-AU"/>
              </w:rPr>
              <w:t xml:space="preserve">sychiatric </w:t>
            </w:r>
            <w:r>
              <w:rPr>
                <w:rFonts w:cs="Arial"/>
                <w:color w:val="000000"/>
                <w:sz w:val="18"/>
                <w:szCs w:val="18"/>
                <w:lang w:eastAsia="en-AU"/>
              </w:rPr>
              <w:t>A</w:t>
            </w:r>
            <w:r w:rsidRPr="00822178">
              <w:rPr>
                <w:rFonts w:cs="Arial"/>
                <w:color w:val="000000"/>
                <w:sz w:val="18"/>
                <w:szCs w:val="18"/>
                <w:lang w:eastAsia="en-AU"/>
              </w:rPr>
              <w:t>ge adjustment</w:t>
            </w:r>
          </w:p>
        </w:tc>
      </w:tr>
      <w:tr w:rsidR="0036490E" w:rsidRPr="00C525F3" w:rsidTr="00865674">
        <w:trPr>
          <w:cantSplit/>
          <w:trHeight w:val="450"/>
        </w:trPr>
        <w:tc>
          <w:tcPr>
            <w:tcW w:w="817" w:type="dxa"/>
            <w:vMerge/>
            <w:tcBorders>
              <w:top w:val="nil"/>
            </w:tcBorders>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A27</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proofErr w:type="spellStart"/>
            <w:r>
              <w:rPr>
                <w:rFonts w:cs="Arial"/>
                <w:color w:val="000000"/>
                <w:sz w:val="18"/>
                <w:szCs w:val="18"/>
                <w:lang w:eastAsia="en-AU"/>
              </w:rPr>
              <w:t>adj_indigenous</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See definition</w:t>
            </w:r>
          </w:p>
        </w:tc>
        <w:tc>
          <w:tcPr>
            <w:tcW w:w="4711" w:type="dxa"/>
            <w:shd w:val="clear" w:color="auto" w:fill="auto"/>
          </w:tcPr>
          <w:p w:rsidR="0036490E"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I</w:t>
            </w:r>
            <w:r w:rsidR="0036490E" w:rsidRPr="00822178">
              <w:rPr>
                <w:rFonts w:cs="Arial"/>
                <w:color w:val="000000"/>
                <w:sz w:val="18"/>
                <w:szCs w:val="18"/>
                <w:lang w:eastAsia="en-AU"/>
              </w:rPr>
              <w:t>ndigenous adjustment.</w:t>
            </w:r>
          </w:p>
        </w:tc>
      </w:tr>
      <w:tr w:rsidR="0036490E" w:rsidRPr="00C525F3" w:rsidTr="00865674">
        <w:trPr>
          <w:cantSplit/>
          <w:trHeight w:val="450"/>
        </w:trPr>
        <w:tc>
          <w:tcPr>
            <w:tcW w:w="817" w:type="dxa"/>
            <w:vMerge/>
            <w:tcBorders>
              <w:top w:val="nil"/>
            </w:tcBorders>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A28</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proofErr w:type="spellStart"/>
            <w:r>
              <w:rPr>
                <w:rFonts w:cs="Arial"/>
                <w:color w:val="000000"/>
                <w:sz w:val="18"/>
                <w:szCs w:val="18"/>
                <w:lang w:eastAsia="en-AU"/>
              </w:rPr>
              <w:t>adj_remoteness</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See definition</w:t>
            </w:r>
          </w:p>
        </w:tc>
        <w:tc>
          <w:tcPr>
            <w:tcW w:w="4711" w:type="dxa"/>
            <w:shd w:val="clear" w:color="auto" w:fill="auto"/>
          </w:tcPr>
          <w:p w:rsidR="0036490E"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R</w:t>
            </w:r>
            <w:r w:rsidR="0036490E">
              <w:rPr>
                <w:rFonts w:cs="Arial"/>
                <w:color w:val="000000"/>
                <w:sz w:val="18"/>
                <w:szCs w:val="18"/>
                <w:lang w:eastAsia="en-AU"/>
              </w:rPr>
              <w:t>emoteness</w:t>
            </w:r>
            <w:r w:rsidR="0036490E" w:rsidRPr="00822178">
              <w:rPr>
                <w:rFonts w:cs="Arial"/>
                <w:color w:val="000000"/>
                <w:sz w:val="18"/>
                <w:szCs w:val="18"/>
                <w:lang w:eastAsia="en-AU"/>
              </w:rPr>
              <w:t xml:space="preserve"> adjustment.</w:t>
            </w:r>
          </w:p>
        </w:tc>
      </w:tr>
      <w:tr w:rsidR="0036490E" w:rsidRPr="00C525F3" w:rsidTr="00865674">
        <w:trPr>
          <w:cantSplit/>
          <w:trHeight w:val="450"/>
        </w:trPr>
        <w:tc>
          <w:tcPr>
            <w:tcW w:w="817" w:type="dxa"/>
            <w:vMerge/>
            <w:tcBorders>
              <w:top w:val="nil"/>
            </w:tcBorders>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A29</w:t>
            </w:r>
          </w:p>
        </w:tc>
        <w:tc>
          <w:tcPr>
            <w:tcW w:w="3119" w:type="dxa"/>
            <w:shd w:val="clear" w:color="auto" w:fill="auto"/>
            <w:noWrap/>
          </w:tcPr>
          <w:p w:rsidR="0036490E" w:rsidRPr="00C94607" w:rsidRDefault="0073435B" w:rsidP="00865674">
            <w:pPr>
              <w:tabs>
                <w:tab w:val="left" w:pos="1162"/>
              </w:tabs>
              <w:spacing w:after="0"/>
              <w:rPr>
                <w:rFonts w:cs="Arial"/>
                <w:color w:val="000000"/>
                <w:sz w:val="18"/>
                <w:szCs w:val="18"/>
                <w:lang w:eastAsia="en-AU"/>
              </w:rPr>
            </w:pPr>
            <w:proofErr w:type="spellStart"/>
            <w:r>
              <w:rPr>
                <w:rFonts w:cs="Arial"/>
                <w:color w:val="000000"/>
                <w:sz w:val="18"/>
                <w:szCs w:val="18"/>
                <w:lang w:eastAsia="en-AU"/>
              </w:rPr>
              <w:t>adj_radiothe</w:t>
            </w:r>
            <w:r w:rsidR="0036490E">
              <w:rPr>
                <w:rFonts w:cs="Arial"/>
                <w:color w:val="000000"/>
                <w:sz w:val="18"/>
                <w:szCs w:val="18"/>
                <w:lang w:eastAsia="en-AU"/>
              </w:rPr>
              <w:t>r</w:t>
            </w:r>
            <w:r>
              <w:rPr>
                <w:rFonts w:cs="Arial"/>
                <w:color w:val="000000"/>
                <w:sz w:val="18"/>
                <w:szCs w:val="18"/>
                <w:lang w:eastAsia="en-AU"/>
              </w:rPr>
              <w:t>a</w:t>
            </w:r>
            <w:r w:rsidR="0036490E">
              <w:rPr>
                <w:rFonts w:cs="Arial"/>
                <w:color w:val="000000"/>
                <w:sz w:val="18"/>
                <w:szCs w:val="18"/>
                <w:lang w:eastAsia="en-AU"/>
              </w:rPr>
              <w:t>py</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See definition</w:t>
            </w:r>
          </w:p>
        </w:tc>
        <w:tc>
          <w:tcPr>
            <w:tcW w:w="4711" w:type="dxa"/>
            <w:shd w:val="clear" w:color="auto" w:fill="auto"/>
          </w:tcPr>
          <w:p w:rsidR="0036490E"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R</w:t>
            </w:r>
            <w:r w:rsidR="0036490E">
              <w:rPr>
                <w:rFonts w:cs="Arial"/>
                <w:color w:val="000000"/>
                <w:sz w:val="18"/>
                <w:szCs w:val="18"/>
                <w:lang w:eastAsia="en-AU"/>
              </w:rPr>
              <w:t>adiotherapy</w:t>
            </w:r>
            <w:r w:rsidR="0036490E" w:rsidRPr="00822178">
              <w:rPr>
                <w:rFonts w:cs="Arial"/>
                <w:color w:val="000000"/>
                <w:sz w:val="18"/>
                <w:szCs w:val="18"/>
                <w:lang w:eastAsia="en-AU"/>
              </w:rPr>
              <w:t xml:space="preserve"> adjustment.</w:t>
            </w:r>
          </w:p>
        </w:tc>
      </w:tr>
      <w:tr w:rsidR="0036490E" w:rsidRPr="00C525F3" w:rsidTr="00865674">
        <w:trPr>
          <w:cantSplit/>
          <w:trHeight w:val="450"/>
        </w:trPr>
        <w:tc>
          <w:tcPr>
            <w:tcW w:w="817" w:type="dxa"/>
            <w:vMerge/>
            <w:tcBorders>
              <w:top w:val="nil"/>
            </w:tcBorders>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A30</w:t>
            </w:r>
          </w:p>
        </w:tc>
        <w:tc>
          <w:tcPr>
            <w:tcW w:w="3119" w:type="dxa"/>
            <w:shd w:val="clear" w:color="auto" w:fill="auto"/>
            <w:noWrap/>
          </w:tcPr>
          <w:p w:rsidR="0036490E" w:rsidRDefault="0073435B" w:rsidP="00865674">
            <w:pPr>
              <w:tabs>
                <w:tab w:val="left" w:pos="1162"/>
              </w:tabs>
              <w:spacing w:after="0"/>
              <w:rPr>
                <w:rFonts w:cs="Arial"/>
                <w:color w:val="000000"/>
                <w:sz w:val="18"/>
                <w:szCs w:val="18"/>
                <w:lang w:eastAsia="en-AU"/>
              </w:rPr>
            </w:pPr>
            <w:proofErr w:type="spellStart"/>
            <w:r>
              <w:rPr>
                <w:rFonts w:cs="Arial"/>
                <w:color w:val="000000"/>
                <w:sz w:val="18"/>
                <w:szCs w:val="18"/>
                <w:lang w:eastAsia="en-AU"/>
              </w:rPr>
              <w:t>a</w:t>
            </w:r>
            <w:r w:rsidR="0036490E">
              <w:rPr>
                <w:rFonts w:cs="Arial"/>
                <w:color w:val="000000"/>
                <w:sz w:val="18"/>
                <w:szCs w:val="18"/>
                <w:lang w:eastAsia="en-AU"/>
              </w:rPr>
              <w:t>dj_dialysis</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See definition</w:t>
            </w:r>
          </w:p>
        </w:tc>
        <w:tc>
          <w:tcPr>
            <w:tcW w:w="4711" w:type="dxa"/>
            <w:shd w:val="clear" w:color="auto" w:fill="auto"/>
          </w:tcPr>
          <w:p w:rsidR="0036490E"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D</w:t>
            </w:r>
            <w:r w:rsidR="0036490E">
              <w:rPr>
                <w:rFonts w:cs="Arial"/>
                <w:color w:val="000000"/>
                <w:sz w:val="18"/>
                <w:szCs w:val="18"/>
                <w:lang w:eastAsia="en-AU"/>
              </w:rPr>
              <w:t>ialysis</w:t>
            </w:r>
            <w:r w:rsidR="0036490E" w:rsidRPr="00822178">
              <w:rPr>
                <w:rFonts w:cs="Arial"/>
                <w:color w:val="000000"/>
                <w:sz w:val="18"/>
                <w:szCs w:val="18"/>
                <w:lang w:eastAsia="en-AU"/>
              </w:rPr>
              <w:t xml:space="preserve"> adjustment.</w:t>
            </w:r>
          </w:p>
        </w:tc>
      </w:tr>
      <w:tr w:rsidR="0036490E" w:rsidRPr="00C525F3" w:rsidTr="00865674">
        <w:trPr>
          <w:cantSplit/>
          <w:trHeight w:val="450"/>
        </w:trPr>
        <w:tc>
          <w:tcPr>
            <w:tcW w:w="817" w:type="dxa"/>
            <w:vMerge/>
            <w:tcBorders>
              <w:top w:val="nil"/>
            </w:tcBorders>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A31</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state_adj_privpat_accomm_sd</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See definition</w:t>
            </w:r>
          </w:p>
        </w:tc>
        <w:tc>
          <w:tcPr>
            <w:tcW w:w="4711" w:type="dxa"/>
            <w:shd w:val="clear" w:color="auto" w:fill="auto"/>
          </w:tcPr>
          <w:p w:rsidR="0036490E"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P</w:t>
            </w:r>
            <w:r w:rsidR="0036490E" w:rsidRPr="00822178">
              <w:rPr>
                <w:rFonts w:cs="Arial"/>
                <w:color w:val="000000"/>
                <w:sz w:val="18"/>
                <w:szCs w:val="18"/>
                <w:lang w:eastAsia="en-AU"/>
              </w:rPr>
              <w:t>rivate patient accommodation adjustment: same-day rate (state-specific adjustment).</w:t>
            </w:r>
          </w:p>
        </w:tc>
      </w:tr>
      <w:tr w:rsidR="0036490E" w:rsidRPr="00C525F3" w:rsidTr="00865674">
        <w:trPr>
          <w:cantSplit/>
          <w:trHeight w:val="450"/>
        </w:trPr>
        <w:tc>
          <w:tcPr>
            <w:tcW w:w="817" w:type="dxa"/>
            <w:vMerge/>
            <w:tcBorders>
              <w:top w:val="nil"/>
            </w:tcBorders>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A32</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state_adj_privpat_accomm_on</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See definition</w:t>
            </w:r>
          </w:p>
        </w:tc>
        <w:tc>
          <w:tcPr>
            <w:tcW w:w="4711" w:type="dxa"/>
            <w:shd w:val="clear" w:color="auto" w:fill="auto"/>
          </w:tcPr>
          <w:p w:rsidR="0036490E"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P</w:t>
            </w:r>
            <w:r w:rsidR="0036490E" w:rsidRPr="00822178">
              <w:rPr>
                <w:rFonts w:cs="Arial"/>
                <w:color w:val="000000"/>
                <w:sz w:val="18"/>
                <w:szCs w:val="18"/>
                <w:lang w:eastAsia="en-AU"/>
              </w:rPr>
              <w:t>rivate patient accommodation adjustment: overnight per diem rate (state-specific adjustment).</w:t>
            </w:r>
          </w:p>
        </w:tc>
      </w:tr>
      <w:tr w:rsidR="0036490E" w:rsidRPr="00C525F3" w:rsidTr="0036490E">
        <w:trPr>
          <w:cantSplit/>
          <w:trHeight w:val="450"/>
        </w:trPr>
        <w:tc>
          <w:tcPr>
            <w:tcW w:w="817" w:type="dxa"/>
          </w:tcPr>
          <w:p w:rsidR="0036490E" w:rsidRPr="00822178" w:rsidRDefault="0036490E" w:rsidP="0036490E">
            <w:pPr>
              <w:tabs>
                <w:tab w:val="left" w:pos="1162"/>
              </w:tabs>
              <w:spacing w:after="0"/>
              <w:rPr>
                <w:rFonts w:cs="Arial"/>
                <w:color w:val="000000"/>
                <w:sz w:val="18"/>
                <w:szCs w:val="18"/>
                <w:lang w:eastAsia="en-AU"/>
              </w:rPr>
            </w:pPr>
            <w:r>
              <w:rPr>
                <w:rFonts w:cs="Arial"/>
                <w:color w:val="000000"/>
                <w:sz w:val="18"/>
                <w:szCs w:val="18"/>
                <w:lang w:eastAsia="en-AU"/>
              </w:rPr>
              <w:t>Step 6</w:t>
            </w: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A33</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proofErr w:type="spellStart"/>
            <w:r>
              <w:rPr>
                <w:rFonts w:cs="Arial"/>
                <w:color w:val="000000"/>
                <w:sz w:val="18"/>
                <w:szCs w:val="18"/>
                <w:lang w:eastAsia="en-AU"/>
              </w:rPr>
              <w:t>Error_Code</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See definition</w:t>
            </w:r>
          </w:p>
        </w:tc>
        <w:tc>
          <w:tcPr>
            <w:tcW w:w="4711" w:type="dxa"/>
            <w:shd w:val="clear" w:color="auto" w:fill="auto"/>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Outlines Errors in calculations</w:t>
            </w:r>
          </w:p>
        </w:tc>
      </w:tr>
      <w:tr w:rsidR="0036490E" w:rsidRPr="00C525F3" w:rsidTr="00865674">
        <w:trPr>
          <w:cantSplit/>
          <w:trHeight w:val="450"/>
        </w:trPr>
        <w:tc>
          <w:tcPr>
            <w:tcW w:w="817" w:type="dxa"/>
            <w:vMerge w:val="restart"/>
          </w:tcPr>
          <w:p w:rsidR="0036490E" w:rsidRPr="00822178"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Step 7</w:t>
            </w: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A34</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w:t>
            </w:r>
            <w:r>
              <w:rPr>
                <w:rFonts w:cs="Arial"/>
                <w:color w:val="000000"/>
                <w:sz w:val="18"/>
                <w:szCs w:val="18"/>
                <w:lang w:eastAsia="en-AU"/>
              </w:rPr>
              <w:t>eligible_</w:t>
            </w:r>
            <w:r w:rsidRPr="00822178">
              <w:rPr>
                <w:rFonts w:cs="Arial"/>
                <w:color w:val="000000"/>
                <w:sz w:val="18"/>
                <w:szCs w:val="18"/>
                <w:lang w:eastAsia="en-AU"/>
              </w:rPr>
              <w:t>icu_hours</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sidRPr="00822178">
              <w:rPr>
                <w:rFonts w:cs="Arial"/>
                <w:color w:val="000000"/>
                <w:sz w:val="18"/>
                <w:szCs w:val="18"/>
                <w:lang w:eastAsia="en-AU"/>
              </w:rPr>
              <w:t xml:space="preserve">Whole </w:t>
            </w:r>
            <w:r>
              <w:rPr>
                <w:rFonts w:cs="Arial"/>
                <w:color w:val="000000"/>
                <w:sz w:val="18"/>
                <w:szCs w:val="18"/>
                <w:lang w:eastAsia="en-AU"/>
              </w:rPr>
              <w:t xml:space="preserve">eligible </w:t>
            </w:r>
            <w:r w:rsidRPr="00822178">
              <w:rPr>
                <w:rFonts w:cs="Arial"/>
                <w:color w:val="000000"/>
                <w:sz w:val="18"/>
                <w:szCs w:val="18"/>
                <w:lang w:eastAsia="en-AU"/>
              </w:rPr>
              <w:t>hours spent in ICU</w:t>
            </w:r>
          </w:p>
        </w:tc>
        <w:tc>
          <w:tcPr>
            <w:tcW w:w="4711" w:type="dxa"/>
            <w:shd w:val="clear" w:color="auto" w:fill="auto"/>
          </w:tcPr>
          <w:p w:rsidR="0036490E" w:rsidRDefault="00BF4B2B" w:rsidP="00865674">
            <w:pPr>
              <w:tabs>
                <w:tab w:val="left" w:pos="1162"/>
              </w:tabs>
              <w:spacing w:after="0"/>
              <w:rPr>
                <w:rFonts w:cs="Arial"/>
                <w:color w:val="000000"/>
                <w:sz w:val="18"/>
                <w:szCs w:val="18"/>
                <w:lang w:eastAsia="en-AU"/>
              </w:rPr>
            </w:pPr>
            <w:r>
              <w:rPr>
                <w:rFonts w:cs="Arial"/>
                <w:color w:val="000000"/>
                <w:sz w:val="18"/>
                <w:szCs w:val="18"/>
                <w:lang w:eastAsia="en-AU"/>
              </w:rPr>
              <w:t>T</w:t>
            </w:r>
            <w:r w:rsidR="0036490E" w:rsidRPr="00822178">
              <w:rPr>
                <w:rFonts w:cs="Arial"/>
                <w:color w:val="000000"/>
                <w:sz w:val="18"/>
                <w:szCs w:val="18"/>
                <w:lang w:eastAsia="en-AU"/>
              </w:rPr>
              <w:t>otal whole Hours Spent in Intensive Care Unit if hours are gre</w:t>
            </w:r>
            <w:r w:rsidR="0036490E">
              <w:rPr>
                <w:rFonts w:cs="Arial"/>
                <w:color w:val="000000"/>
                <w:sz w:val="18"/>
                <w:szCs w:val="18"/>
                <w:lang w:eastAsia="en-AU"/>
              </w:rPr>
              <w:t>ater than or equal to 1; else</w:t>
            </w:r>
            <w:r w:rsidR="0036490E">
              <w:rPr>
                <w:rFonts w:cs="Arial"/>
                <w:color w:val="000000"/>
                <w:sz w:val="18"/>
                <w:szCs w:val="18"/>
                <w:lang w:eastAsia="en-AU"/>
              </w:rPr>
              <w:br/>
              <w:t>0, for unbundled DRGs and eligible establishments</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A35</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pat_lost_icu_removed</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See Definition</w:t>
            </w:r>
          </w:p>
        </w:tc>
        <w:tc>
          <w:tcPr>
            <w:tcW w:w="4711" w:type="dxa"/>
            <w:shd w:val="clear" w:color="auto" w:fill="auto"/>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 xml:space="preserve">Patient length of stay with ICU hours removed </w:t>
            </w:r>
          </w:p>
        </w:tc>
      </w:tr>
      <w:tr w:rsidR="0036490E" w:rsidRPr="00C525F3" w:rsidTr="00865674">
        <w:trPr>
          <w:cantSplit/>
          <w:trHeight w:val="450"/>
        </w:trPr>
        <w:tc>
          <w:tcPr>
            <w:tcW w:w="817" w:type="dxa"/>
            <w:vMerge/>
            <w:vAlign w:val="center"/>
          </w:tcPr>
          <w:p w:rsidR="0036490E" w:rsidRPr="00822178" w:rsidRDefault="0036490E" w:rsidP="00865674">
            <w:pPr>
              <w:tabs>
                <w:tab w:val="left" w:pos="1162"/>
              </w:tabs>
              <w:spacing w:after="0"/>
              <w:rPr>
                <w:rFonts w:cs="Arial"/>
                <w:color w:val="000000"/>
                <w:sz w:val="18"/>
                <w:szCs w:val="18"/>
                <w:lang w:eastAsia="en-AU"/>
              </w:rPr>
            </w:pPr>
          </w:p>
        </w:tc>
        <w:tc>
          <w:tcPr>
            <w:tcW w:w="992" w:type="dxa"/>
            <w:shd w:val="clear" w:color="auto" w:fill="auto"/>
            <w:noWrap/>
          </w:tcPr>
          <w:p w:rsidR="0036490E" w:rsidRDefault="0036490E" w:rsidP="00865674">
            <w:pPr>
              <w:tabs>
                <w:tab w:val="left" w:pos="1162"/>
              </w:tabs>
              <w:spacing w:after="0"/>
              <w:jc w:val="center"/>
              <w:rPr>
                <w:rFonts w:cs="Arial"/>
                <w:color w:val="000000"/>
                <w:sz w:val="18"/>
                <w:szCs w:val="18"/>
                <w:lang w:eastAsia="en-AU"/>
              </w:rPr>
            </w:pPr>
            <w:r>
              <w:rPr>
                <w:rFonts w:cs="Arial"/>
                <w:color w:val="000000"/>
                <w:sz w:val="18"/>
                <w:szCs w:val="18"/>
                <w:lang w:eastAsia="en-AU"/>
              </w:rPr>
              <w:t>A36</w:t>
            </w:r>
          </w:p>
        </w:tc>
        <w:tc>
          <w:tcPr>
            <w:tcW w:w="3119" w:type="dxa"/>
            <w:shd w:val="clear" w:color="auto" w:fill="auto"/>
            <w:noWrap/>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pat_separation_category</w:t>
            </w:r>
            <w:proofErr w:type="spellEnd"/>
          </w:p>
        </w:tc>
        <w:tc>
          <w:tcPr>
            <w:tcW w:w="4536" w:type="dxa"/>
            <w:shd w:val="clear" w:color="auto" w:fill="auto"/>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See definition</w:t>
            </w:r>
          </w:p>
        </w:tc>
        <w:tc>
          <w:tcPr>
            <w:tcW w:w="4711" w:type="dxa"/>
            <w:shd w:val="clear" w:color="auto" w:fill="auto"/>
          </w:tcPr>
          <w:p w:rsidR="0036490E" w:rsidRDefault="0036490E" w:rsidP="00865674">
            <w:pPr>
              <w:tabs>
                <w:tab w:val="left" w:pos="1162"/>
              </w:tabs>
              <w:spacing w:after="0"/>
              <w:rPr>
                <w:rFonts w:cs="Arial"/>
                <w:color w:val="000000"/>
                <w:sz w:val="18"/>
                <w:szCs w:val="18"/>
                <w:lang w:eastAsia="en-AU"/>
              </w:rPr>
            </w:pPr>
            <w:r>
              <w:rPr>
                <w:rFonts w:cs="Arial"/>
                <w:color w:val="000000"/>
                <w:sz w:val="18"/>
                <w:szCs w:val="18"/>
                <w:lang w:eastAsia="en-AU"/>
              </w:rPr>
              <w:t xml:space="preserve">Patient separation category: </w:t>
            </w:r>
          </w:p>
          <w:p w:rsidR="0036490E" w:rsidRPr="00FA3851" w:rsidRDefault="0036490E" w:rsidP="00865674">
            <w:pPr>
              <w:tabs>
                <w:tab w:val="left" w:pos="1162"/>
              </w:tabs>
              <w:spacing w:after="0"/>
              <w:rPr>
                <w:rFonts w:cs="Arial"/>
                <w:color w:val="000000"/>
                <w:sz w:val="18"/>
                <w:szCs w:val="18"/>
                <w:lang w:eastAsia="en-AU"/>
              </w:rPr>
            </w:pPr>
            <w:r w:rsidRPr="006547D9">
              <w:rPr>
                <w:rFonts w:cs="Arial"/>
                <w:color w:val="000000"/>
                <w:sz w:val="18"/>
                <w:szCs w:val="18"/>
                <w:lang w:eastAsia="en-AU"/>
              </w:rPr>
              <w:t>1</w:t>
            </w:r>
            <w:r>
              <w:rPr>
                <w:rFonts w:cs="Arial"/>
                <w:color w:val="000000"/>
                <w:sz w:val="18"/>
                <w:szCs w:val="18"/>
                <w:lang w:eastAsia="en-AU"/>
              </w:rPr>
              <w:t>:</w:t>
            </w:r>
            <w:r w:rsidRPr="00FA3851">
              <w:rPr>
                <w:rFonts w:cs="Arial"/>
                <w:color w:val="000000"/>
                <w:sz w:val="18"/>
                <w:szCs w:val="18"/>
                <w:lang w:eastAsia="en-AU"/>
              </w:rPr>
              <w:t xml:space="preserve"> </w:t>
            </w:r>
            <w:proofErr w:type="spellStart"/>
            <w:r w:rsidRPr="00FA3851">
              <w:rPr>
                <w:rFonts w:cs="Arial"/>
                <w:color w:val="000000"/>
                <w:sz w:val="18"/>
                <w:szCs w:val="18"/>
                <w:lang w:eastAsia="en-AU"/>
              </w:rPr>
              <w:t>Sameday</w:t>
            </w:r>
            <w:proofErr w:type="spellEnd"/>
            <w:r>
              <w:rPr>
                <w:rFonts w:cs="Arial"/>
                <w:color w:val="000000"/>
                <w:sz w:val="18"/>
                <w:szCs w:val="18"/>
                <w:lang w:eastAsia="en-AU"/>
              </w:rPr>
              <w:t xml:space="preserve"> patients</w:t>
            </w:r>
          </w:p>
          <w:p w:rsidR="0036490E" w:rsidRDefault="0036490E" w:rsidP="00865674">
            <w:pPr>
              <w:tabs>
                <w:tab w:val="left" w:pos="1162"/>
              </w:tabs>
              <w:spacing w:after="0"/>
              <w:rPr>
                <w:rFonts w:cs="Arial"/>
                <w:color w:val="000000"/>
                <w:sz w:val="18"/>
                <w:szCs w:val="18"/>
                <w:lang w:eastAsia="en-AU"/>
              </w:rPr>
            </w:pPr>
            <w:r w:rsidRPr="00FA3851">
              <w:rPr>
                <w:rFonts w:cs="Arial"/>
                <w:color w:val="000000"/>
                <w:sz w:val="18"/>
                <w:szCs w:val="18"/>
                <w:lang w:eastAsia="en-AU"/>
              </w:rPr>
              <w:t>2</w:t>
            </w:r>
            <w:r>
              <w:rPr>
                <w:rFonts w:cs="Arial"/>
                <w:color w:val="000000"/>
                <w:sz w:val="18"/>
                <w:szCs w:val="18"/>
                <w:lang w:eastAsia="en-AU"/>
              </w:rPr>
              <w:t>:</w:t>
            </w:r>
            <w:r w:rsidRPr="00FA3851">
              <w:rPr>
                <w:rFonts w:cs="Arial"/>
                <w:color w:val="000000"/>
                <w:sz w:val="18"/>
                <w:szCs w:val="18"/>
                <w:lang w:eastAsia="en-AU"/>
              </w:rPr>
              <w:t xml:space="preserve"> </w:t>
            </w:r>
            <w:r>
              <w:rPr>
                <w:rFonts w:cs="Arial"/>
                <w:color w:val="000000"/>
                <w:sz w:val="18"/>
                <w:szCs w:val="18"/>
                <w:lang w:eastAsia="en-AU"/>
              </w:rPr>
              <w:t xml:space="preserve">Short Stay outlier patients </w:t>
            </w:r>
          </w:p>
          <w:p w:rsidR="0036490E" w:rsidRPr="00FA3851" w:rsidRDefault="0036490E" w:rsidP="00865674">
            <w:pPr>
              <w:tabs>
                <w:tab w:val="left" w:pos="1162"/>
              </w:tabs>
              <w:spacing w:after="0"/>
              <w:rPr>
                <w:rFonts w:cs="Arial"/>
                <w:color w:val="000000"/>
                <w:sz w:val="18"/>
                <w:szCs w:val="18"/>
                <w:lang w:eastAsia="en-AU"/>
              </w:rPr>
            </w:pPr>
            <w:r w:rsidRPr="006547D9">
              <w:rPr>
                <w:rFonts w:cs="Arial"/>
                <w:color w:val="000000"/>
                <w:sz w:val="18"/>
                <w:szCs w:val="18"/>
                <w:lang w:eastAsia="en-AU"/>
              </w:rPr>
              <w:t>3</w:t>
            </w:r>
            <w:r>
              <w:rPr>
                <w:rFonts w:cs="Arial"/>
                <w:color w:val="000000"/>
                <w:sz w:val="18"/>
                <w:szCs w:val="18"/>
                <w:lang w:eastAsia="en-AU"/>
              </w:rPr>
              <w:t>:</w:t>
            </w:r>
            <w:r w:rsidRPr="00FA3851">
              <w:rPr>
                <w:rFonts w:cs="Arial"/>
                <w:color w:val="000000"/>
                <w:sz w:val="18"/>
                <w:szCs w:val="18"/>
                <w:lang w:eastAsia="en-AU"/>
              </w:rPr>
              <w:t xml:space="preserve"> Inlier patients</w:t>
            </w:r>
          </w:p>
          <w:p w:rsidR="0036490E" w:rsidRPr="006547D9" w:rsidRDefault="0036490E" w:rsidP="00865674">
            <w:pPr>
              <w:tabs>
                <w:tab w:val="left" w:pos="1162"/>
              </w:tabs>
              <w:spacing w:after="0"/>
              <w:rPr>
                <w:lang w:eastAsia="en-AU"/>
              </w:rPr>
            </w:pPr>
            <w:r>
              <w:rPr>
                <w:rFonts w:cs="Arial"/>
                <w:color w:val="000000"/>
                <w:sz w:val="18"/>
                <w:szCs w:val="18"/>
                <w:lang w:eastAsia="en-AU"/>
              </w:rPr>
              <w:t>4:</w:t>
            </w:r>
            <w:r w:rsidRPr="00FA3851">
              <w:rPr>
                <w:rFonts w:cs="Arial"/>
                <w:color w:val="000000"/>
                <w:sz w:val="18"/>
                <w:szCs w:val="18"/>
                <w:lang w:eastAsia="en-AU"/>
              </w:rPr>
              <w:t xml:space="preserve"> Long stay outlier patients </w:t>
            </w:r>
          </w:p>
        </w:tc>
      </w:tr>
    </w:tbl>
    <w:p w:rsidR="00460371" w:rsidRDefault="00460371" w:rsidP="00AD4FFC">
      <w:pPr>
        <w:tabs>
          <w:tab w:val="left" w:pos="1162"/>
        </w:tabs>
        <w:rPr>
          <w:rFonts w:cstheme="minorHAnsi"/>
          <w:b/>
          <w:szCs w:val="20"/>
          <w:highlight w:val="yellow"/>
        </w:rPr>
        <w:sectPr w:rsidR="00460371" w:rsidSect="002049EC">
          <w:pgSz w:w="16839" w:h="11907" w:orient="landscape" w:code="9"/>
          <w:pgMar w:top="1440" w:right="1440" w:bottom="1440" w:left="1440" w:header="709" w:footer="709" w:gutter="0"/>
          <w:cols w:space="708"/>
          <w:docGrid w:linePitch="360"/>
        </w:sectPr>
      </w:pPr>
    </w:p>
    <w:p w:rsidR="00460371" w:rsidRPr="002909DA" w:rsidRDefault="00460371" w:rsidP="00AD4FFC">
      <w:pPr>
        <w:pStyle w:val="Heading3"/>
        <w:keepLines w:val="0"/>
        <w:numPr>
          <w:ilvl w:val="2"/>
          <w:numId w:val="35"/>
        </w:numPr>
        <w:tabs>
          <w:tab w:val="left" w:pos="1162"/>
        </w:tabs>
        <w:spacing w:before="240" w:after="120"/>
      </w:pPr>
      <w:bookmarkStart w:id="224" w:name="_Toc380754710"/>
      <w:bookmarkStart w:id="225" w:name="_Toc444528590"/>
      <w:r w:rsidRPr="002909DA">
        <w:t>Calculatio</w:t>
      </w:r>
      <w:r>
        <w:t xml:space="preserve">n of </w:t>
      </w:r>
      <w:r w:rsidRPr="002909DA">
        <w:t>NWAU</w:t>
      </w:r>
      <w:bookmarkEnd w:id="224"/>
      <w:bookmarkEnd w:id="225"/>
    </w:p>
    <w:p w:rsidR="0036490E" w:rsidRDefault="00460371" w:rsidP="00AD4FFC">
      <w:pPr>
        <w:tabs>
          <w:tab w:val="left" w:pos="1162"/>
        </w:tabs>
        <w:rPr>
          <w:rFonts w:cs="Arial"/>
          <w:szCs w:val="20"/>
        </w:rPr>
      </w:pPr>
      <w:r w:rsidRPr="002909DA">
        <w:rPr>
          <w:rFonts w:cs="Arial"/>
          <w:szCs w:val="20"/>
        </w:rPr>
        <w:t>The NWAU calculation stage is illustrated in</w:t>
      </w:r>
      <w:r w:rsidR="0040091A">
        <w:rPr>
          <w:rFonts w:cs="Arial"/>
          <w:szCs w:val="20"/>
        </w:rPr>
        <w:t xml:space="preserve"> Figure 6</w:t>
      </w:r>
      <w:r w:rsidR="00951F3D">
        <w:rPr>
          <w:rFonts w:cs="Arial"/>
          <w:szCs w:val="20"/>
        </w:rPr>
        <w:t>, with the last step (Step 8</w:t>
      </w:r>
      <w:r w:rsidR="00951F3D" w:rsidRPr="002909DA">
        <w:rPr>
          <w:rFonts w:cs="Arial"/>
          <w:szCs w:val="20"/>
        </w:rPr>
        <w:t xml:space="preserve">) resulting in a variable containing the </w:t>
      </w:r>
      <w:r w:rsidR="000C75BC">
        <w:rPr>
          <w:rFonts w:cs="Arial"/>
          <w:szCs w:val="20"/>
        </w:rPr>
        <w:t>2016-17</w:t>
      </w:r>
      <w:r w:rsidR="00951F3D" w:rsidRPr="002909DA">
        <w:rPr>
          <w:rFonts w:cs="Arial"/>
          <w:szCs w:val="20"/>
        </w:rPr>
        <w:t xml:space="preserve"> NWAU</w:t>
      </w:r>
      <w:r w:rsidRPr="002909DA">
        <w:rPr>
          <w:rFonts w:cs="Arial"/>
          <w:szCs w:val="20"/>
        </w:rPr>
        <w:t xml:space="preserve">. </w:t>
      </w:r>
    </w:p>
    <w:p w:rsidR="00460371" w:rsidRDefault="00460371">
      <w:pPr>
        <w:pStyle w:val="table"/>
      </w:pPr>
      <w:bookmarkStart w:id="226" w:name="_Ref342309016"/>
      <w:r>
        <w:t xml:space="preserve">Figure </w:t>
      </w:r>
      <w:bookmarkEnd w:id="226"/>
      <w:r w:rsidR="0040091A">
        <w:t>6</w:t>
      </w:r>
      <w:r>
        <w:t xml:space="preserve">: </w:t>
      </w:r>
      <w:r w:rsidRPr="00C7330B">
        <w:t xml:space="preserve">Assigning NWAU to </w:t>
      </w:r>
      <w:r w:rsidR="001C6800">
        <w:t>admitted acute</w:t>
      </w:r>
      <w:r w:rsidRPr="00C7330B">
        <w:t xml:space="preserve"> patient data – Stage 2 – NWAU calculation</w:t>
      </w:r>
    </w:p>
    <w:p w:rsidR="001A46F4" w:rsidRDefault="00CB2899" w:rsidP="00951F3D">
      <w:pPr>
        <w:tabs>
          <w:tab w:val="left" w:pos="1162"/>
        </w:tabs>
        <w:rPr>
          <w:rFonts w:cs="Arial"/>
          <w:szCs w:val="20"/>
        </w:rPr>
      </w:pPr>
      <w:bookmarkStart w:id="227" w:name="_Ref342307933"/>
      <w:bookmarkStart w:id="228" w:name="_Ref373402398"/>
      <w:r>
        <w:rPr>
          <w:noProof/>
          <w:lang w:eastAsia="en-AU"/>
        </w:rPr>
        <w:drawing>
          <wp:inline distT="0" distB="0" distL="0" distR="0" wp14:anchorId="7A829D66" wp14:editId="7FDD5D6B">
            <wp:extent cx="4891177" cy="2788389"/>
            <wp:effectExtent l="19050" t="19050" r="24130" b="1206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87408" cy="2786240"/>
                    </a:xfrm>
                    <a:prstGeom prst="rect">
                      <a:avLst/>
                    </a:prstGeom>
                    <a:ln>
                      <a:solidFill>
                        <a:schemeClr val="tx1"/>
                      </a:solidFill>
                    </a:ln>
                  </pic:spPr>
                </pic:pic>
              </a:graphicData>
            </a:graphic>
          </wp:inline>
        </w:drawing>
      </w:r>
    </w:p>
    <w:p w:rsidR="00790319" w:rsidRDefault="00790319" w:rsidP="00951F3D">
      <w:pPr>
        <w:tabs>
          <w:tab w:val="left" w:pos="1162"/>
        </w:tabs>
        <w:rPr>
          <w:rFonts w:cs="Arial"/>
          <w:szCs w:val="20"/>
        </w:rPr>
      </w:pPr>
    </w:p>
    <w:p w:rsidR="00951F3D" w:rsidRPr="002909DA" w:rsidRDefault="00951F3D" w:rsidP="00951F3D">
      <w:pPr>
        <w:tabs>
          <w:tab w:val="left" w:pos="1162"/>
        </w:tabs>
        <w:rPr>
          <w:rFonts w:cs="Arial"/>
          <w:szCs w:val="20"/>
        </w:rPr>
      </w:pPr>
      <w:r>
        <w:rPr>
          <w:rFonts w:cs="Arial"/>
          <w:szCs w:val="20"/>
        </w:rPr>
        <w:t xml:space="preserve">Table 7 </w:t>
      </w:r>
      <w:r w:rsidRPr="002909DA">
        <w:rPr>
          <w:rFonts w:cs="Arial"/>
          <w:szCs w:val="20"/>
        </w:rPr>
        <w:t xml:space="preserve">details the variables created in </w:t>
      </w:r>
      <w:r>
        <w:rPr>
          <w:rFonts w:cs="Arial"/>
          <w:szCs w:val="20"/>
        </w:rPr>
        <w:t>S</w:t>
      </w:r>
      <w:r w:rsidRPr="002909DA">
        <w:rPr>
          <w:rFonts w:cs="Arial"/>
          <w:szCs w:val="20"/>
        </w:rPr>
        <w:t>t</w:t>
      </w:r>
      <w:r>
        <w:rPr>
          <w:rFonts w:cs="Arial"/>
          <w:szCs w:val="20"/>
        </w:rPr>
        <w:t>ep 8</w:t>
      </w:r>
      <w:r w:rsidRPr="002909DA">
        <w:rPr>
          <w:rFonts w:cs="Arial"/>
          <w:szCs w:val="20"/>
        </w:rPr>
        <w:t>.</w:t>
      </w:r>
    </w:p>
    <w:p w:rsidR="00951F3D" w:rsidRDefault="00951F3D">
      <w:pPr>
        <w:pStyle w:val="table"/>
        <w:sectPr w:rsidR="00951F3D" w:rsidSect="00933C77">
          <w:pgSz w:w="11907" w:h="16839" w:code="9"/>
          <w:pgMar w:top="1440" w:right="1440" w:bottom="1440" w:left="1440" w:header="709" w:footer="709" w:gutter="0"/>
          <w:cols w:space="708"/>
          <w:docGrid w:linePitch="360"/>
        </w:sectPr>
      </w:pPr>
    </w:p>
    <w:p w:rsidR="00460371" w:rsidRDefault="00460371">
      <w:pPr>
        <w:pStyle w:val="table"/>
      </w:pPr>
      <w:r>
        <w:t xml:space="preserve">Table </w:t>
      </w:r>
      <w:r w:rsidR="0040091A">
        <w:t>7</w:t>
      </w:r>
      <w:bookmarkEnd w:id="227"/>
      <w:bookmarkEnd w:id="228"/>
      <w:r>
        <w:t xml:space="preserve">: </w:t>
      </w:r>
      <w:r w:rsidRPr="00CA0C3C">
        <w:t xml:space="preserve">Assigning NWAU to </w:t>
      </w:r>
      <w:r w:rsidR="001C6800">
        <w:t>admitted acute</w:t>
      </w:r>
      <w:r w:rsidRPr="00CA0C3C">
        <w:t xml:space="preserve"> patient data – Stage 2 – NWAU calculation – variable definitions</w:t>
      </w:r>
    </w:p>
    <w:tbl>
      <w:tblPr>
        <w:tblW w:w="13547"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68"/>
        <w:gridCol w:w="995"/>
        <w:gridCol w:w="2629"/>
        <w:gridCol w:w="2273"/>
        <w:gridCol w:w="6682"/>
      </w:tblGrid>
      <w:tr w:rsidR="0036490E" w:rsidRPr="00C525F3" w:rsidTr="00865674">
        <w:trPr>
          <w:cantSplit/>
          <w:trHeight w:val="225"/>
          <w:tblHeader/>
          <w:jc w:val="center"/>
        </w:trPr>
        <w:tc>
          <w:tcPr>
            <w:tcW w:w="968" w:type="dxa"/>
            <w:shd w:val="clear" w:color="auto" w:fill="BFBFBF" w:themeFill="background1" w:themeFillShade="BF"/>
            <w:noWrap/>
            <w:hideMark/>
          </w:tcPr>
          <w:p w:rsidR="0036490E" w:rsidRPr="00822178" w:rsidRDefault="0036490E" w:rsidP="00865674">
            <w:pPr>
              <w:tabs>
                <w:tab w:val="left" w:pos="1162"/>
              </w:tabs>
              <w:spacing w:before="80" w:after="80"/>
              <w:rPr>
                <w:rFonts w:cs="Arial"/>
                <w:b/>
                <w:bCs/>
                <w:color w:val="000000"/>
                <w:sz w:val="20"/>
                <w:szCs w:val="20"/>
                <w:lang w:eastAsia="en-AU"/>
              </w:rPr>
            </w:pPr>
            <w:r w:rsidRPr="00822178">
              <w:rPr>
                <w:rFonts w:cs="Arial"/>
                <w:b/>
                <w:bCs/>
                <w:color w:val="000000"/>
                <w:sz w:val="20"/>
                <w:szCs w:val="20"/>
                <w:lang w:eastAsia="en-AU"/>
              </w:rPr>
              <w:t>Step</w:t>
            </w:r>
          </w:p>
        </w:tc>
        <w:tc>
          <w:tcPr>
            <w:tcW w:w="995" w:type="dxa"/>
            <w:shd w:val="clear" w:color="auto" w:fill="BFBFBF" w:themeFill="background1" w:themeFillShade="BF"/>
            <w:noWrap/>
            <w:hideMark/>
          </w:tcPr>
          <w:p w:rsidR="0036490E" w:rsidRPr="00822178" w:rsidRDefault="0036490E" w:rsidP="00865674">
            <w:pPr>
              <w:tabs>
                <w:tab w:val="left" w:pos="1162"/>
              </w:tabs>
              <w:spacing w:before="80" w:after="80"/>
              <w:jc w:val="center"/>
              <w:rPr>
                <w:rFonts w:cs="Arial"/>
                <w:b/>
                <w:color w:val="000000"/>
                <w:sz w:val="20"/>
                <w:szCs w:val="20"/>
                <w:lang w:eastAsia="en-AU"/>
              </w:rPr>
            </w:pPr>
            <w:r w:rsidRPr="00822178">
              <w:rPr>
                <w:rFonts w:cs="Arial"/>
                <w:b/>
                <w:color w:val="000000"/>
                <w:sz w:val="20"/>
                <w:szCs w:val="20"/>
                <w:lang w:eastAsia="en-AU"/>
              </w:rPr>
              <w:t>Variable</w:t>
            </w:r>
          </w:p>
        </w:tc>
        <w:tc>
          <w:tcPr>
            <w:tcW w:w="2629" w:type="dxa"/>
            <w:shd w:val="clear" w:color="auto" w:fill="BFBFBF" w:themeFill="background1" w:themeFillShade="BF"/>
            <w:noWrap/>
            <w:hideMark/>
          </w:tcPr>
          <w:p w:rsidR="0036490E" w:rsidRPr="00822178" w:rsidRDefault="0036490E" w:rsidP="00865674">
            <w:pPr>
              <w:tabs>
                <w:tab w:val="left" w:pos="1162"/>
              </w:tabs>
              <w:spacing w:before="80" w:after="80"/>
              <w:rPr>
                <w:rFonts w:cs="Arial"/>
                <w:b/>
                <w:bCs/>
                <w:color w:val="000000"/>
                <w:sz w:val="20"/>
                <w:szCs w:val="20"/>
                <w:lang w:eastAsia="en-AU"/>
              </w:rPr>
            </w:pPr>
            <w:r w:rsidRPr="00822178">
              <w:rPr>
                <w:rFonts w:cs="Arial"/>
                <w:b/>
                <w:bCs/>
                <w:color w:val="000000"/>
                <w:sz w:val="20"/>
                <w:szCs w:val="20"/>
                <w:lang w:eastAsia="en-AU"/>
              </w:rPr>
              <w:t>Name</w:t>
            </w:r>
          </w:p>
        </w:tc>
        <w:tc>
          <w:tcPr>
            <w:tcW w:w="2273" w:type="dxa"/>
            <w:shd w:val="clear" w:color="auto" w:fill="BFBFBF" w:themeFill="background1" w:themeFillShade="BF"/>
            <w:hideMark/>
          </w:tcPr>
          <w:p w:rsidR="0036490E" w:rsidRPr="00822178" w:rsidRDefault="0036490E" w:rsidP="00865674">
            <w:pPr>
              <w:tabs>
                <w:tab w:val="left" w:pos="1162"/>
              </w:tabs>
              <w:spacing w:before="80" w:after="80"/>
              <w:rPr>
                <w:rFonts w:cs="Arial"/>
                <w:b/>
                <w:bCs/>
                <w:color w:val="000000"/>
                <w:sz w:val="20"/>
                <w:szCs w:val="20"/>
                <w:lang w:eastAsia="en-AU"/>
              </w:rPr>
            </w:pPr>
            <w:r w:rsidRPr="00822178">
              <w:rPr>
                <w:rFonts w:cs="Arial"/>
                <w:b/>
                <w:bCs/>
                <w:color w:val="000000"/>
                <w:sz w:val="20"/>
                <w:szCs w:val="20"/>
                <w:lang w:eastAsia="en-AU"/>
              </w:rPr>
              <w:t>Description</w:t>
            </w:r>
          </w:p>
        </w:tc>
        <w:tc>
          <w:tcPr>
            <w:tcW w:w="6682" w:type="dxa"/>
            <w:shd w:val="clear" w:color="auto" w:fill="BFBFBF" w:themeFill="background1" w:themeFillShade="BF"/>
            <w:hideMark/>
          </w:tcPr>
          <w:p w:rsidR="0036490E" w:rsidRPr="00822178" w:rsidRDefault="0036490E" w:rsidP="00865674">
            <w:pPr>
              <w:tabs>
                <w:tab w:val="left" w:pos="1162"/>
              </w:tabs>
              <w:spacing w:before="80" w:after="80"/>
              <w:rPr>
                <w:rFonts w:cs="Arial"/>
                <w:b/>
                <w:bCs/>
                <w:color w:val="000000"/>
                <w:sz w:val="20"/>
                <w:szCs w:val="20"/>
                <w:lang w:eastAsia="en-AU"/>
              </w:rPr>
            </w:pPr>
            <w:r w:rsidRPr="00822178">
              <w:rPr>
                <w:rFonts w:cs="Arial"/>
                <w:b/>
                <w:bCs/>
                <w:color w:val="000000"/>
                <w:sz w:val="20"/>
                <w:szCs w:val="20"/>
                <w:lang w:eastAsia="en-AU"/>
              </w:rPr>
              <w:t>Definition</w:t>
            </w:r>
          </w:p>
        </w:tc>
      </w:tr>
      <w:tr w:rsidR="0036490E" w:rsidRPr="00C525F3" w:rsidTr="00865674">
        <w:trPr>
          <w:cantSplit/>
          <w:trHeight w:val="900"/>
          <w:jc w:val="center"/>
        </w:trPr>
        <w:tc>
          <w:tcPr>
            <w:tcW w:w="968" w:type="dxa"/>
            <w:vMerge w:val="restart"/>
            <w:shd w:val="clear" w:color="auto" w:fill="auto"/>
            <w:noWrap/>
            <w:hideMark/>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Step 8</w:t>
            </w:r>
          </w:p>
        </w:tc>
        <w:tc>
          <w:tcPr>
            <w:tcW w:w="995" w:type="dxa"/>
            <w:shd w:val="clear" w:color="auto" w:fill="auto"/>
            <w:noWrap/>
            <w:hideMark/>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A37</w:t>
            </w:r>
          </w:p>
        </w:tc>
        <w:tc>
          <w:tcPr>
            <w:tcW w:w="2629" w:type="dxa"/>
            <w:shd w:val="clear" w:color="auto" w:fill="auto"/>
            <w:noWrap/>
            <w:hideMark/>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_w01</w:t>
            </w:r>
          </w:p>
        </w:tc>
        <w:tc>
          <w:tcPr>
            <w:tcW w:w="2273" w:type="dxa"/>
            <w:shd w:val="clear" w:color="auto" w:fill="auto"/>
            <w:hideMark/>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DRG by inlier/outlier weight</w:t>
            </w:r>
          </w:p>
        </w:tc>
        <w:tc>
          <w:tcPr>
            <w:tcW w:w="6682" w:type="dxa"/>
            <w:shd w:val="clear" w:color="auto" w:fill="auto"/>
            <w:hideMark/>
          </w:tcPr>
          <w:p w:rsidR="0036490E" w:rsidRPr="00833D55"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Based off </w:t>
            </w:r>
            <w:r w:rsidRPr="00833D55">
              <w:rPr>
                <w:rFonts w:cs="Arial"/>
                <w:color w:val="000000"/>
                <w:sz w:val="18"/>
                <w:szCs w:val="18"/>
                <w:lang w:eastAsia="en-AU"/>
              </w:rPr>
              <w:t>_</w:t>
            </w:r>
            <w:proofErr w:type="spellStart"/>
            <w:r w:rsidRPr="00833D55">
              <w:rPr>
                <w:rFonts w:cs="Arial"/>
                <w:color w:val="000000"/>
                <w:sz w:val="18"/>
                <w:szCs w:val="18"/>
                <w:lang w:eastAsia="en-AU"/>
              </w:rPr>
              <w:t>pat_separation_category</w:t>
            </w:r>
            <w:proofErr w:type="spellEnd"/>
            <w:r w:rsidRPr="00833D55">
              <w:rPr>
                <w:rFonts w:cs="Arial"/>
                <w:color w:val="000000"/>
                <w:sz w:val="18"/>
                <w:szCs w:val="18"/>
                <w:lang w:eastAsia="en-AU"/>
              </w:rPr>
              <w:t>:</w:t>
            </w:r>
          </w:p>
          <w:p w:rsidR="0036490E" w:rsidRPr="00FA3851" w:rsidRDefault="0036490E" w:rsidP="00865674">
            <w:pPr>
              <w:tabs>
                <w:tab w:val="left" w:pos="1162"/>
              </w:tabs>
              <w:spacing w:before="80" w:after="80"/>
              <w:rPr>
                <w:rFonts w:cs="Arial"/>
                <w:color w:val="000000"/>
                <w:sz w:val="18"/>
                <w:szCs w:val="18"/>
                <w:lang w:eastAsia="en-AU"/>
              </w:rPr>
            </w:pPr>
            <w:r w:rsidRPr="00833D55">
              <w:rPr>
                <w:rFonts w:cs="Arial"/>
                <w:color w:val="000000"/>
                <w:sz w:val="18"/>
                <w:szCs w:val="18"/>
                <w:lang w:eastAsia="en-AU"/>
              </w:rPr>
              <w:t xml:space="preserve">1: </w:t>
            </w:r>
            <w:proofErr w:type="spellStart"/>
            <w:r w:rsidRPr="00FA3851">
              <w:rPr>
                <w:rFonts w:cs="Arial"/>
                <w:color w:val="000000"/>
                <w:sz w:val="18"/>
                <w:szCs w:val="18"/>
                <w:lang w:eastAsia="en-AU"/>
              </w:rPr>
              <w:t>drg_pw_sd</w:t>
            </w:r>
            <w:proofErr w:type="spellEnd"/>
          </w:p>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2: </w:t>
            </w:r>
            <w:proofErr w:type="spellStart"/>
            <w:r w:rsidRPr="00FA3851">
              <w:rPr>
                <w:rFonts w:cs="Arial"/>
                <w:color w:val="000000"/>
                <w:sz w:val="18"/>
                <w:szCs w:val="18"/>
                <w:lang w:eastAsia="en-AU"/>
              </w:rPr>
              <w:t>drg_pw_sso_base</w:t>
            </w:r>
            <w:proofErr w:type="spellEnd"/>
            <w:r w:rsidRPr="00FA3851">
              <w:rPr>
                <w:rFonts w:cs="Arial"/>
                <w:color w:val="000000"/>
                <w:sz w:val="18"/>
                <w:szCs w:val="18"/>
                <w:lang w:eastAsia="en-AU"/>
              </w:rPr>
              <w:t xml:space="preserve"> + </w:t>
            </w:r>
            <w:proofErr w:type="spellStart"/>
            <w:r w:rsidRPr="00FA3851">
              <w:rPr>
                <w:rFonts w:cs="Arial"/>
                <w:color w:val="000000"/>
                <w:sz w:val="18"/>
                <w:szCs w:val="18"/>
                <w:lang w:eastAsia="en-AU"/>
              </w:rPr>
              <w:t>drg_pw_sso_perdiem</w:t>
            </w:r>
            <w:proofErr w:type="spellEnd"/>
            <w:r w:rsidRPr="00FA3851">
              <w:rPr>
                <w:rFonts w:cs="Arial"/>
                <w:color w:val="000000"/>
                <w:sz w:val="18"/>
                <w:szCs w:val="18"/>
                <w:lang w:eastAsia="en-AU"/>
              </w:rPr>
              <w:t xml:space="preserve"> * </w:t>
            </w:r>
            <w:proofErr w:type="spellStart"/>
            <w:r w:rsidRPr="00FA3851">
              <w:rPr>
                <w:rFonts w:cs="Arial"/>
                <w:color w:val="000000"/>
                <w:sz w:val="18"/>
                <w:szCs w:val="18"/>
                <w:lang w:eastAsia="en-AU"/>
              </w:rPr>
              <w:t>pat_los_icu_removed</w:t>
            </w:r>
            <w:proofErr w:type="spellEnd"/>
            <w:r w:rsidRPr="00FA3851">
              <w:rPr>
                <w:rFonts w:cs="Arial"/>
                <w:color w:val="000000"/>
                <w:sz w:val="18"/>
                <w:szCs w:val="18"/>
                <w:lang w:eastAsia="en-AU"/>
              </w:rPr>
              <w:t xml:space="preserve"> </w:t>
            </w:r>
          </w:p>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3: </w:t>
            </w:r>
            <w:proofErr w:type="spellStart"/>
            <w:r w:rsidRPr="00FA3851">
              <w:rPr>
                <w:rFonts w:cs="Arial"/>
                <w:color w:val="000000"/>
                <w:sz w:val="18"/>
                <w:szCs w:val="18"/>
                <w:lang w:eastAsia="en-AU"/>
              </w:rPr>
              <w:t>drg_pw_inlier</w:t>
            </w:r>
            <w:proofErr w:type="spellEnd"/>
          </w:p>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4: </w:t>
            </w:r>
            <w:proofErr w:type="spellStart"/>
            <w:r w:rsidRPr="00FA3851">
              <w:rPr>
                <w:rFonts w:cs="Arial"/>
                <w:color w:val="000000"/>
                <w:sz w:val="18"/>
                <w:szCs w:val="18"/>
                <w:lang w:eastAsia="en-AU"/>
              </w:rPr>
              <w:t>drg_pw_inlier</w:t>
            </w:r>
            <w:proofErr w:type="spellEnd"/>
            <w:r w:rsidRPr="00FA3851">
              <w:rPr>
                <w:rFonts w:cs="Arial"/>
                <w:color w:val="000000"/>
                <w:sz w:val="18"/>
                <w:szCs w:val="18"/>
                <w:lang w:eastAsia="en-AU"/>
              </w:rPr>
              <w:t xml:space="preserve"> + ( </w:t>
            </w:r>
            <w:proofErr w:type="spellStart"/>
            <w:r w:rsidRPr="00FA3851">
              <w:rPr>
                <w:rFonts w:cs="Arial"/>
                <w:color w:val="000000"/>
                <w:sz w:val="18"/>
                <w:szCs w:val="18"/>
                <w:lang w:eastAsia="en-AU"/>
              </w:rPr>
              <w:t>pat_los_icu_removed</w:t>
            </w:r>
            <w:proofErr w:type="spellEnd"/>
            <w:r w:rsidRPr="00FA3851">
              <w:rPr>
                <w:rFonts w:cs="Arial"/>
                <w:color w:val="000000"/>
                <w:sz w:val="18"/>
                <w:szCs w:val="18"/>
                <w:lang w:eastAsia="en-AU"/>
              </w:rPr>
              <w:t xml:space="preserve"> - </w:t>
            </w:r>
            <w:proofErr w:type="spellStart"/>
            <w:r w:rsidRPr="00FA3851">
              <w:rPr>
                <w:rFonts w:cs="Arial"/>
                <w:color w:val="000000"/>
                <w:sz w:val="18"/>
                <w:szCs w:val="18"/>
                <w:lang w:eastAsia="en-AU"/>
              </w:rPr>
              <w:t>drg_inlier_ub</w:t>
            </w:r>
            <w:proofErr w:type="spellEnd"/>
            <w:r w:rsidRPr="00FA3851">
              <w:rPr>
                <w:rFonts w:cs="Arial"/>
                <w:color w:val="000000"/>
                <w:sz w:val="18"/>
                <w:szCs w:val="18"/>
                <w:lang w:eastAsia="en-AU"/>
              </w:rPr>
              <w:t xml:space="preserve"> ) * </w:t>
            </w:r>
            <w:proofErr w:type="spellStart"/>
            <w:r w:rsidRPr="00FA3851">
              <w:rPr>
                <w:rFonts w:cs="Arial"/>
                <w:color w:val="000000"/>
                <w:sz w:val="18"/>
                <w:szCs w:val="18"/>
                <w:lang w:eastAsia="en-AU"/>
              </w:rPr>
              <w:t>drg_pw_lso_perdiem</w:t>
            </w:r>
            <w:proofErr w:type="spellEnd"/>
            <w:r w:rsidRPr="00FA3851">
              <w:rPr>
                <w:rFonts w:cs="Arial"/>
                <w:color w:val="000000"/>
                <w:sz w:val="18"/>
                <w:szCs w:val="18"/>
                <w:lang w:eastAsia="en-AU"/>
              </w:rPr>
              <w:t xml:space="preserve"> </w:t>
            </w:r>
          </w:p>
        </w:tc>
      </w:tr>
      <w:tr w:rsidR="0036490E" w:rsidRPr="00C525F3" w:rsidTr="00865674">
        <w:trPr>
          <w:cantSplit/>
          <w:trHeight w:val="450"/>
          <w:jc w:val="center"/>
        </w:trPr>
        <w:tc>
          <w:tcPr>
            <w:tcW w:w="968" w:type="dxa"/>
            <w:vMerge/>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p>
        </w:tc>
        <w:tc>
          <w:tcPr>
            <w:tcW w:w="995" w:type="dxa"/>
            <w:shd w:val="clear" w:color="auto" w:fill="auto"/>
            <w:noWrap/>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A38</w:t>
            </w:r>
          </w:p>
        </w:tc>
        <w:tc>
          <w:tcPr>
            <w:tcW w:w="2629" w:type="dxa"/>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_w02</w:t>
            </w:r>
          </w:p>
        </w:tc>
        <w:tc>
          <w:tcPr>
            <w:tcW w:w="2273"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Application of the paediatric adjustment</w:t>
            </w:r>
          </w:p>
        </w:tc>
        <w:tc>
          <w:tcPr>
            <w:tcW w:w="6682"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Pr>
                <w:rFonts w:cs="Arial"/>
                <w:color w:val="000000"/>
                <w:sz w:val="18"/>
                <w:szCs w:val="18"/>
                <w:lang w:eastAsia="en-AU"/>
              </w:rPr>
              <w:t>_</w:t>
            </w:r>
            <w:r w:rsidRPr="00FA3851">
              <w:rPr>
                <w:rFonts w:cs="Arial"/>
                <w:color w:val="000000"/>
                <w:sz w:val="18"/>
                <w:szCs w:val="18"/>
                <w:lang w:eastAsia="en-AU"/>
              </w:rPr>
              <w:t xml:space="preserve">w01 * </w:t>
            </w:r>
            <w:proofErr w:type="gramStart"/>
            <w:r w:rsidRPr="00FA3851">
              <w:rPr>
                <w:rFonts w:cs="Arial"/>
                <w:color w:val="000000"/>
                <w:sz w:val="18"/>
                <w:szCs w:val="18"/>
                <w:lang w:eastAsia="en-AU"/>
              </w:rPr>
              <w:t>( 1</w:t>
            </w:r>
            <w:proofErr w:type="gramEnd"/>
            <w:r w:rsidRPr="00FA3851">
              <w:rPr>
                <w:rFonts w:cs="Arial"/>
                <w:color w:val="000000"/>
                <w:sz w:val="18"/>
                <w:szCs w:val="18"/>
                <w:lang w:eastAsia="en-AU"/>
              </w:rPr>
              <w:t xml:space="preserve"> + _</w:t>
            </w:r>
            <w:proofErr w:type="spellStart"/>
            <w:r w:rsidRPr="00FA3851">
              <w:rPr>
                <w:rFonts w:cs="Arial"/>
                <w:color w:val="000000"/>
                <w:sz w:val="18"/>
                <w:szCs w:val="18"/>
                <w:lang w:eastAsia="en-AU"/>
              </w:rPr>
              <w:t>pat_eligible_paed_flag</w:t>
            </w:r>
            <w:proofErr w:type="spellEnd"/>
            <w:r w:rsidRPr="00FA3851">
              <w:rPr>
                <w:rFonts w:cs="Arial"/>
                <w:color w:val="000000"/>
                <w:sz w:val="18"/>
                <w:szCs w:val="18"/>
                <w:lang w:eastAsia="en-AU"/>
              </w:rPr>
              <w:t xml:space="preserve"> * ( </w:t>
            </w:r>
            <w:proofErr w:type="spellStart"/>
            <w:r w:rsidRPr="00FA3851">
              <w:rPr>
                <w:rFonts w:cs="Arial"/>
                <w:color w:val="000000"/>
                <w:sz w:val="18"/>
                <w:szCs w:val="18"/>
                <w:lang w:eastAsia="en-AU"/>
              </w:rPr>
              <w:t>drg_adj_paed</w:t>
            </w:r>
            <w:proofErr w:type="spellEnd"/>
            <w:r w:rsidRPr="00FA3851">
              <w:rPr>
                <w:rFonts w:cs="Arial"/>
                <w:color w:val="000000"/>
                <w:sz w:val="18"/>
                <w:szCs w:val="18"/>
                <w:lang w:eastAsia="en-AU"/>
              </w:rPr>
              <w:t xml:space="preserve"> - 1 ) ).</w:t>
            </w:r>
          </w:p>
        </w:tc>
      </w:tr>
      <w:tr w:rsidR="0036490E" w:rsidRPr="00C525F3" w:rsidTr="00865674">
        <w:trPr>
          <w:cantSplit/>
          <w:trHeight w:val="1125"/>
          <w:jc w:val="center"/>
        </w:trPr>
        <w:tc>
          <w:tcPr>
            <w:tcW w:w="968" w:type="dxa"/>
            <w:vMerge/>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p>
        </w:tc>
        <w:tc>
          <w:tcPr>
            <w:tcW w:w="995" w:type="dxa"/>
            <w:shd w:val="clear" w:color="auto" w:fill="auto"/>
            <w:noWrap/>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A39</w:t>
            </w:r>
          </w:p>
        </w:tc>
        <w:tc>
          <w:tcPr>
            <w:tcW w:w="2629" w:type="dxa"/>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_w03</w:t>
            </w:r>
          </w:p>
        </w:tc>
        <w:tc>
          <w:tcPr>
            <w:tcW w:w="2273"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Application of the specialist psychiatric age adjustment</w:t>
            </w:r>
          </w:p>
        </w:tc>
        <w:tc>
          <w:tcPr>
            <w:tcW w:w="6682"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Pr>
                <w:rFonts w:cs="Arial"/>
                <w:color w:val="000000"/>
                <w:sz w:val="18"/>
                <w:szCs w:val="18"/>
                <w:lang w:eastAsia="en-AU"/>
              </w:rPr>
              <w:t>_</w:t>
            </w:r>
            <w:r w:rsidRPr="00FA3851">
              <w:rPr>
                <w:rFonts w:cs="Arial"/>
                <w:color w:val="000000"/>
                <w:sz w:val="18"/>
                <w:szCs w:val="18"/>
                <w:lang w:eastAsia="en-AU"/>
              </w:rPr>
              <w:t>w02 *</w:t>
            </w:r>
            <w:proofErr w:type="gramStart"/>
            <w:r w:rsidRPr="00FA3851">
              <w:rPr>
                <w:rFonts w:cs="Arial"/>
                <w:color w:val="000000"/>
                <w:sz w:val="18"/>
                <w:szCs w:val="18"/>
                <w:lang w:eastAsia="en-AU"/>
              </w:rPr>
              <w:t>( 1</w:t>
            </w:r>
            <w:proofErr w:type="gramEnd"/>
            <w:r w:rsidRPr="00FA3851">
              <w:rPr>
                <w:rFonts w:cs="Arial"/>
                <w:color w:val="000000"/>
                <w:sz w:val="18"/>
                <w:szCs w:val="18"/>
                <w:lang w:eastAsia="en-AU"/>
              </w:rPr>
              <w:t xml:space="preserve"> +</w:t>
            </w:r>
            <w:proofErr w:type="spellStart"/>
            <w:r w:rsidRPr="00FA3851">
              <w:rPr>
                <w:rFonts w:cs="Arial"/>
                <w:color w:val="000000"/>
                <w:sz w:val="18"/>
                <w:szCs w:val="18"/>
                <w:lang w:eastAsia="en-AU"/>
              </w:rPr>
              <w:t>adj_spa</w:t>
            </w:r>
            <w:proofErr w:type="spellEnd"/>
            <w:r w:rsidRPr="00FA3851">
              <w:rPr>
                <w:rFonts w:cs="Arial"/>
                <w:color w:val="000000"/>
                <w:sz w:val="18"/>
                <w:szCs w:val="18"/>
                <w:lang w:eastAsia="en-AU"/>
              </w:rPr>
              <w:t>).</w:t>
            </w:r>
          </w:p>
        </w:tc>
      </w:tr>
      <w:tr w:rsidR="0036490E" w:rsidRPr="00C525F3" w:rsidTr="00865674">
        <w:trPr>
          <w:cantSplit/>
          <w:trHeight w:val="1125"/>
          <w:jc w:val="center"/>
        </w:trPr>
        <w:tc>
          <w:tcPr>
            <w:tcW w:w="968" w:type="dxa"/>
            <w:vMerge/>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p>
        </w:tc>
        <w:tc>
          <w:tcPr>
            <w:tcW w:w="995" w:type="dxa"/>
            <w:shd w:val="clear" w:color="auto" w:fill="auto"/>
            <w:noWrap/>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A40</w:t>
            </w:r>
          </w:p>
        </w:tc>
        <w:tc>
          <w:tcPr>
            <w:tcW w:w="2629" w:type="dxa"/>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_w04</w:t>
            </w:r>
          </w:p>
        </w:tc>
        <w:tc>
          <w:tcPr>
            <w:tcW w:w="2273"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Application of the </w:t>
            </w:r>
            <w:r w:rsidR="00DF77B4">
              <w:rPr>
                <w:rFonts w:cs="Arial"/>
                <w:color w:val="000000"/>
                <w:sz w:val="18"/>
                <w:szCs w:val="18"/>
                <w:lang w:eastAsia="en-AU"/>
              </w:rPr>
              <w:t>Indigenous</w:t>
            </w:r>
            <w:r w:rsidRPr="00FA3851">
              <w:rPr>
                <w:rFonts w:cs="Arial"/>
                <w:color w:val="000000"/>
                <w:sz w:val="18"/>
                <w:szCs w:val="18"/>
                <w:lang w:eastAsia="en-AU"/>
              </w:rPr>
              <w:t>, remoteness</w:t>
            </w:r>
            <w:r w:rsidR="00BF4B2B">
              <w:rPr>
                <w:rFonts w:cs="Arial"/>
                <w:color w:val="000000"/>
                <w:sz w:val="18"/>
                <w:szCs w:val="18"/>
                <w:lang w:eastAsia="en-AU"/>
              </w:rPr>
              <w:t>, dialysis</w:t>
            </w:r>
            <w:r w:rsidRPr="00FA3851">
              <w:rPr>
                <w:rFonts w:cs="Arial"/>
                <w:color w:val="000000"/>
                <w:sz w:val="18"/>
                <w:szCs w:val="18"/>
                <w:lang w:eastAsia="en-AU"/>
              </w:rPr>
              <w:t xml:space="preserve"> and radiotherapy adjustments</w:t>
            </w:r>
          </w:p>
        </w:tc>
        <w:tc>
          <w:tcPr>
            <w:tcW w:w="6682"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Pr>
                <w:rFonts w:cs="Arial"/>
                <w:color w:val="000000"/>
                <w:sz w:val="18"/>
                <w:szCs w:val="18"/>
                <w:lang w:eastAsia="en-AU"/>
              </w:rPr>
              <w:t>_</w:t>
            </w:r>
            <w:r w:rsidRPr="00FA3851">
              <w:rPr>
                <w:rFonts w:cs="Arial"/>
                <w:color w:val="000000"/>
                <w:sz w:val="18"/>
                <w:szCs w:val="18"/>
                <w:lang w:eastAsia="en-AU"/>
              </w:rPr>
              <w:t>w03 *(1+adj_indigenous+adj_remoteness+adj+adj_radiotherapy+adj_dialysis)</w:t>
            </w:r>
            <w:r w:rsidRPr="00FA3851">
              <w:rPr>
                <w:rFonts w:cs="Arial"/>
                <w:color w:val="000000"/>
                <w:sz w:val="18"/>
                <w:szCs w:val="18"/>
                <w:lang w:eastAsia="en-AU"/>
              </w:rPr>
              <w:br/>
            </w:r>
          </w:p>
        </w:tc>
      </w:tr>
      <w:tr w:rsidR="0036490E" w:rsidRPr="00C525F3" w:rsidTr="00865674">
        <w:trPr>
          <w:cantSplit/>
          <w:trHeight w:val="225"/>
          <w:jc w:val="center"/>
        </w:trPr>
        <w:tc>
          <w:tcPr>
            <w:tcW w:w="968" w:type="dxa"/>
            <w:vMerge/>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p>
        </w:tc>
        <w:tc>
          <w:tcPr>
            <w:tcW w:w="995" w:type="dxa"/>
            <w:shd w:val="clear" w:color="auto" w:fill="auto"/>
            <w:noWrap/>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A41</w:t>
            </w:r>
          </w:p>
        </w:tc>
        <w:tc>
          <w:tcPr>
            <w:tcW w:w="2629" w:type="dxa"/>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adj_icu</w:t>
            </w:r>
            <w:proofErr w:type="spellEnd"/>
          </w:p>
        </w:tc>
        <w:tc>
          <w:tcPr>
            <w:tcW w:w="2273"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Application of the ICU rate adjustment</w:t>
            </w:r>
          </w:p>
        </w:tc>
        <w:tc>
          <w:tcPr>
            <w:tcW w:w="6682"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 _</w:t>
            </w:r>
            <w:proofErr w:type="spellStart"/>
            <w:r w:rsidRPr="00FA3851">
              <w:rPr>
                <w:rFonts w:cs="Arial"/>
                <w:color w:val="000000"/>
                <w:sz w:val="18"/>
                <w:szCs w:val="18"/>
                <w:lang w:eastAsia="en-AU"/>
              </w:rPr>
              <w:t>pat_eligible_icu_hours</w:t>
            </w:r>
            <w:proofErr w:type="spellEnd"/>
            <w:r w:rsidRPr="00FA3851">
              <w:rPr>
                <w:rFonts w:cs="Arial"/>
                <w:color w:val="000000"/>
                <w:sz w:val="18"/>
                <w:szCs w:val="18"/>
                <w:lang w:eastAsia="en-AU"/>
              </w:rPr>
              <w:t xml:space="preserve"> * </w:t>
            </w:r>
            <w:proofErr w:type="spellStart"/>
            <w:r w:rsidRPr="00FA3851">
              <w:rPr>
                <w:rFonts w:cs="Arial"/>
                <w:color w:val="000000"/>
                <w:sz w:val="18"/>
                <w:szCs w:val="18"/>
                <w:lang w:eastAsia="en-AU"/>
              </w:rPr>
              <w:t>icu_rate</w:t>
            </w:r>
            <w:proofErr w:type="spellEnd"/>
            <w:r w:rsidRPr="00FA3851">
              <w:rPr>
                <w:rFonts w:cs="Arial"/>
                <w:color w:val="000000"/>
                <w:sz w:val="18"/>
                <w:szCs w:val="18"/>
                <w:lang w:eastAsia="en-AU"/>
              </w:rPr>
              <w:t>.</w:t>
            </w:r>
          </w:p>
        </w:tc>
      </w:tr>
      <w:tr w:rsidR="0036490E" w:rsidRPr="00C525F3" w:rsidTr="00865674">
        <w:trPr>
          <w:cantSplit/>
          <w:trHeight w:val="450"/>
          <w:jc w:val="center"/>
        </w:trPr>
        <w:tc>
          <w:tcPr>
            <w:tcW w:w="968" w:type="dxa"/>
            <w:vMerge/>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p>
        </w:tc>
        <w:tc>
          <w:tcPr>
            <w:tcW w:w="995" w:type="dxa"/>
            <w:shd w:val="clear" w:color="auto" w:fill="auto"/>
            <w:noWrap/>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A42</w:t>
            </w:r>
          </w:p>
        </w:tc>
        <w:tc>
          <w:tcPr>
            <w:tcW w:w="2629" w:type="dxa"/>
            <w:shd w:val="clear" w:color="auto" w:fill="auto"/>
            <w:noWrap/>
          </w:tcPr>
          <w:p w:rsidR="0036490E" w:rsidRPr="00FA3851" w:rsidRDefault="000E1BD6" w:rsidP="00DF77B4">
            <w:pPr>
              <w:tabs>
                <w:tab w:val="left" w:pos="1162"/>
              </w:tabs>
              <w:spacing w:before="80" w:after="80"/>
              <w:rPr>
                <w:rFonts w:cs="Arial"/>
                <w:color w:val="000000"/>
                <w:sz w:val="18"/>
                <w:szCs w:val="18"/>
                <w:lang w:eastAsia="en-AU"/>
              </w:rPr>
            </w:pPr>
            <w:r w:rsidRPr="00FA3851">
              <w:rPr>
                <w:rFonts w:cs="Arial"/>
                <w:color w:val="000000"/>
                <w:sz w:val="18"/>
                <w:szCs w:val="18"/>
                <w:lang w:eastAsia="en-AU"/>
              </w:rPr>
              <w:t>GWAU</w:t>
            </w:r>
            <w:r>
              <w:rPr>
                <w:rFonts w:cs="Arial"/>
                <w:color w:val="000000"/>
                <w:sz w:val="18"/>
                <w:szCs w:val="18"/>
                <w:lang w:eastAsia="en-AU"/>
              </w:rPr>
              <w:t>16</w:t>
            </w:r>
          </w:p>
        </w:tc>
        <w:tc>
          <w:tcPr>
            <w:tcW w:w="2273"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Gross Weighted Activity Unit 15</w:t>
            </w:r>
          </w:p>
        </w:tc>
        <w:tc>
          <w:tcPr>
            <w:tcW w:w="6682"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Pr>
                <w:rFonts w:cs="Arial"/>
                <w:color w:val="000000"/>
                <w:sz w:val="18"/>
                <w:szCs w:val="18"/>
                <w:lang w:eastAsia="en-AU"/>
              </w:rPr>
              <w:t>_</w:t>
            </w:r>
            <w:r w:rsidRPr="00FA3851">
              <w:rPr>
                <w:rFonts w:cs="Arial"/>
                <w:color w:val="000000"/>
                <w:sz w:val="18"/>
                <w:szCs w:val="18"/>
                <w:lang w:eastAsia="en-AU"/>
              </w:rPr>
              <w:t>w04 + _</w:t>
            </w:r>
            <w:proofErr w:type="spellStart"/>
            <w:r w:rsidRPr="00FA3851">
              <w:rPr>
                <w:rFonts w:cs="Arial"/>
                <w:color w:val="000000"/>
                <w:sz w:val="18"/>
                <w:szCs w:val="18"/>
                <w:lang w:eastAsia="en-AU"/>
              </w:rPr>
              <w:t>adj_icu</w:t>
            </w:r>
            <w:proofErr w:type="spellEnd"/>
            <w:r w:rsidRPr="00FA3851">
              <w:rPr>
                <w:rFonts w:cs="Arial"/>
                <w:color w:val="000000"/>
                <w:sz w:val="18"/>
                <w:szCs w:val="18"/>
                <w:lang w:eastAsia="en-AU"/>
              </w:rPr>
              <w:t xml:space="preserve"> </w:t>
            </w:r>
          </w:p>
        </w:tc>
      </w:tr>
      <w:tr w:rsidR="0036490E" w:rsidRPr="00C525F3" w:rsidTr="00865674">
        <w:trPr>
          <w:cantSplit/>
          <w:trHeight w:val="450"/>
          <w:jc w:val="center"/>
        </w:trPr>
        <w:tc>
          <w:tcPr>
            <w:tcW w:w="968" w:type="dxa"/>
            <w:vMerge/>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p>
        </w:tc>
        <w:tc>
          <w:tcPr>
            <w:tcW w:w="995" w:type="dxa"/>
            <w:shd w:val="clear" w:color="auto" w:fill="auto"/>
            <w:noWrap/>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A43</w:t>
            </w:r>
          </w:p>
        </w:tc>
        <w:tc>
          <w:tcPr>
            <w:tcW w:w="2629" w:type="dxa"/>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adj_privpat_serv</w:t>
            </w:r>
            <w:proofErr w:type="spellEnd"/>
          </w:p>
        </w:tc>
        <w:tc>
          <w:tcPr>
            <w:tcW w:w="2273"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Private Patient Service adjustment</w:t>
            </w:r>
          </w:p>
        </w:tc>
        <w:tc>
          <w:tcPr>
            <w:tcW w:w="6682"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pat_private_flag</w:t>
            </w:r>
            <w:proofErr w:type="spellEnd"/>
            <w:r w:rsidRPr="00FA3851">
              <w:rPr>
                <w:rFonts w:cs="Arial"/>
                <w:color w:val="000000"/>
                <w:sz w:val="18"/>
                <w:szCs w:val="18"/>
                <w:lang w:eastAsia="en-AU"/>
              </w:rPr>
              <w:t xml:space="preserve"> * </w:t>
            </w:r>
            <w:proofErr w:type="spellStart"/>
            <w:r w:rsidRPr="00FA3851">
              <w:rPr>
                <w:rFonts w:cs="Arial"/>
                <w:color w:val="000000"/>
                <w:sz w:val="18"/>
                <w:szCs w:val="18"/>
                <w:lang w:eastAsia="en-AU"/>
              </w:rPr>
              <w:t>drg_adj_privapat_serv</w:t>
            </w:r>
            <w:proofErr w:type="spellEnd"/>
            <w:r w:rsidRPr="00FA3851">
              <w:rPr>
                <w:rFonts w:cs="Arial"/>
                <w:color w:val="000000"/>
                <w:sz w:val="18"/>
                <w:szCs w:val="18"/>
                <w:lang w:eastAsia="en-AU"/>
              </w:rPr>
              <w:t>*(_w01+_adj_icu)</w:t>
            </w:r>
            <w:r w:rsidRPr="00FA3851" w:rsidDel="00712BAD">
              <w:rPr>
                <w:rFonts w:cs="Arial"/>
                <w:color w:val="000000"/>
                <w:sz w:val="18"/>
                <w:szCs w:val="18"/>
                <w:lang w:eastAsia="en-AU"/>
              </w:rPr>
              <w:t xml:space="preserve"> </w:t>
            </w:r>
          </w:p>
        </w:tc>
      </w:tr>
      <w:tr w:rsidR="0036490E" w:rsidRPr="00C525F3" w:rsidTr="00865674">
        <w:trPr>
          <w:cantSplit/>
          <w:trHeight w:val="450"/>
          <w:jc w:val="center"/>
        </w:trPr>
        <w:tc>
          <w:tcPr>
            <w:tcW w:w="968" w:type="dxa"/>
            <w:vMerge/>
            <w:shd w:val="clear" w:color="auto" w:fill="auto"/>
            <w:noWrap/>
          </w:tcPr>
          <w:p w:rsidR="0036490E" w:rsidRPr="00FA3851" w:rsidDel="00712BAD" w:rsidRDefault="0036490E" w:rsidP="00865674">
            <w:pPr>
              <w:tabs>
                <w:tab w:val="left" w:pos="1162"/>
              </w:tabs>
              <w:spacing w:before="80" w:after="80"/>
              <w:rPr>
                <w:rFonts w:cs="Arial"/>
                <w:color w:val="000000"/>
                <w:sz w:val="18"/>
                <w:szCs w:val="18"/>
                <w:lang w:eastAsia="en-AU"/>
              </w:rPr>
            </w:pPr>
          </w:p>
        </w:tc>
        <w:tc>
          <w:tcPr>
            <w:tcW w:w="995" w:type="dxa"/>
            <w:shd w:val="clear" w:color="auto" w:fill="auto"/>
            <w:noWrap/>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A44</w:t>
            </w:r>
          </w:p>
        </w:tc>
        <w:tc>
          <w:tcPr>
            <w:tcW w:w="2629" w:type="dxa"/>
            <w:shd w:val="clear" w:color="auto" w:fill="auto"/>
            <w:noWrap/>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adj_privpat_accom</w:t>
            </w:r>
            <w:proofErr w:type="spellEnd"/>
          </w:p>
        </w:tc>
        <w:tc>
          <w:tcPr>
            <w:tcW w:w="2273"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Private Patient Accommodation adjustment</w:t>
            </w:r>
          </w:p>
        </w:tc>
        <w:tc>
          <w:tcPr>
            <w:tcW w:w="6682"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pat_private_flag</w:t>
            </w:r>
            <w:proofErr w:type="spellEnd"/>
            <w:r w:rsidRPr="00FA3851">
              <w:rPr>
                <w:rFonts w:cs="Arial"/>
                <w:color w:val="000000"/>
                <w:sz w:val="18"/>
                <w:szCs w:val="18"/>
                <w:lang w:eastAsia="en-AU"/>
              </w:rPr>
              <w:t>*(_</w:t>
            </w:r>
            <w:proofErr w:type="spellStart"/>
            <w:r w:rsidRPr="00FA3851">
              <w:rPr>
                <w:rFonts w:cs="Arial"/>
                <w:color w:val="000000"/>
                <w:sz w:val="18"/>
                <w:szCs w:val="18"/>
                <w:lang w:eastAsia="en-AU"/>
              </w:rPr>
              <w:t>pat_sameday_flag</w:t>
            </w:r>
            <w:proofErr w:type="spellEnd"/>
            <w:r w:rsidRPr="00FA3851">
              <w:rPr>
                <w:rFonts w:cs="Arial"/>
                <w:color w:val="000000"/>
                <w:sz w:val="18"/>
                <w:szCs w:val="18"/>
                <w:lang w:eastAsia="en-AU"/>
              </w:rPr>
              <w:t>*</w:t>
            </w:r>
            <w:proofErr w:type="spellStart"/>
            <w:r w:rsidRPr="00FA3851">
              <w:rPr>
                <w:rFonts w:cs="Arial"/>
                <w:color w:val="000000"/>
                <w:sz w:val="18"/>
                <w:szCs w:val="18"/>
                <w:lang w:eastAsia="en-AU"/>
              </w:rPr>
              <w:t>state_adj_private_accom_sd</w:t>
            </w:r>
            <w:proofErr w:type="spellEnd"/>
            <w:r w:rsidRPr="00FA3851">
              <w:rPr>
                <w:rFonts w:cs="Arial"/>
                <w:color w:val="000000"/>
                <w:sz w:val="18"/>
                <w:szCs w:val="18"/>
                <w:lang w:eastAsia="en-AU"/>
              </w:rPr>
              <w:t>+</w:t>
            </w:r>
          </w:p>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(1-_pat_sameday_flag)*_</w:t>
            </w:r>
            <w:proofErr w:type="spellStart"/>
            <w:r w:rsidRPr="00FA3851">
              <w:rPr>
                <w:rFonts w:cs="Arial"/>
                <w:color w:val="000000"/>
                <w:sz w:val="18"/>
                <w:szCs w:val="18"/>
                <w:lang w:eastAsia="en-AU"/>
              </w:rPr>
              <w:t>pat_los</w:t>
            </w:r>
            <w:proofErr w:type="spellEnd"/>
            <w:r w:rsidRPr="00FA3851">
              <w:rPr>
                <w:rFonts w:cs="Arial"/>
                <w:color w:val="000000"/>
                <w:sz w:val="18"/>
                <w:szCs w:val="18"/>
                <w:lang w:eastAsia="en-AU"/>
              </w:rPr>
              <w:t>*</w:t>
            </w:r>
            <w:proofErr w:type="spellStart"/>
            <w:r w:rsidRPr="00FA3851">
              <w:rPr>
                <w:rFonts w:cs="Arial"/>
                <w:color w:val="000000"/>
                <w:sz w:val="18"/>
                <w:szCs w:val="18"/>
                <w:lang w:eastAsia="en-AU"/>
              </w:rPr>
              <w:t>state_adj_privpat_accomm_on</w:t>
            </w:r>
            <w:proofErr w:type="spellEnd"/>
            <w:r w:rsidRPr="00FA3851">
              <w:rPr>
                <w:rFonts w:cs="Arial"/>
                <w:color w:val="000000"/>
                <w:sz w:val="18"/>
                <w:szCs w:val="18"/>
                <w:lang w:eastAsia="en-AU"/>
              </w:rPr>
              <w:t>)</w:t>
            </w:r>
          </w:p>
        </w:tc>
      </w:tr>
      <w:tr w:rsidR="0036490E" w:rsidRPr="00C525F3" w:rsidTr="00865674">
        <w:trPr>
          <w:cantSplit/>
          <w:trHeight w:val="450"/>
          <w:jc w:val="center"/>
        </w:trPr>
        <w:tc>
          <w:tcPr>
            <w:tcW w:w="968" w:type="dxa"/>
            <w:vMerge/>
            <w:shd w:val="clear" w:color="auto" w:fill="auto"/>
            <w:noWrap/>
          </w:tcPr>
          <w:p w:rsidR="0036490E" w:rsidRPr="00FA3851" w:rsidDel="00712BAD" w:rsidRDefault="0036490E" w:rsidP="00865674">
            <w:pPr>
              <w:tabs>
                <w:tab w:val="left" w:pos="1162"/>
              </w:tabs>
              <w:spacing w:before="80" w:after="80"/>
              <w:rPr>
                <w:rFonts w:cs="Arial"/>
                <w:color w:val="000000"/>
                <w:sz w:val="18"/>
                <w:szCs w:val="18"/>
                <w:lang w:eastAsia="en-AU"/>
              </w:rPr>
            </w:pPr>
          </w:p>
        </w:tc>
        <w:tc>
          <w:tcPr>
            <w:tcW w:w="995" w:type="dxa"/>
            <w:shd w:val="clear" w:color="auto" w:fill="auto"/>
            <w:noWrap/>
          </w:tcPr>
          <w:p w:rsidR="0036490E" w:rsidRPr="00FA3851" w:rsidRDefault="00DF31C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A45</w:t>
            </w:r>
          </w:p>
        </w:tc>
        <w:tc>
          <w:tcPr>
            <w:tcW w:w="2629" w:type="dxa"/>
            <w:shd w:val="clear" w:color="auto" w:fill="auto"/>
            <w:noWrap/>
          </w:tcPr>
          <w:p w:rsidR="0036490E" w:rsidRPr="00FA3851" w:rsidRDefault="000E1BD6" w:rsidP="00DF77B4">
            <w:pPr>
              <w:tabs>
                <w:tab w:val="left" w:pos="1162"/>
              </w:tabs>
              <w:spacing w:before="80" w:after="80"/>
              <w:rPr>
                <w:rFonts w:cs="Arial"/>
                <w:color w:val="000000"/>
                <w:sz w:val="18"/>
                <w:szCs w:val="18"/>
                <w:lang w:eastAsia="en-AU"/>
              </w:rPr>
            </w:pPr>
            <w:r w:rsidRPr="00FA3851">
              <w:rPr>
                <w:rFonts w:cs="Arial"/>
                <w:color w:val="000000"/>
                <w:sz w:val="18"/>
                <w:szCs w:val="18"/>
                <w:lang w:eastAsia="en-AU"/>
              </w:rPr>
              <w:t>NWAU</w:t>
            </w:r>
            <w:r>
              <w:rPr>
                <w:rFonts w:cs="Arial"/>
                <w:color w:val="000000"/>
                <w:sz w:val="18"/>
                <w:szCs w:val="18"/>
                <w:lang w:eastAsia="en-AU"/>
              </w:rPr>
              <w:t>16</w:t>
            </w:r>
          </w:p>
        </w:tc>
        <w:tc>
          <w:tcPr>
            <w:tcW w:w="2273" w:type="dxa"/>
            <w:shd w:val="clear" w:color="auto" w:fill="auto"/>
          </w:tcPr>
          <w:p w:rsidR="0036490E" w:rsidRPr="00FA3851" w:rsidRDefault="0036490E" w:rsidP="00865674">
            <w:pPr>
              <w:tabs>
                <w:tab w:val="left" w:pos="1162"/>
              </w:tabs>
              <w:spacing w:before="80" w:after="80"/>
              <w:rPr>
                <w:rFonts w:cs="Arial"/>
                <w:color w:val="000000"/>
                <w:sz w:val="18"/>
                <w:szCs w:val="18"/>
                <w:lang w:eastAsia="en-AU"/>
              </w:rPr>
            </w:pPr>
            <w:r w:rsidRPr="00FA3851">
              <w:rPr>
                <w:rFonts w:cs="Arial"/>
                <w:color w:val="000000"/>
                <w:sz w:val="18"/>
                <w:szCs w:val="18"/>
                <w:lang w:eastAsia="en-AU"/>
              </w:rPr>
              <w:t>National Weighted Activity Unit</w:t>
            </w:r>
          </w:p>
        </w:tc>
        <w:tc>
          <w:tcPr>
            <w:tcW w:w="6682" w:type="dxa"/>
            <w:shd w:val="clear" w:color="auto" w:fill="auto"/>
          </w:tcPr>
          <w:p w:rsidR="0036490E" w:rsidRPr="00FA3851" w:rsidRDefault="0036490E" w:rsidP="00DF77B4">
            <w:pPr>
              <w:tabs>
                <w:tab w:val="left" w:pos="1162"/>
              </w:tabs>
              <w:spacing w:before="80" w:after="80"/>
              <w:rPr>
                <w:rFonts w:cs="Arial"/>
                <w:color w:val="000000"/>
                <w:sz w:val="18"/>
                <w:szCs w:val="18"/>
                <w:lang w:eastAsia="en-AU"/>
              </w:rPr>
            </w:pPr>
            <w:r w:rsidRPr="00FA3851">
              <w:rPr>
                <w:rFonts w:cs="Arial"/>
                <w:color w:val="000000"/>
                <w:sz w:val="18"/>
                <w:szCs w:val="18"/>
                <w:lang w:eastAsia="en-AU"/>
              </w:rPr>
              <w:t>Max(0,</w:t>
            </w:r>
            <w:r w:rsidR="000E1BD6" w:rsidRPr="00FA3851">
              <w:rPr>
                <w:rFonts w:cs="Arial"/>
                <w:color w:val="000000"/>
                <w:sz w:val="18"/>
                <w:szCs w:val="18"/>
                <w:lang w:eastAsia="en-AU"/>
              </w:rPr>
              <w:t>GWAU</w:t>
            </w:r>
            <w:r w:rsidR="000E1BD6">
              <w:rPr>
                <w:rFonts w:cs="Arial"/>
                <w:color w:val="000000"/>
                <w:sz w:val="18"/>
                <w:szCs w:val="18"/>
                <w:lang w:eastAsia="en-AU"/>
              </w:rPr>
              <w:t>16</w:t>
            </w:r>
            <w:r w:rsidRPr="00FA3851">
              <w:rPr>
                <w:rFonts w:cs="Arial"/>
                <w:color w:val="000000"/>
                <w:sz w:val="18"/>
                <w:szCs w:val="18"/>
                <w:lang w:eastAsia="en-AU"/>
              </w:rPr>
              <w:t>-_adj_privpat_serv-_adj_privpat_accomm</w:t>
            </w:r>
            <w:r w:rsidRPr="00833D55">
              <w:rPr>
                <w:rFonts w:cs="Arial"/>
                <w:color w:val="000000"/>
                <w:sz w:val="18"/>
                <w:szCs w:val="18"/>
                <w:lang w:eastAsia="en-AU"/>
              </w:rPr>
              <w:t xml:space="preserve"> ) for only </w:t>
            </w:r>
            <w:r w:rsidR="00347801">
              <w:rPr>
                <w:rFonts w:cs="Arial"/>
                <w:color w:val="000000"/>
                <w:sz w:val="18"/>
                <w:szCs w:val="18"/>
                <w:lang w:eastAsia="en-AU"/>
              </w:rPr>
              <w:t>in-scope</w:t>
            </w:r>
            <w:r w:rsidRPr="00833D55">
              <w:rPr>
                <w:rFonts w:cs="Arial"/>
                <w:color w:val="000000"/>
                <w:sz w:val="18"/>
                <w:szCs w:val="18"/>
                <w:lang w:eastAsia="en-AU"/>
              </w:rPr>
              <w:t xml:space="preserve"> funding sources</w:t>
            </w:r>
          </w:p>
        </w:tc>
      </w:tr>
    </w:tbl>
    <w:p w:rsidR="00460371" w:rsidRDefault="00460371" w:rsidP="00AD4FFC">
      <w:pPr>
        <w:tabs>
          <w:tab w:val="left" w:pos="1162"/>
        </w:tabs>
        <w:sectPr w:rsidR="00460371" w:rsidSect="00933C77">
          <w:pgSz w:w="16839" w:h="11907" w:orient="landscape" w:code="9"/>
          <w:pgMar w:top="1440" w:right="1440" w:bottom="1440" w:left="1440" w:header="709" w:footer="709" w:gutter="0"/>
          <w:cols w:space="708"/>
          <w:docGrid w:linePitch="360"/>
        </w:sectPr>
      </w:pPr>
    </w:p>
    <w:p w:rsidR="00F51276" w:rsidRDefault="00F51276" w:rsidP="00F51276">
      <w:pPr>
        <w:pStyle w:val="Heading1"/>
        <w:pageBreakBefore/>
        <w:numPr>
          <w:ilvl w:val="0"/>
          <w:numId w:val="35"/>
        </w:numPr>
        <w:spacing w:before="100" w:beforeAutospacing="1" w:after="100" w:afterAutospacing="1"/>
      </w:pPr>
      <w:bookmarkStart w:id="229" w:name="_Ref342306421"/>
      <w:bookmarkStart w:id="230" w:name="_Ref342306507"/>
      <w:bookmarkStart w:id="231" w:name="_Toc380754750"/>
      <w:bookmarkStart w:id="232" w:name="_Toc319673308"/>
      <w:bookmarkStart w:id="233" w:name="_Toc380754711"/>
      <w:bookmarkStart w:id="234" w:name="_Toc444528591"/>
      <w:r>
        <w:t>Mental health care cost model</w:t>
      </w:r>
      <w:bookmarkEnd w:id="229"/>
      <w:bookmarkEnd w:id="230"/>
      <w:bookmarkEnd w:id="231"/>
      <w:bookmarkEnd w:id="234"/>
    </w:p>
    <w:p w:rsidR="00F51276" w:rsidRDefault="00F51276" w:rsidP="00843C0C">
      <w:pPr>
        <w:pStyle w:val="Heading2"/>
        <w:keepLines w:val="0"/>
        <w:numPr>
          <w:ilvl w:val="1"/>
          <w:numId w:val="64"/>
        </w:numPr>
        <w:tabs>
          <w:tab w:val="left" w:pos="1162"/>
        </w:tabs>
        <w:spacing w:after="60"/>
      </w:pPr>
      <w:bookmarkStart w:id="235" w:name="_Toc380754751"/>
      <w:bookmarkStart w:id="236" w:name="_Toc444528592"/>
      <w:r>
        <w:t>General issues</w:t>
      </w:r>
      <w:bookmarkEnd w:id="235"/>
      <w:bookmarkEnd w:id="236"/>
    </w:p>
    <w:p w:rsidR="00F51276" w:rsidRDefault="00F51276" w:rsidP="00843C0C">
      <w:pPr>
        <w:pStyle w:val="Heading3"/>
        <w:keepLines w:val="0"/>
        <w:numPr>
          <w:ilvl w:val="2"/>
          <w:numId w:val="64"/>
        </w:numPr>
        <w:tabs>
          <w:tab w:val="left" w:pos="1162"/>
        </w:tabs>
        <w:spacing w:before="240" w:after="120"/>
      </w:pPr>
      <w:bookmarkStart w:id="237" w:name="_Toc380754752"/>
      <w:bookmarkStart w:id="238" w:name="_Toc444528593"/>
      <w:r>
        <w:t>Cost unit</w:t>
      </w:r>
      <w:bookmarkEnd w:id="237"/>
      <w:bookmarkEnd w:id="238"/>
    </w:p>
    <w:p w:rsidR="00F51276" w:rsidRPr="00805EBF" w:rsidRDefault="00F51276" w:rsidP="00F51276">
      <w:pPr>
        <w:tabs>
          <w:tab w:val="left" w:pos="1162"/>
        </w:tabs>
        <w:rPr>
          <w:rFonts w:cs="Arial"/>
          <w:szCs w:val="20"/>
        </w:rPr>
      </w:pPr>
      <w:r w:rsidRPr="00805EBF">
        <w:rPr>
          <w:rFonts w:cs="Arial"/>
          <w:szCs w:val="20"/>
        </w:rPr>
        <w:t>An ‘episode of admitted patient care’</w:t>
      </w:r>
      <w:r w:rsidRPr="00805EBF">
        <w:rPr>
          <w:rStyle w:val="FootnoteReference"/>
          <w:rFonts w:cs="Arial"/>
          <w:szCs w:val="20"/>
        </w:rPr>
        <w:footnoteReference w:id="14"/>
      </w:r>
      <w:r w:rsidRPr="00805EBF">
        <w:rPr>
          <w:rFonts w:cs="Arial"/>
          <w:szCs w:val="20"/>
        </w:rPr>
        <w:t xml:space="preserve"> is the </w:t>
      </w:r>
      <w:r>
        <w:rPr>
          <w:rFonts w:cs="Arial"/>
          <w:szCs w:val="20"/>
        </w:rPr>
        <w:t>cost</w:t>
      </w:r>
      <w:r w:rsidRPr="00805EBF">
        <w:rPr>
          <w:rFonts w:cs="Arial"/>
          <w:szCs w:val="20"/>
        </w:rPr>
        <w:t xml:space="preserve"> unit for mental health patients</w:t>
      </w:r>
      <w:r>
        <w:rPr>
          <w:rFonts w:cs="Arial"/>
          <w:szCs w:val="20"/>
        </w:rPr>
        <w:t xml:space="preserve">. As was done in </w:t>
      </w:r>
      <w:r w:rsidR="00F831B2">
        <w:rPr>
          <w:rFonts w:cs="Arial"/>
          <w:szCs w:val="20"/>
        </w:rPr>
        <w:t>NEP15</w:t>
      </w:r>
      <w:r>
        <w:rPr>
          <w:rFonts w:cs="Arial"/>
          <w:szCs w:val="20"/>
        </w:rPr>
        <w:t xml:space="preserve">, </w:t>
      </w:r>
      <w:r w:rsidRPr="00805EBF">
        <w:rPr>
          <w:rFonts w:cs="Arial"/>
          <w:szCs w:val="20"/>
        </w:rPr>
        <w:t xml:space="preserve">mental health patients are specifically defined as only those </w:t>
      </w:r>
      <w:r w:rsidR="001C6800">
        <w:rPr>
          <w:rFonts w:cs="Arial"/>
          <w:szCs w:val="20"/>
        </w:rPr>
        <w:t>admitted acute</w:t>
      </w:r>
      <w:r w:rsidRPr="00805EBF">
        <w:rPr>
          <w:rFonts w:cs="Arial"/>
          <w:szCs w:val="20"/>
        </w:rPr>
        <w:t xml:space="preserve"> patients that are in MDCs 19 and 20 (Mental </w:t>
      </w:r>
      <w:r>
        <w:rPr>
          <w:rFonts w:cs="Arial"/>
          <w:szCs w:val="20"/>
        </w:rPr>
        <w:t>D</w:t>
      </w:r>
      <w:r w:rsidRPr="00805EBF">
        <w:rPr>
          <w:rFonts w:cs="Arial"/>
          <w:szCs w:val="20"/>
        </w:rPr>
        <w:t xml:space="preserve">iseases and </w:t>
      </w:r>
      <w:r>
        <w:rPr>
          <w:rFonts w:cs="Arial"/>
          <w:szCs w:val="20"/>
        </w:rPr>
        <w:t>D</w:t>
      </w:r>
      <w:r w:rsidRPr="00805EBF">
        <w:rPr>
          <w:rFonts w:cs="Arial"/>
          <w:szCs w:val="20"/>
        </w:rPr>
        <w:t>isorders</w:t>
      </w:r>
      <w:r>
        <w:rPr>
          <w:rFonts w:cs="Arial"/>
          <w:szCs w:val="20"/>
        </w:rPr>
        <w:t>,</w:t>
      </w:r>
      <w:r w:rsidRPr="00805EBF">
        <w:rPr>
          <w:rFonts w:cs="Arial"/>
          <w:szCs w:val="20"/>
        </w:rPr>
        <w:t xml:space="preserve"> and Alcohol/</w:t>
      </w:r>
      <w:r>
        <w:rPr>
          <w:rFonts w:cs="Arial"/>
          <w:szCs w:val="20"/>
        </w:rPr>
        <w:t>D</w:t>
      </w:r>
      <w:r w:rsidRPr="00805EBF">
        <w:rPr>
          <w:rFonts w:cs="Arial"/>
          <w:szCs w:val="20"/>
        </w:rPr>
        <w:t xml:space="preserve">rug </w:t>
      </w:r>
      <w:r>
        <w:rPr>
          <w:rFonts w:cs="Arial"/>
          <w:szCs w:val="20"/>
        </w:rPr>
        <w:t>U</w:t>
      </w:r>
      <w:r w:rsidRPr="00805EBF">
        <w:rPr>
          <w:rFonts w:cs="Arial"/>
          <w:szCs w:val="20"/>
        </w:rPr>
        <w:t xml:space="preserve">se and </w:t>
      </w:r>
      <w:r>
        <w:rPr>
          <w:rFonts w:cs="Arial"/>
          <w:szCs w:val="20"/>
        </w:rPr>
        <w:t>A</w:t>
      </w:r>
      <w:r w:rsidRPr="00805EBF">
        <w:rPr>
          <w:rFonts w:cs="Arial"/>
          <w:szCs w:val="20"/>
        </w:rPr>
        <w:t>lcohol/</w:t>
      </w:r>
      <w:r>
        <w:rPr>
          <w:rFonts w:cs="Arial"/>
          <w:szCs w:val="20"/>
        </w:rPr>
        <w:t>D</w:t>
      </w:r>
      <w:r w:rsidRPr="00805EBF">
        <w:rPr>
          <w:rFonts w:cs="Arial"/>
          <w:szCs w:val="20"/>
        </w:rPr>
        <w:t xml:space="preserve">rug </w:t>
      </w:r>
      <w:r>
        <w:rPr>
          <w:rFonts w:cs="Arial"/>
          <w:szCs w:val="20"/>
        </w:rPr>
        <w:t>I</w:t>
      </w:r>
      <w:r w:rsidRPr="00805EBF">
        <w:rPr>
          <w:rFonts w:cs="Arial"/>
          <w:szCs w:val="20"/>
        </w:rPr>
        <w:t xml:space="preserve">nduced </w:t>
      </w:r>
      <w:r>
        <w:rPr>
          <w:rFonts w:cs="Arial"/>
          <w:szCs w:val="20"/>
        </w:rPr>
        <w:t>O</w:t>
      </w:r>
      <w:r w:rsidRPr="00805EBF">
        <w:rPr>
          <w:rFonts w:cs="Arial"/>
          <w:szCs w:val="20"/>
        </w:rPr>
        <w:t xml:space="preserve">rganic </w:t>
      </w:r>
      <w:r>
        <w:rPr>
          <w:rFonts w:cs="Arial"/>
          <w:szCs w:val="20"/>
        </w:rPr>
        <w:t>M</w:t>
      </w:r>
      <w:r w:rsidRPr="00805EBF">
        <w:rPr>
          <w:rFonts w:cs="Arial"/>
          <w:szCs w:val="20"/>
        </w:rPr>
        <w:t xml:space="preserve">ental </w:t>
      </w:r>
      <w:r>
        <w:rPr>
          <w:rFonts w:cs="Arial"/>
          <w:szCs w:val="20"/>
        </w:rPr>
        <w:t>D</w:t>
      </w:r>
      <w:r w:rsidRPr="00805EBF">
        <w:rPr>
          <w:rFonts w:cs="Arial"/>
          <w:szCs w:val="20"/>
        </w:rPr>
        <w:t>isorders respectively) and those patients in other MDCs that have recorded psychiatric care days</w:t>
      </w:r>
      <w:r>
        <w:rPr>
          <w:rFonts w:cs="Arial"/>
          <w:szCs w:val="20"/>
        </w:rPr>
        <w:t xml:space="preserve">. </w:t>
      </w:r>
    </w:p>
    <w:p w:rsidR="00F51276" w:rsidRPr="00805EBF" w:rsidRDefault="00F51276" w:rsidP="00F51276">
      <w:pPr>
        <w:tabs>
          <w:tab w:val="left" w:pos="1162"/>
        </w:tabs>
        <w:rPr>
          <w:rFonts w:cs="Arial"/>
          <w:szCs w:val="20"/>
        </w:rPr>
      </w:pPr>
      <w:r w:rsidRPr="00805EBF">
        <w:rPr>
          <w:rFonts w:cs="Arial"/>
          <w:szCs w:val="20"/>
        </w:rPr>
        <w:t>As such</w:t>
      </w:r>
      <w:r>
        <w:rPr>
          <w:rFonts w:cs="Arial"/>
          <w:szCs w:val="20"/>
        </w:rPr>
        <w:t>,</w:t>
      </w:r>
      <w:r w:rsidRPr="00805EBF">
        <w:rPr>
          <w:rFonts w:cs="Arial"/>
          <w:szCs w:val="20"/>
        </w:rPr>
        <w:t xml:space="preserve"> </w:t>
      </w:r>
      <w:r w:rsidR="001C6800">
        <w:rPr>
          <w:rFonts w:cs="Arial"/>
          <w:szCs w:val="20"/>
        </w:rPr>
        <w:t>admitted acute</w:t>
      </w:r>
      <w:r>
        <w:rPr>
          <w:rFonts w:cs="Arial"/>
          <w:szCs w:val="20"/>
        </w:rPr>
        <w:t xml:space="preserve"> </w:t>
      </w:r>
      <w:r w:rsidRPr="00805EBF">
        <w:rPr>
          <w:rFonts w:cs="Arial"/>
          <w:szCs w:val="20"/>
        </w:rPr>
        <w:t xml:space="preserve">mental health patients are a subset of </w:t>
      </w:r>
      <w:r w:rsidR="001C6800">
        <w:rPr>
          <w:rFonts w:cs="Arial"/>
          <w:szCs w:val="20"/>
        </w:rPr>
        <w:t>admitted acute</w:t>
      </w:r>
      <w:r w:rsidRPr="00805EBF">
        <w:rPr>
          <w:rFonts w:cs="Arial"/>
          <w:szCs w:val="20"/>
        </w:rPr>
        <w:t xml:space="preserve"> patients and </w:t>
      </w:r>
      <w:r>
        <w:rPr>
          <w:rFonts w:cs="Arial"/>
          <w:szCs w:val="20"/>
        </w:rPr>
        <w:t>are</w:t>
      </w:r>
      <w:r w:rsidRPr="00805EBF">
        <w:rPr>
          <w:rFonts w:cs="Arial"/>
          <w:szCs w:val="20"/>
        </w:rPr>
        <w:t xml:space="preserve"> analysed </w:t>
      </w:r>
      <w:r>
        <w:rPr>
          <w:rFonts w:cs="Arial"/>
          <w:szCs w:val="20"/>
        </w:rPr>
        <w:t>under</w:t>
      </w:r>
      <w:r w:rsidRPr="00805EBF">
        <w:rPr>
          <w:rFonts w:cs="Arial"/>
          <w:szCs w:val="20"/>
        </w:rPr>
        <w:t xml:space="preserve"> the Acute Cost Model.</w:t>
      </w:r>
    </w:p>
    <w:p w:rsidR="00F51276" w:rsidRDefault="00F51276" w:rsidP="00F51276">
      <w:pPr>
        <w:tabs>
          <w:tab w:val="left" w:pos="1162"/>
        </w:tabs>
        <w:rPr>
          <w:rFonts w:cs="Arial"/>
          <w:szCs w:val="20"/>
        </w:rPr>
      </w:pPr>
      <w:r w:rsidRPr="00805EBF">
        <w:rPr>
          <w:rFonts w:cs="Arial"/>
          <w:szCs w:val="20"/>
        </w:rPr>
        <w:t xml:space="preserve">Mental health patients receiving ED and non-admitted care services are not differentiated in </w:t>
      </w:r>
      <w:r>
        <w:rPr>
          <w:rFonts w:cs="Arial"/>
          <w:szCs w:val="20"/>
        </w:rPr>
        <w:t xml:space="preserve">the </w:t>
      </w:r>
      <w:r w:rsidR="00E85B8C">
        <w:rPr>
          <w:rFonts w:cs="Arial"/>
          <w:szCs w:val="20"/>
        </w:rPr>
        <w:t>NEP16</w:t>
      </w:r>
      <w:r w:rsidRPr="00805EBF">
        <w:rPr>
          <w:rFonts w:cs="Arial"/>
          <w:szCs w:val="20"/>
        </w:rPr>
        <w:t xml:space="preserve"> and so receive payments as defined for the relevant ABF product category.</w:t>
      </w:r>
    </w:p>
    <w:p w:rsidR="00F51276" w:rsidRDefault="00F51276" w:rsidP="00F51276">
      <w:pPr>
        <w:pStyle w:val="Heading3"/>
        <w:keepLines w:val="0"/>
        <w:numPr>
          <w:ilvl w:val="2"/>
          <w:numId w:val="64"/>
        </w:numPr>
        <w:tabs>
          <w:tab w:val="left" w:pos="1162"/>
        </w:tabs>
        <w:spacing w:before="240" w:after="120"/>
      </w:pPr>
      <w:bookmarkStart w:id="239" w:name="_Toc380754753"/>
      <w:bookmarkStart w:id="240" w:name="_Toc444528594"/>
      <w:r>
        <w:t>Scope</w:t>
      </w:r>
      <w:bookmarkEnd w:id="239"/>
      <w:bookmarkEnd w:id="240"/>
    </w:p>
    <w:p w:rsidR="00F51276" w:rsidRPr="00805EBF" w:rsidRDefault="00F51276" w:rsidP="00F51276">
      <w:pPr>
        <w:tabs>
          <w:tab w:val="left" w:pos="1162"/>
        </w:tabs>
        <w:rPr>
          <w:rFonts w:cs="Arial"/>
          <w:szCs w:val="20"/>
        </w:rPr>
      </w:pPr>
      <w:r w:rsidRPr="00805EBF">
        <w:rPr>
          <w:rFonts w:cs="Arial"/>
          <w:szCs w:val="20"/>
        </w:rPr>
        <w:t>Mental health admitted care is that provided to patients who undergo a facility’s formal admission</w:t>
      </w:r>
      <w:r w:rsidRPr="00805EBF">
        <w:rPr>
          <w:rStyle w:val="FootnoteReference"/>
          <w:rFonts w:cs="Arial"/>
          <w:szCs w:val="20"/>
        </w:rPr>
        <w:footnoteReference w:id="15"/>
      </w:r>
      <w:r w:rsidRPr="00805EBF">
        <w:rPr>
          <w:rFonts w:cs="Arial"/>
          <w:szCs w:val="20"/>
        </w:rPr>
        <w:t xml:space="preserve"> processes where the clinical intent or treatment goal is the provision of acute care.</w:t>
      </w:r>
    </w:p>
    <w:p w:rsidR="00F51276" w:rsidRDefault="00347801" w:rsidP="00F51276">
      <w:pPr>
        <w:tabs>
          <w:tab w:val="left" w:pos="1162"/>
        </w:tabs>
        <w:rPr>
          <w:rFonts w:cs="Arial"/>
          <w:szCs w:val="20"/>
        </w:rPr>
      </w:pPr>
      <w:r>
        <w:rPr>
          <w:rFonts w:cs="Arial"/>
          <w:szCs w:val="20"/>
        </w:rPr>
        <w:t>In-scope</w:t>
      </w:r>
      <w:r w:rsidR="00F51276" w:rsidRPr="00805EBF">
        <w:rPr>
          <w:rFonts w:cs="Arial"/>
          <w:szCs w:val="20"/>
        </w:rPr>
        <w:t xml:space="preserve"> hospitals and patients are as defined for </w:t>
      </w:r>
      <w:r w:rsidR="001C6800">
        <w:rPr>
          <w:rFonts w:cs="Arial"/>
          <w:szCs w:val="20"/>
        </w:rPr>
        <w:t>admitted acute</w:t>
      </w:r>
      <w:r w:rsidR="00F51276">
        <w:rPr>
          <w:rFonts w:cs="Arial"/>
          <w:szCs w:val="20"/>
        </w:rPr>
        <w:t>, as outlined in Section 2</w:t>
      </w:r>
      <w:r w:rsidR="00F51276" w:rsidRPr="00805EBF">
        <w:rPr>
          <w:rFonts w:cs="Arial"/>
          <w:szCs w:val="20"/>
        </w:rPr>
        <w:t>.</w:t>
      </w:r>
    </w:p>
    <w:p w:rsidR="00F51276" w:rsidRDefault="00F51276" w:rsidP="00F51276">
      <w:pPr>
        <w:pStyle w:val="Heading3"/>
        <w:keepLines w:val="0"/>
        <w:numPr>
          <w:ilvl w:val="2"/>
          <w:numId w:val="64"/>
        </w:numPr>
        <w:tabs>
          <w:tab w:val="left" w:pos="1162"/>
        </w:tabs>
        <w:spacing w:before="240" w:after="120"/>
      </w:pPr>
      <w:bookmarkStart w:id="241" w:name="_Toc380754754"/>
      <w:bookmarkStart w:id="242" w:name="_Toc444528595"/>
      <w:r>
        <w:t>Classification</w:t>
      </w:r>
      <w:bookmarkEnd w:id="241"/>
      <w:bookmarkEnd w:id="242"/>
    </w:p>
    <w:p w:rsidR="00F51276" w:rsidRDefault="00F51276" w:rsidP="00F51276">
      <w:pPr>
        <w:tabs>
          <w:tab w:val="left" w:pos="1162"/>
        </w:tabs>
        <w:rPr>
          <w:rFonts w:cs="Arial"/>
          <w:szCs w:val="20"/>
        </w:rPr>
      </w:pPr>
      <w:r w:rsidRPr="00D130B9">
        <w:rPr>
          <w:rFonts w:cs="Arial"/>
          <w:szCs w:val="20"/>
        </w:rPr>
        <w:t xml:space="preserve">AR-DRGs are used to classify </w:t>
      </w:r>
      <w:r w:rsidR="001C6800">
        <w:rPr>
          <w:rFonts w:cs="Arial"/>
          <w:szCs w:val="20"/>
        </w:rPr>
        <w:t>admitted acute</w:t>
      </w:r>
      <w:r w:rsidRPr="00D130B9">
        <w:rPr>
          <w:rFonts w:cs="Arial"/>
          <w:szCs w:val="20"/>
        </w:rPr>
        <w:t xml:space="preserve"> care including the mental health acute patients</w:t>
      </w:r>
      <w:r>
        <w:rPr>
          <w:rFonts w:cs="Arial"/>
          <w:szCs w:val="20"/>
        </w:rPr>
        <w:t xml:space="preserve">. </w:t>
      </w:r>
      <w:r w:rsidRPr="00D130B9">
        <w:rPr>
          <w:rFonts w:cs="Arial"/>
          <w:szCs w:val="20"/>
        </w:rPr>
        <w:t xml:space="preserve">The version applying for funding in </w:t>
      </w:r>
      <w:r w:rsidR="000C75BC">
        <w:rPr>
          <w:rFonts w:cs="Arial"/>
          <w:szCs w:val="20"/>
        </w:rPr>
        <w:t>2016-17</w:t>
      </w:r>
      <w:r w:rsidRPr="00D130B9">
        <w:rPr>
          <w:rFonts w:cs="Arial"/>
          <w:szCs w:val="20"/>
        </w:rPr>
        <w:t xml:space="preserve"> is </w:t>
      </w:r>
      <w:r>
        <w:rPr>
          <w:rFonts w:cs="Arial"/>
          <w:szCs w:val="20"/>
        </w:rPr>
        <w:t>AR</w:t>
      </w:r>
      <w:r>
        <w:rPr>
          <w:rFonts w:cs="Arial"/>
          <w:szCs w:val="20"/>
        </w:rPr>
        <w:noBreakHyphen/>
        <w:t>DRG v</w:t>
      </w:r>
      <w:r w:rsidR="00752214">
        <w:rPr>
          <w:rFonts w:cs="Arial"/>
          <w:szCs w:val="20"/>
        </w:rPr>
        <w:t>8</w:t>
      </w:r>
      <w:r>
        <w:rPr>
          <w:rFonts w:cs="Arial"/>
          <w:szCs w:val="20"/>
        </w:rPr>
        <w:t>.</w:t>
      </w:r>
    </w:p>
    <w:p w:rsidR="00F51276" w:rsidRDefault="00F51276" w:rsidP="00F51276">
      <w:pPr>
        <w:pStyle w:val="Heading2"/>
        <w:keepLines w:val="0"/>
        <w:numPr>
          <w:ilvl w:val="1"/>
          <w:numId w:val="64"/>
        </w:numPr>
        <w:tabs>
          <w:tab w:val="left" w:pos="1162"/>
        </w:tabs>
        <w:spacing w:after="60"/>
      </w:pPr>
      <w:bookmarkStart w:id="243" w:name="_Toc380754755"/>
      <w:bookmarkStart w:id="244" w:name="_Toc444528596"/>
      <w:r w:rsidRPr="006D0E7D">
        <w:t>Analysis of costs to</w:t>
      </w:r>
      <w:r>
        <w:t xml:space="preserve"> derive NWAU for mental health care</w:t>
      </w:r>
      <w:bookmarkEnd w:id="243"/>
      <w:bookmarkEnd w:id="244"/>
    </w:p>
    <w:p w:rsidR="00F51276" w:rsidRDefault="00F51276" w:rsidP="00F51276">
      <w:pPr>
        <w:pStyle w:val="Heading3"/>
        <w:keepLines w:val="0"/>
        <w:numPr>
          <w:ilvl w:val="2"/>
          <w:numId w:val="64"/>
        </w:numPr>
        <w:tabs>
          <w:tab w:val="left" w:pos="1162"/>
        </w:tabs>
        <w:spacing w:before="240" w:after="120"/>
      </w:pPr>
      <w:bookmarkStart w:id="245" w:name="_Toc380754756"/>
      <w:bookmarkStart w:id="246" w:name="_Toc444528597"/>
      <w:r>
        <w:t>Data preparation</w:t>
      </w:r>
      <w:bookmarkEnd w:id="245"/>
      <w:bookmarkEnd w:id="246"/>
    </w:p>
    <w:p w:rsidR="00F51276" w:rsidRDefault="00F51276" w:rsidP="00F51276">
      <w:pPr>
        <w:tabs>
          <w:tab w:val="left" w:pos="1162"/>
        </w:tabs>
        <w:rPr>
          <w:rFonts w:cs="Arial"/>
          <w:szCs w:val="20"/>
        </w:rPr>
      </w:pPr>
      <w:r w:rsidRPr="00D130B9">
        <w:rPr>
          <w:rFonts w:cs="Arial"/>
          <w:szCs w:val="20"/>
        </w:rPr>
        <w:t xml:space="preserve">See </w:t>
      </w:r>
      <w:r>
        <w:rPr>
          <w:rFonts w:cs="Arial"/>
          <w:szCs w:val="20"/>
        </w:rPr>
        <w:t xml:space="preserve">Section </w:t>
      </w:r>
      <w:r>
        <w:rPr>
          <w:rFonts w:cs="Arial"/>
          <w:szCs w:val="20"/>
        </w:rPr>
        <w:fldChar w:fldCharType="begin"/>
      </w:r>
      <w:r>
        <w:rPr>
          <w:rFonts w:cs="Arial"/>
          <w:szCs w:val="20"/>
        </w:rPr>
        <w:instrText xml:space="preserve"> REF _Ref342385231 \r \h  \* MERGEFORMAT </w:instrText>
      </w:r>
      <w:r>
        <w:rPr>
          <w:rFonts w:cs="Arial"/>
          <w:szCs w:val="20"/>
        </w:rPr>
      </w:r>
      <w:r>
        <w:rPr>
          <w:rFonts w:cs="Arial"/>
          <w:szCs w:val="20"/>
        </w:rPr>
        <w:fldChar w:fldCharType="separate"/>
      </w:r>
      <w:r w:rsidR="0027530C">
        <w:rPr>
          <w:rFonts w:cs="Arial"/>
          <w:szCs w:val="20"/>
        </w:rPr>
        <w:t>2.2.1</w:t>
      </w:r>
      <w:r>
        <w:rPr>
          <w:rFonts w:cs="Arial"/>
          <w:szCs w:val="20"/>
        </w:rPr>
        <w:fldChar w:fldCharType="end"/>
      </w:r>
      <w:r>
        <w:rPr>
          <w:rFonts w:cs="Arial"/>
          <w:szCs w:val="20"/>
        </w:rPr>
        <w:t>.</w:t>
      </w:r>
    </w:p>
    <w:p w:rsidR="00F51276" w:rsidRDefault="00F51276" w:rsidP="00F51276">
      <w:pPr>
        <w:pStyle w:val="Heading3"/>
        <w:keepLines w:val="0"/>
        <w:numPr>
          <w:ilvl w:val="2"/>
          <w:numId w:val="64"/>
        </w:numPr>
        <w:tabs>
          <w:tab w:val="left" w:pos="1162"/>
        </w:tabs>
        <w:spacing w:before="240" w:after="120"/>
      </w:pPr>
      <w:bookmarkStart w:id="247" w:name="_Toc380754757"/>
      <w:bookmarkStart w:id="248" w:name="_Toc444528598"/>
      <w:r>
        <w:t>Stratification and weighting</w:t>
      </w:r>
      <w:bookmarkEnd w:id="247"/>
      <w:bookmarkEnd w:id="248"/>
    </w:p>
    <w:p w:rsidR="00F51276" w:rsidRDefault="00F51276" w:rsidP="00F51276">
      <w:pPr>
        <w:tabs>
          <w:tab w:val="left" w:pos="1162"/>
        </w:tabs>
        <w:rPr>
          <w:szCs w:val="20"/>
        </w:rPr>
      </w:pPr>
      <w:r>
        <w:rPr>
          <w:rFonts w:cs="Arial"/>
          <w:szCs w:val="20"/>
        </w:rPr>
        <w:t xml:space="preserve">See Section </w:t>
      </w:r>
      <w:r>
        <w:rPr>
          <w:rFonts w:cs="Arial"/>
          <w:szCs w:val="20"/>
        </w:rPr>
        <w:fldChar w:fldCharType="begin"/>
      </w:r>
      <w:r>
        <w:rPr>
          <w:rFonts w:cs="Arial"/>
          <w:szCs w:val="20"/>
        </w:rPr>
        <w:instrText xml:space="preserve"> REF _Ref342385246 \r \h  \* MERGEFORMAT </w:instrText>
      </w:r>
      <w:r>
        <w:rPr>
          <w:rFonts w:cs="Arial"/>
          <w:szCs w:val="20"/>
        </w:rPr>
      </w:r>
      <w:r>
        <w:rPr>
          <w:rFonts w:cs="Arial"/>
          <w:szCs w:val="20"/>
        </w:rPr>
        <w:fldChar w:fldCharType="separate"/>
      </w:r>
      <w:r w:rsidR="0027530C">
        <w:rPr>
          <w:rFonts w:cs="Arial"/>
          <w:szCs w:val="20"/>
        </w:rPr>
        <w:t>2.2.2</w:t>
      </w:r>
      <w:r>
        <w:rPr>
          <w:rFonts w:cs="Arial"/>
          <w:szCs w:val="20"/>
        </w:rPr>
        <w:fldChar w:fldCharType="end"/>
      </w:r>
      <w:r w:rsidRPr="00D130B9">
        <w:rPr>
          <w:szCs w:val="20"/>
        </w:rPr>
        <w:t>.</w:t>
      </w:r>
    </w:p>
    <w:p w:rsidR="00F51276" w:rsidRDefault="00F51276" w:rsidP="00F51276">
      <w:pPr>
        <w:pStyle w:val="Heading3"/>
        <w:keepLines w:val="0"/>
        <w:numPr>
          <w:ilvl w:val="2"/>
          <w:numId w:val="64"/>
        </w:numPr>
        <w:tabs>
          <w:tab w:val="left" w:pos="1162"/>
        </w:tabs>
        <w:spacing w:before="240" w:after="120"/>
      </w:pPr>
      <w:bookmarkStart w:id="249" w:name="_Toc380754758"/>
      <w:bookmarkStart w:id="250" w:name="_Toc444528599"/>
      <w:r>
        <w:t>Inlier bounds</w:t>
      </w:r>
      <w:bookmarkEnd w:id="249"/>
      <w:bookmarkEnd w:id="250"/>
    </w:p>
    <w:p w:rsidR="00F51276" w:rsidRPr="00D130B9" w:rsidRDefault="00F51276" w:rsidP="00F51276">
      <w:pPr>
        <w:tabs>
          <w:tab w:val="left" w:pos="1162"/>
        </w:tabs>
        <w:rPr>
          <w:rFonts w:cs="Arial"/>
          <w:szCs w:val="20"/>
        </w:rPr>
      </w:pPr>
      <w:r w:rsidRPr="00D130B9">
        <w:rPr>
          <w:rFonts w:cs="Arial"/>
          <w:szCs w:val="20"/>
        </w:rPr>
        <w:t xml:space="preserve">The inlier bounds for </w:t>
      </w:r>
      <w:r>
        <w:rPr>
          <w:rFonts w:cs="Arial"/>
          <w:szCs w:val="20"/>
        </w:rPr>
        <w:t xml:space="preserve">AR-DRGs within </w:t>
      </w:r>
      <w:r w:rsidRPr="00D130B9">
        <w:rPr>
          <w:rFonts w:cs="Arial"/>
          <w:szCs w:val="20"/>
        </w:rPr>
        <w:t xml:space="preserve">MDCs 19 and 20 were set </w:t>
      </w:r>
      <w:r>
        <w:rPr>
          <w:rFonts w:cs="Arial"/>
          <w:szCs w:val="20"/>
        </w:rPr>
        <w:t>using the</w:t>
      </w:r>
      <w:r w:rsidRPr="00D130B9">
        <w:rPr>
          <w:rFonts w:cs="Arial"/>
          <w:szCs w:val="20"/>
        </w:rPr>
        <w:t xml:space="preserve"> L1.5</w:t>
      </w:r>
      <w:r>
        <w:rPr>
          <w:rFonts w:cs="Arial"/>
          <w:szCs w:val="20"/>
        </w:rPr>
        <w:t xml:space="preserve"> </w:t>
      </w:r>
      <w:r w:rsidRPr="00D130B9">
        <w:rPr>
          <w:rFonts w:cs="Arial"/>
          <w:szCs w:val="20"/>
        </w:rPr>
        <w:t xml:space="preserve">H1.5 </w:t>
      </w:r>
      <w:r>
        <w:rPr>
          <w:rFonts w:cs="Arial"/>
          <w:szCs w:val="20"/>
        </w:rPr>
        <w:t xml:space="preserve">method </w:t>
      </w:r>
      <w:r w:rsidRPr="00D130B9">
        <w:rPr>
          <w:rFonts w:cs="Arial"/>
          <w:szCs w:val="20"/>
        </w:rPr>
        <w:t xml:space="preserve">while </w:t>
      </w:r>
      <w:r w:rsidR="00D028D9">
        <w:rPr>
          <w:rFonts w:cs="Arial"/>
          <w:szCs w:val="20"/>
        </w:rPr>
        <w:t xml:space="preserve">the majority of other </w:t>
      </w:r>
      <w:r w:rsidRPr="00D130B9">
        <w:rPr>
          <w:rFonts w:cs="Arial"/>
          <w:szCs w:val="20"/>
        </w:rPr>
        <w:t>MDCs in the Acute Cost Model remained at L3H3</w:t>
      </w:r>
      <w:r>
        <w:rPr>
          <w:rFonts w:cs="Arial"/>
          <w:szCs w:val="20"/>
        </w:rPr>
        <w:t xml:space="preserve"> (see Section 2.2.3)</w:t>
      </w:r>
      <w:r w:rsidRPr="00D130B9">
        <w:rPr>
          <w:rFonts w:cs="Arial"/>
          <w:szCs w:val="20"/>
        </w:rPr>
        <w:t>.</w:t>
      </w:r>
    </w:p>
    <w:p w:rsidR="00F51276" w:rsidRPr="006D0E7D" w:rsidRDefault="00F51276" w:rsidP="00F51276">
      <w:pPr>
        <w:tabs>
          <w:tab w:val="left" w:pos="1162"/>
        </w:tabs>
        <w:rPr>
          <w:rFonts w:cs="Arial"/>
          <w:b/>
          <w:bCs/>
          <w:color w:val="000000"/>
          <w:szCs w:val="20"/>
        </w:rPr>
      </w:pPr>
      <w:r>
        <w:rPr>
          <w:rFonts w:cs="Arial"/>
          <w:szCs w:val="20"/>
        </w:rPr>
        <w:t>These</w:t>
      </w:r>
      <w:r w:rsidRPr="00D130B9">
        <w:rPr>
          <w:rFonts w:cs="Arial"/>
          <w:szCs w:val="20"/>
        </w:rPr>
        <w:t xml:space="preserve"> </w:t>
      </w:r>
      <w:r>
        <w:rPr>
          <w:rFonts w:cs="Arial"/>
          <w:szCs w:val="20"/>
        </w:rPr>
        <w:t xml:space="preserve">narrower </w:t>
      </w:r>
      <w:r w:rsidRPr="00D130B9">
        <w:rPr>
          <w:rFonts w:cs="Arial"/>
          <w:szCs w:val="20"/>
        </w:rPr>
        <w:t xml:space="preserve">inlier bounds resulted in a lower proportion of inliers and a corresponding higher proportion of short-stay </w:t>
      </w:r>
      <w:r>
        <w:rPr>
          <w:rFonts w:cs="Arial"/>
          <w:szCs w:val="20"/>
        </w:rPr>
        <w:t xml:space="preserve">and long-stay </w:t>
      </w:r>
      <w:r w:rsidRPr="00D130B9">
        <w:rPr>
          <w:rFonts w:cs="Arial"/>
          <w:szCs w:val="20"/>
        </w:rPr>
        <w:t>outliers</w:t>
      </w:r>
      <w:r>
        <w:rPr>
          <w:rFonts w:cs="Arial"/>
          <w:szCs w:val="20"/>
        </w:rPr>
        <w:t>,</w:t>
      </w:r>
      <w:r w:rsidRPr="00D130B9">
        <w:rPr>
          <w:rFonts w:cs="Arial"/>
          <w:szCs w:val="20"/>
        </w:rPr>
        <w:t xml:space="preserve"> as shown in</w:t>
      </w:r>
      <w:r>
        <w:rPr>
          <w:rFonts w:cs="Arial"/>
          <w:szCs w:val="20"/>
        </w:rPr>
        <w:t xml:space="preserve"> Table </w:t>
      </w:r>
      <w:r w:rsidR="00693CC5">
        <w:rPr>
          <w:rFonts w:cs="Arial"/>
          <w:szCs w:val="20"/>
        </w:rPr>
        <w:t>8</w:t>
      </w:r>
      <w:r w:rsidRPr="00D130B9">
        <w:rPr>
          <w:rFonts w:cs="Arial"/>
          <w:szCs w:val="20"/>
        </w:rPr>
        <w:t>.</w:t>
      </w:r>
    </w:p>
    <w:p w:rsidR="00F51276" w:rsidRDefault="00F51276" w:rsidP="00F51276">
      <w:pPr>
        <w:rPr>
          <w:rFonts w:ascii="Arial" w:eastAsia="Times New Roman" w:hAnsi="Arial" w:cs="Times New Roman"/>
          <w:b/>
          <w:sz w:val="20"/>
        </w:rPr>
      </w:pPr>
      <w:bookmarkStart w:id="251" w:name="_Ref342308730"/>
      <w:r>
        <w:br w:type="page"/>
      </w:r>
    </w:p>
    <w:bookmarkEnd w:id="251"/>
    <w:p w:rsidR="00F51276" w:rsidRDefault="00F51276">
      <w:pPr>
        <w:pStyle w:val="table"/>
      </w:pPr>
      <w:r>
        <w:t xml:space="preserve">Table </w:t>
      </w:r>
      <w:r w:rsidR="00693CC5">
        <w:rPr>
          <w:noProof/>
        </w:rPr>
        <w:t>8</w:t>
      </w:r>
      <w:r>
        <w:t xml:space="preserve">: </w:t>
      </w:r>
      <w:r w:rsidRPr="00487993">
        <w:t xml:space="preserve">MDCs 19 &amp; 20 (Mental health) – </w:t>
      </w:r>
      <w:r>
        <w:t>activity and cost d</w:t>
      </w:r>
      <w:r w:rsidRPr="00487993">
        <w:t>istribution</w:t>
      </w:r>
    </w:p>
    <w:tbl>
      <w:tblPr>
        <w:tblStyle w:val="TableGrid"/>
        <w:tblW w:w="8079"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Description w:val="A summary of table 17 is outlined in the text prior to this table."/>
      </w:tblPr>
      <w:tblGrid>
        <w:gridCol w:w="2019"/>
        <w:gridCol w:w="2020"/>
        <w:gridCol w:w="2020"/>
        <w:gridCol w:w="2020"/>
      </w:tblGrid>
      <w:tr w:rsidR="00F51276" w:rsidRPr="00F561D4" w:rsidTr="00920356">
        <w:trPr>
          <w:cantSplit/>
          <w:trHeight w:val="227"/>
          <w:tblHeader/>
          <w:jc w:val="center"/>
        </w:trPr>
        <w:tc>
          <w:tcPr>
            <w:tcW w:w="2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51276" w:rsidRPr="00601A6A" w:rsidRDefault="00F51276" w:rsidP="00920356">
            <w:pPr>
              <w:tabs>
                <w:tab w:val="left" w:pos="1162"/>
              </w:tabs>
              <w:spacing w:before="80" w:after="80"/>
              <w:jc w:val="center"/>
              <w:rPr>
                <w:rFonts w:cs="Arial"/>
                <w:color w:val="000000"/>
                <w:sz w:val="20"/>
                <w:szCs w:val="20"/>
              </w:rPr>
            </w:pPr>
          </w:p>
        </w:tc>
        <w:tc>
          <w:tcPr>
            <w:tcW w:w="2020" w:type="dxa"/>
            <w:tcBorders>
              <w:left w:val="single" w:sz="4" w:space="0" w:color="auto"/>
              <w:bottom w:val="single" w:sz="4" w:space="0" w:color="595959" w:themeColor="text1" w:themeTint="A6"/>
            </w:tcBorders>
            <w:shd w:val="clear" w:color="auto" w:fill="BFBFBF" w:themeFill="background1" w:themeFillShade="BF"/>
            <w:noWrap/>
            <w:hideMark/>
          </w:tcPr>
          <w:p w:rsidR="00F51276" w:rsidRPr="00601A6A" w:rsidRDefault="00F51276" w:rsidP="00920356">
            <w:pPr>
              <w:tabs>
                <w:tab w:val="left" w:pos="1162"/>
              </w:tabs>
              <w:spacing w:before="80" w:after="80"/>
              <w:jc w:val="center"/>
              <w:rPr>
                <w:rFonts w:cs="Arial"/>
                <w:b/>
                <w:bCs/>
                <w:color w:val="000000"/>
                <w:sz w:val="20"/>
                <w:szCs w:val="20"/>
              </w:rPr>
            </w:pPr>
            <w:r w:rsidRPr="00601A6A">
              <w:rPr>
                <w:rFonts w:cs="Arial"/>
                <w:b/>
                <w:bCs/>
                <w:color w:val="000000"/>
                <w:sz w:val="20"/>
                <w:szCs w:val="20"/>
              </w:rPr>
              <w:t>Short-Stay Outlier</w:t>
            </w:r>
          </w:p>
        </w:tc>
        <w:tc>
          <w:tcPr>
            <w:tcW w:w="2020" w:type="dxa"/>
            <w:tcBorders>
              <w:bottom w:val="single" w:sz="4" w:space="0" w:color="595959" w:themeColor="text1" w:themeTint="A6"/>
            </w:tcBorders>
            <w:shd w:val="clear" w:color="auto" w:fill="BFBFBF" w:themeFill="background1" w:themeFillShade="BF"/>
            <w:noWrap/>
            <w:hideMark/>
          </w:tcPr>
          <w:p w:rsidR="00F51276" w:rsidRPr="00601A6A" w:rsidRDefault="00F51276" w:rsidP="00920356">
            <w:pPr>
              <w:tabs>
                <w:tab w:val="left" w:pos="1162"/>
              </w:tabs>
              <w:spacing w:before="80" w:after="80"/>
              <w:jc w:val="center"/>
              <w:rPr>
                <w:rFonts w:cs="Arial"/>
                <w:b/>
                <w:bCs/>
                <w:color w:val="000000"/>
                <w:sz w:val="20"/>
                <w:szCs w:val="20"/>
              </w:rPr>
            </w:pPr>
            <w:r w:rsidRPr="00601A6A">
              <w:rPr>
                <w:rFonts w:cs="Arial"/>
                <w:b/>
                <w:bCs/>
                <w:color w:val="000000"/>
                <w:sz w:val="20"/>
                <w:szCs w:val="20"/>
              </w:rPr>
              <w:t>Inlier</w:t>
            </w:r>
          </w:p>
        </w:tc>
        <w:tc>
          <w:tcPr>
            <w:tcW w:w="2020" w:type="dxa"/>
            <w:tcBorders>
              <w:bottom w:val="single" w:sz="4" w:space="0" w:color="595959" w:themeColor="text1" w:themeTint="A6"/>
            </w:tcBorders>
            <w:shd w:val="clear" w:color="auto" w:fill="BFBFBF" w:themeFill="background1" w:themeFillShade="BF"/>
            <w:noWrap/>
            <w:hideMark/>
          </w:tcPr>
          <w:p w:rsidR="00F51276" w:rsidRPr="00601A6A" w:rsidRDefault="00F51276" w:rsidP="00920356">
            <w:pPr>
              <w:tabs>
                <w:tab w:val="left" w:pos="1162"/>
              </w:tabs>
              <w:spacing w:before="80" w:after="80"/>
              <w:jc w:val="center"/>
              <w:rPr>
                <w:rFonts w:cs="Arial"/>
                <w:b/>
                <w:bCs/>
                <w:color w:val="000000"/>
                <w:sz w:val="20"/>
                <w:szCs w:val="20"/>
              </w:rPr>
            </w:pPr>
            <w:r w:rsidRPr="00601A6A">
              <w:rPr>
                <w:rFonts w:cs="Arial"/>
                <w:b/>
                <w:bCs/>
                <w:color w:val="000000"/>
                <w:sz w:val="20"/>
                <w:szCs w:val="20"/>
              </w:rPr>
              <w:t>Long-Stay Outlier</w:t>
            </w:r>
          </w:p>
        </w:tc>
      </w:tr>
      <w:tr w:rsidR="00F51276" w:rsidRPr="00F3531B" w:rsidTr="00920356">
        <w:trPr>
          <w:cantSplit/>
          <w:trHeight w:val="227"/>
          <w:jc w:val="center"/>
        </w:trPr>
        <w:tc>
          <w:tcPr>
            <w:tcW w:w="2019" w:type="dxa"/>
            <w:tcBorders>
              <w:top w:val="single" w:sz="4" w:space="0" w:color="auto"/>
            </w:tcBorders>
            <w:noWrap/>
            <w:hideMark/>
          </w:tcPr>
          <w:p w:rsidR="00F51276" w:rsidRPr="00E33EAE" w:rsidRDefault="00F51276" w:rsidP="00920356">
            <w:pPr>
              <w:tabs>
                <w:tab w:val="left" w:pos="1162"/>
              </w:tabs>
              <w:spacing w:before="80" w:after="80"/>
              <w:rPr>
                <w:rFonts w:ascii="Arial" w:hAnsi="Arial" w:cs="Arial"/>
                <w:color w:val="000000"/>
                <w:sz w:val="18"/>
                <w:szCs w:val="20"/>
              </w:rPr>
            </w:pPr>
            <w:r w:rsidRPr="00E33EAE">
              <w:rPr>
                <w:rFonts w:ascii="Arial" w:hAnsi="Arial" w:cs="Arial"/>
                <w:color w:val="000000"/>
                <w:sz w:val="18"/>
                <w:szCs w:val="20"/>
              </w:rPr>
              <w:t>Separations</w:t>
            </w:r>
          </w:p>
        </w:tc>
        <w:tc>
          <w:tcPr>
            <w:tcW w:w="2020" w:type="dxa"/>
            <w:tcBorders>
              <w:top w:val="single" w:sz="4" w:space="0" w:color="595959" w:themeColor="text1" w:themeTint="A6"/>
            </w:tcBorders>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34%</w:t>
            </w:r>
          </w:p>
        </w:tc>
        <w:tc>
          <w:tcPr>
            <w:tcW w:w="2020" w:type="dxa"/>
            <w:tcBorders>
              <w:top w:val="single" w:sz="4" w:space="0" w:color="595959" w:themeColor="text1" w:themeTint="A6"/>
            </w:tcBorders>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53%</w:t>
            </w:r>
          </w:p>
        </w:tc>
        <w:tc>
          <w:tcPr>
            <w:tcW w:w="2020" w:type="dxa"/>
            <w:tcBorders>
              <w:top w:val="single" w:sz="4" w:space="0" w:color="595959" w:themeColor="text1" w:themeTint="A6"/>
            </w:tcBorders>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12%</w:t>
            </w:r>
          </w:p>
        </w:tc>
      </w:tr>
      <w:tr w:rsidR="00F51276" w:rsidRPr="00F3531B" w:rsidTr="00920356">
        <w:trPr>
          <w:cantSplit/>
          <w:trHeight w:val="227"/>
          <w:jc w:val="center"/>
        </w:trPr>
        <w:tc>
          <w:tcPr>
            <w:tcW w:w="2019" w:type="dxa"/>
            <w:noWrap/>
            <w:hideMark/>
          </w:tcPr>
          <w:p w:rsidR="00F51276" w:rsidRPr="00E33EAE" w:rsidRDefault="00F51276" w:rsidP="00920356">
            <w:pPr>
              <w:tabs>
                <w:tab w:val="left" w:pos="1162"/>
              </w:tabs>
              <w:spacing w:before="80" w:after="80"/>
              <w:rPr>
                <w:rFonts w:ascii="Arial" w:hAnsi="Arial" w:cs="Arial"/>
                <w:color w:val="000000"/>
                <w:sz w:val="18"/>
                <w:szCs w:val="20"/>
              </w:rPr>
            </w:pPr>
            <w:r w:rsidRPr="00E33EAE">
              <w:rPr>
                <w:rFonts w:ascii="Arial" w:hAnsi="Arial" w:cs="Arial"/>
                <w:color w:val="000000"/>
                <w:sz w:val="18"/>
                <w:szCs w:val="20"/>
              </w:rPr>
              <w:t>Patient Days</w:t>
            </w:r>
          </w:p>
        </w:tc>
        <w:tc>
          <w:tcPr>
            <w:tcW w:w="2020" w:type="dxa"/>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14%</w:t>
            </w:r>
          </w:p>
        </w:tc>
        <w:tc>
          <w:tcPr>
            <w:tcW w:w="2020" w:type="dxa"/>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32%</w:t>
            </w:r>
          </w:p>
        </w:tc>
        <w:tc>
          <w:tcPr>
            <w:tcW w:w="2020" w:type="dxa"/>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53%</w:t>
            </w:r>
          </w:p>
        </w:tc>
      </w:tr>
      <w:tr w:rsidR="00F51276" w:rsidRPr="00F3531B" w:rsidTr="00920356">
        <w:trPr>
          <w:cantSplit/>
          <w:trHeight w:val="227"/>
          <w:jc w:val="center"/>
        </w:trPr>
        <w:tc>
          <w:tcPr>
            <w:tcW w:w="2019" w:type="dxa"/>
            <w:noWrap/>
            <w:hideMark/>
          </w:tcPr>
          <w:p w:rsidR="00F51276" w:rsidRPr="00E33EAE" w:rsidRDefault="00F51276" w:rsidP="00920356">
            <w:pPr>
              <w:tabs>
                <w:tab w:val="left" w:pos="1162"/>
              </w:tabs>
              <w:spacing w:before="80" w:after="80"/>
              <w:rPr>
                <w:rFonts w:ascii="Arial" w:hAnsi="Arial" w:cs="Arial"/>
                <w:color w:val="000000"/>
                <w:sz w:val="18"/>
                <w:szCs w:val="20"/>
              </w:rPr>
            </w:pPr>
            <w:r w:rsidRPr="00E33EAE">
              <w:rPr>
                <w:rFonts w:ascii="Arial" w:hAnsi="Arial" w:cs="Arial"/>
                <w:color w:val="000000"/>
                <w:sz w:val="18"/>
                <w:szCs w:val="20"/>
              </w:rPr>
              <w:t>Actual Costs</w:t>
            </w:r>
          </w:p>
        </w:tc>
        <w:tc>
          <w:tcPr>
            <w:tcW w:w="2020" w:type="dxa"/>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17%</w:t>
            </w:r>
          </w:p>
        </w:tc>
        <w:tc>
          <w:tcPr>
            <w:tcW w:w="2020" w:type="dxa"/>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33%</w:t>
            </w:r>
          </w:p>
        </w:tc>
        <w:tc>
          <w:tcPr>
            <w:tcW w:w="2020" w:type="dxa"/>
            <w:noWrap/>
            <w:vAlign w:val="bottom"/>
            <w:hideMark/>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50%</w:t>
            </w:r>
          </w:p>
        </w:tc>
      </w:tr>
    </w:tbl>
    <w:p w:rsidR="00F51276" w:rsidRPr="00601A6A" w:rsidRDefault="00F51276" w:rsidP="00F51276">
      <w:pPr>
        <w:tabs>
          <w:tab w:val="left" w:pos="1162"/>
        </w:tabs>
        <w:spacing w:before="80"/>
        <w:ind w:left="567"/>
        <w:rPr>
          <w:rFonts w:cs="Arial"/>
          <w:i/>
          <w:sz w:val="20"/>
          <w:szCs w:val="20"/>
        </w:rPr>
      </w:pPr>
      <w:r w:rsidRPr="00601A6A">
        <w:rPr>
          <w:rFonts w:cs="Arial"/>
          <w:b/>
          <w:i/>
          <w:sz w:val="20"/>
          <w:szCs w:val="20"/>
        </w:rPr>
        <w:t>Note:</w:t>
      </w:r>
      <w:r w:rsidRPr="00601A6A">
        <w:rPr>
          <w:rFonts w:cs="Arial"/>
          <w:i/>
          <w:sz w:val="20"/>
          <w:szCs w:val="20"/>
        </w:rPr>
        <w:t xml:space="preserve"> Same-day payment separation category has been combined with the short-stay outlier category.</w:t>
      </w:r>
    </w:p>
    <w:p w:rsidR="00F51276" w:rsidRPr="00F3531B" w:rsidRDefault="00F51276" w:rsidP="00F51276">
      <w:pPr>
        <w:tabs>
          <w:tab w:val="left" w:pos="1162"/>
        </w:tabs>
        <w:rPr>
          <w:rFonts w:cs="Arial"/>
        </w:rPr>
      </w:pPr>
      <w:r>
        <w:rPr>
          <w:rFonts w:cs="Arial"/>
        </w:rPr>
        <w:t xml:space="preserve">Table </w:t>
      </w:r>
      <w:r w:rsidR="00693CC5">
        <w:rPr>
          <w:rFonts w:cs="Arial"/>
        </w:rPr>
        <w:t>9</w:t>
      </w:r>
      <w:r w:rsidR="00693CC5" w:rsidRPr="00F3531B">
        <w:rPr>
          <w:rFonts w:cs="Arial"/>
        </w:rPr>
        <w:t xml:space="preserve"> </w:t>
      </w:r>
      <w:r w:rsidRPr="00F3531B">
        <w:rPr>
          <w:rFonts w:cs="Arial"/>
        </w:rPr>
        <w:t>shows the corresponding distribution of activity and costs across the medical AR</w:t>
      </w:r>
      <w:r>
        <w:rPr>
          <w:rFonts w:cs="Arial"/>
        </w:rPr>
        <w:noBreakHyphen/>
      </w:r>
      <w:r w:rsidRPr="00F3531B">
        <w:rPr>
          <w:rFonts w:cs="Arial"/>
        </w:rPr>
        <w:t>DRGs</w:t>
      </w:r>
      <w:r w:rsidR="00BF4B2B">
        <w:rPr>
          <w:rFonts w:cs="Arial"/>
        </w:rPr>
        <w:t>.</w:t>
      </w:r>
    </w:p>
    <w:p w:rsidR="00F51276" w:rsidRPr="00F3531B" w:rsidRDefault="00F51276">
      <w:pPr>
        <w:pStyle w:val="table"/>
      </w:pPr>
      <w:bookmarkStart w:id="252" w:name="_Ref342308771"/>
      <w:r w:rsidRPr="0057715E">
        <w:t xml:space="preserve">Table </w:t>
      </w:r>
      <w:bookmarkEnd w:id="252"/>
      <w:r w:rsidR="00693CC5">
        <w:t>9</w:t>
      </w:r>
      <w:r w:rsidRPr="0057715E">
        <w:t>: Medical AR-DRGs excluding MDC 19 &amp; 20 – activity and cost distribution</w:t>
      </w:r>
    </w:p>
    <w:tbl>
      <w:tblPr>
        <w:tblStyle w:val="TableGrid"/>
        <w:tblW w:w="8079" w:type="dxa"/>
        <w:jc w:val="center"/>
        <w:tblLayout w:type="fixed"/>
        <w:tblLook w:val="04A0" w:firstRow="1" w:lastRow="0" w:firstColumn="1" w:lastColumn="0" w:noHBand="0" w:noVBand="1"/>
        <w:tblDescription w:val="A summary of table 18 is outlined in the text prior to this table."/>
      </w:tblPr>
      <w:tblGrid>
        <w:gridCol w:w="2019"/>
        <w:gridCol w:w="2020"/>
        <w:gridCol w:w="2020"/>
        <w:gridCol w:w="2020"/>
      </w:tblGrid>
      <w:tr w:rsidR="00F51276" w:rsidRPr="00F3531B" w:rsidTr="00920356">
        <w:trPr>
          <w:cantSplit/>
          <w:trHeight w:val="300"/>
          <w:tblHeader/>
          <w:jc w:val="center"/>
        </w:trPr>
        <w:tc>
          <w:tcPr>
            <w:tcW w:w="2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51276" w:rsidRPr="00601A6A" w:rsidRDefault="00F51276" w:rsidP="00920356">
            <w:pPr>
              <w:tabs>
                <w:tab w:val="left" w:pos="1162"/>
              </w:tabs>
              <w:spacing w:before="80" w:after="80"/>
              <w:rPr>
                <w:rFonts w:cs="Arial"/>
                <w:color w:val="000000"/>
                <w:sz w:val="20"/>
                <w:szCs w:val="20"/>
              </w:rPr>
            </w:pPr>
          </w:p>
        </w:tc>
        <w:tc>
          <w:tcPr>
            <w:tcW w:w="2020"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BFBFBF" w:themeFill="background1" w:themeFillShade="BF"/>
            <w:noWrap/>
            <w:hideMark/>
          </w:tcPr>
          <w:p w:rsidR="00F51276" w:rsidRPr="00601A6A" w:rsidRDefault="00F51276" w:rsidP="00920356">
            <w:pPr>
              <w:tabs>
                <w:tab w:val="left" w:pos="1162"/>
              </w:tabs>
              <w:spacing w:before="80" w:after="80"/>
              <w:jc w:val="center"/>
              <w:rPr>
                <w:rFonts w:cs="Arial"/>
                <w:b/>
                <w:bCs/>
                <w:color w:val="000000"/>
                <w:sz w:val="20"/>
                <w:szCs w:val="20"/>
              </w:rPr>
            </w:pPr>
            <w:r w:rsidRPr="00601A6A">
              <w:rPr>
                <w:rFonts w:cs="Arial"/>
                <w:b/>
                <w:bCs/>
                <w:color w:val="000000"/>
                <w:sz w:val="20"/>
                <w:szCs w:val="20"/>
              </w:rPr>
              <w:t>Short-Stay Outlier</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noWrap/>
            <w:hideMark/>
          </w:tcPr>
          <w:p w:rsidR="00F51276" w:rsidRPr="00601A6A" w:rsidRDefault="00F51276" w:rsidP="00920356">
            <w:pPr>
              <w:tabs>
                <w:tab w:val="left" w:pos="1162"/>
              </w:tabs>
              <w:spacing w:before="80" w:after="80"/>
              <w:jc w:val="center"/>
              <w:rPr>
                <w:rFonts w:cs="Arial"/>
                <w:b/>
                <w:bCs/>
                <w:color w:val="000000"/>
                <w:sz w:val="20"/>
                <w:szCs w:val="20"/>
              </w:rPr>
            </w:pPr>
            <w:r w:rsidRPr="00601A6A">
              <w:rPr>
                <w:rFonts w:cs="Arial"/>
                <w:b/>
                <w:bCs/>
                <w:color w:val="000000"/>
                <w:sz w:val="20"/>
                <w:szCs w:val="20"/>
              </w:rPr>
              <w:t>Inlier</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FBFBF" w:themeFill="background1" w:themeFillShade="BF"/>
            <w:noWrap/>
            <w:hideMark/>
          </w:tcPr>
          <w:p w:rsidR="00F51276" w:rsidRPr="00601A6A" w:rsidRDefault="00F51276" w:rsidP="00920356">
            <w:pPr>
              <w:tabs>
                <w:tab w:val="left" w:pos="1162"/>
              </w:tabs>
              <w:spacing w:before="80" w:after="80"/>
              <w:jc w:val="center"/>
              <w:rPr>
                <w:rFonts w:cs="Arial"/>
                <w:b/>
                <w:bCs/>
                <w:color w:val="000000"/>
                <w:sz w:val="20"/>
                <w:szCs w:val="20"/>
              </w:rPr>
            </w:pPr>
            <w:r w:rsidRPr="00601A6A">
              <w:rPr>
                <w:rFonts w:cs="Arial"/>
                <w:b/>
                <w:bCs/>
                <w:color w:val="000000"/>
                <w:sz w:val="20"/>
                <w:szCs w:val="20"/>
              </w:rPr>
              <w:t>Long-Stay Outlier</w:t>
            </w:r>
          </w:p>
        </w:tc>
      </w:tr>
      <w:tr w:rsidR="00F51276" w:rsidRPr="00F3531B" w:rsidTr="00920356">
        <w:trPr>
          <w:cantSplit/>
          <w:trHeight w:val="300"/>
          <w:jc w:val="center"/>
        </w:trPr>
        <w:tc>
          <w:tcPr>
            <w:tcW w:w="2019"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noWrap/>
            <w:hideMark/>
          </w:tcPr>
          <w:p w:rsidR="00F51276" w:rsidRPr="00E33EAE" w:rsidRDefault="00F51276" w:rsidP="00920356">
            <w:pPr>
              <w:tabs>
                <w:tab w:val="left" w:pos="1162"/>
              </w:tabs>
              <w:spacing w:before="80" w:after="80"/>
              <w:rPr>
                <w:rFonts w:ascii="Arial" w:hAnsi="Arial" w:cs="Arial"/>
                <w:color w:val="000000"/>
                <w:sz w:val="18"/>
                <w:szCs w:val="20"/>
              </w:rPr>
            </w:pPr>
            <w:r w:rsidRPr="00E33EAE">
              <w:rPr>
                <w:rFonts w:ascii="Arial" w:hAnsi="Arial" w:cs="Arial"/>
                <w:color w:val="000000"/>
                <w:sz w:val="18"/>
                <w:szCs w:val="20"/>
              </w:rPr>
              <w:t>Separations</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240C61" w:rsidP="00920356">
            <w:pPr>
              <w:tabs>
                <w:tab w:val="left" w:pos="1162"/>
              </w:tabs>
              <w:spacing w:before="80" w:after="80"/>
              <w:jc w:val="center"/>
              <w:rPr>
                <w:rFonts w:ascii="Arial" w:hAnsi="Arial" w:cs="Arial"/>
                <w:color w:val="000000"/>
                <w:sz w:val="18"/>
                <w:szCs w:val="20"/>
                <w:highlight w:val="yellow"/>
              </w:rPr>
            </w:pPr>
            <w:r w:rsidRPr="00E33EAE">
              <w:rPr>
                <w:rFonts w:ascii="Arial" w:hAnsi="Arial" w:cs="Arial"/>
                <w:color w:val="000000"/>
                <w:sz w:val="18"/>
              </w:rPr>
              <w:t>10</w:t>
            </w:r>
            <w:r w:rsidR="00F51276" w:rsidRPr="00E33EAE">
              <w:rPr>
                <w:rFonts w:ascii="Arial" w:hAnsi="Arial" w:cs="Arial"/>
                <w:color w:val="000000"/>
                <w:sz w:val="18"/>
              </w:rPr>
              <w:t>%</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240C61" w:rsidP="00920356">
            <w:pPr>
              <w:tabs>
                <w:tab w:val="left" w:pos="1162"/>
              </w:tabs>
              <w:spacing w:before="80" w:after="80"/>
              <w:jc w:val="center"/>
              <w:rPr>
                <w:rFonts w:ascii="Arial" w:hAnsi="Arial" w:cs="Arial"/>
                <w:color w:val="000000"/>
                <w:sz w:val="18"/>
                <w:szCs w:val="20"/>
                <w:highlight w:val="yellow"/>
              </w:rPr>
            </w:pPr>
            <w:r w:rsidRPr="00E33EAE">
              <w:rPr>
                <w:rFonts w:ascii="Arial" w:hAnsi="Arial" w:cs="Arial"/>
                <w:color w:val="000000"/>
                <w:sz w:val="18"/>
              </w:rPr>
              <w:t>88</w:t>
            </w:r>
            <w:r w:rsidR="00F51276" w:rsidRPr="00E33EAE">
              <w:rPr>
                <w:rFonts w:ascii="Arial" w:hAnsi="Arial" w:cs="Arial"/>
                <w:color w:val="000000"/>
                <w:sz w:val="18"/>
              </w:rPr>
              <w:t>%</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240C61" w:rsidP="00920356">
            <w:pPr>
              <w:tabs>
                <w:tab w:val="left" w:pos="1162"/>
              </w:tabs>
              <w:spacing w:before="80" w:after="80"/>
              <w:jc w:val="center"/>
              <w:rPr>
                <w:rFonts w:ascii="Arial" w:hAnsi="Arial" w:cs="Arial"/>
                <w:color w:val="000000"/>
                <w:sz w:val="18"/>
                <w:szCs w:val="20"/>
                <w:highlight w:val="yellow"/>
              </w:rPr>
            </w:pPr>
            <w:r w:rsidRPr="00E33EAE">
              <w:rPr>
                <w:rFonts w:ascii="Arial" w:hAnsi="Arial" w:cs="Arial"/>
                <w:color w:val="000000"/>
                <w:sz w:val="18"/>
              </w:rPr>
              <w:t>2</w:t>
            </w:r>
            <w:r w:rsidR="00F51276" w:rsidRPr="00E33EAE">
              <w:rPr>
                <w:rFonts w:ascii="Arial" w:hAnsi="Arial" w:cs="Arial"/>
                <w:color w:val="000000"/>
                <w:sz w:val="18"/>
              </w:rPr>
              <w:t>%</w:t>
            </w:r>
          </w:p>
        </w:tc>
      </w:tr>
      <w:tr w:rsidR="00F51276" w:rsidRPr="00F3531B" w:rsidTr="00920356">
        <w:trPr>
          <w:cantSplit/>
          <w:trHeight w:val="300"/>
          <w:jc w:val="center"/>
        </w:trPr>
        <w:tc>
          <w:tcPr>
            <w:tcW w:w="201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F51276" w:rsidRPr="00E33EAE" w:rsidRDefault="00F51276" w:rsidP="00920356">
            <w:pPr>
              <w:tabs>
                <w:tab w:val="left" w:pos="1162"/>
              </w:tabs>
              <w:spacing w:before="80" w:after="80"/>
              <w:rPr>
                <w:rFonts w:ascii="Arial" w:hAnsi="Arial" w:cs="Arial"/>
                <w:color w:val="000000"/>
                <w:sz w:val="18"/>
                <w:szCs w:val="20"/>
              </w:rPr>
            </w:pPr>
            <w:r w:rsidRPr="00E33EAE">
              <w:rPr>
                <w:rFonts w:ascii="Arial" w:hAnsi="Arial" w:cs="Arial"/>
                <w:color w:val="000000"/>
                <w:sz w:val="18"/>
                <w:szCs w:val="20"/>
              </w:rPr>
              <w:t>Patient Days</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240C61" w:rsidP="00920356">
            <w:pPr>
              <w:tabs>
                <w:tab w:val="left" w:pos="1162"/>
              </w:tabs>
              <w:spacing w:before="80" w:after="80"/>
              <w:jc w:val="center"/>
              <w:rPr>
                <w:rFonts w:ascii="Arial" w:hAnsi="Arial" w:cs="Arial"/>
                <w:color w:val="000000"/>
                <w:sz w:val="18"/>
                <w:szCs w:val="20"/>
                <w:highlight w:val="yellow"/>
              </w:rPr>
            </w:pPr>
            <w:r w:rsidRPr="00E33EAE">
              <w:rPr>
                <w:rFonts w:ascii="Arial" w:hAnsi="Arial" w:cs="Arial"/>
                <w:color w:val="000000"/>
                <w:sz w:val="18"/>
              </w:rPr>
              <w:t>5</w:t>
            </w:r>
            <w:r w:rsidR="00F51276" w:rsidRPr="00E33EAE">
              <w:rPr>
                <w:rFonts w:ascii="Arial" w:hAnsi="Arial" w:cs="Arial"/>
                <w:color w:val="000000"/>
                <w:sz w:val="18"/>
              </w:rPr>
              <w:t>%</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80%</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FE101E" w:rsidP="00FE101E">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15%</w:t>
            </w:r>
          </w:p>
        </w:tc>
      </w:tr>
      <w:tr w:rsidR="00F51276" w:rsidRPr="00F3531B" w:rsidTr="00920356">
        <w:trPr>
          <w:cantSplit/>
          <w:trHeight w:val="300"/>
          <w:jc w:val="center"/>
        </w:trPr>
        <w:tc>
          <w:tcPr>
            <w:tcW w:w="201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F51276" w:rsidRPr="00E33EAE" w:rsidRDefault="00F51276" w:rsidP="00920356">
            <w:pPr>
              <w:tabs>
                <w:tab w:val="left" w:pos="1162"/>
              </w:tabs>
              <w:spacing w:before="80" w:after="80"/>
              <w:rPr>
                <w:rFonts w:ascii="Arial" w:hAnsi="Arial" w:cs="Arial"/>
                <w:color w:val="000000"/>
                <w:sz w:val="18"/>
                <w:szCs w:val="20"/>
              </w:rPr>
            </w:pPr>
            <w:r w:rsidRPr="00E33EAE">
              <w:rPr>
                <w:rFonts w:ascii="Arial" w:hAnsi="Arial" w:cs="Arial"/>
                <w:color w:val="000000"/>
                <w:sz w:val="18"/>
                <w:szCs w:val="20"/>
              </w:rPr>
              <w:t>Actual Costs</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6%</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240C61" w:rsidP="00920356">
            <w:pPr>
              <w:tabs>
                <w:tab w:val="left" w:pos="1162"/>
              </w:tabs>
              <w:spacing w:before="80" w:after="80"/>
              <w:jc w:val="center"/>
              <w:rPr>
                <w:rFonts w:ascii="Arial" w:hAnsi="Arial" w:cs="Arial"/>
                <w:color w:val="000000"/>
                <w:sz w:val="18"/>
                <w:szCs w:val="20"/>
                <w:highlight w:val="yellow"/>
              </w:rPr>
            </w:pPr>
            <w:r w:rsidRPr="00E33EAE">
              <w:rPr>
                <w:rFonts w:ascii="Arial" w:hAnsi="Arial" w:cs="Arial"/>
                <w:color w:val="000000"/>
                <w:sz w:val="18"/>
              </w:rPr>
              <w:t>81</w:t>
            </w:r>
            <w:r w:rsidR="00F51276" w:rsidRPr="00E33EAE">
              <w:rPr>
                <w:rFonts w:ascii="Arial" w:hAnsi="Arial" w:cs="Arial"/>
                <w:color w:val="000000"/>
                <w:sz w:val="18"/>
              </w:rPr>
              <w:t>%</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tcPr>
          <w:p w:rsidR="00F51276" w:rsidRPr="00E33EAE" w:rsidRDefault="00FE101E" w:rsidP="00920356">
            <w:pPr>
              <w:tabs>
                <w:tab w:val="left" w:pos="1162"/>
              </w:tabs>
              <w:spacing w:before="80" w:after="80"/>
              <w:jc w:val="center"/>
              <w:rPr>
                <w:rFonts w:ascii="Arial" w:hAnsi="Arial" w:cs="Arial"/>
                <w:color w:val="000000"/>
                <w:sz w:val="18"/>
                <w:szCs w:val="20"/>
                <w:highlight w:val="yellow"/>
              </w:rPr>
            </w:pPr>
            <w:r>
              <w:rPr>
                <w:rFonts w:ascii="Arial" w:hAnsi="Arial" w:cs="Arial"/>
                <w:color w:val="000000"/>
                <w:sz w:val="18"/>
              </w:rPr>
              <w:t>12%</w:t>
            </w:r>
          </w:p>
        </w:tc>
      </w:tr>
    </w:tbl>
    <w:p w:rsidR="00F51276" w:rsidRPr="00601A6A" w:rsidRDefault="00F51276" w:rsidP="00F51276">
      <w:pPr>
        <w:tabs>
          <w:tab w:val="left" w:pos="1162"/>
        </w:tabs>
        <w:spacing w:before="80"/>
        <w:ind w:left="567"/>
        <w:rPr>
          <w:rFonts w:cs="Arial"/>
          <w:i/>
          <w:sz w:val="20"/>
          <w:szCs w:val="20"/>
        </w:rPr>
      </w:pPr>
      <w:r w:rsidRPr="00601A6A">
        <w:rPr>
          <w:rFonts w:cs="Arial"/>
          <w:b/>
          <w:i/>
          <w:sz w:val="20"/>
          <w:szCs w:val="20"/>
        </w:rPr>
        <w:t xml:space="preserve">Note: </w:t>
      </w:r>
      <w:r w:rsidRPr="00601A6A">
        <w:rPr>
          <w:rFonts w:cs="Arial"/>
          <w:i/>
          <w:sz w:val="20"/>
          <w:szCs w:val="20"/>
        </w:rPr>
        <w:t>Same-day payment separation category has been combined with the short-stay outlier category.</w:t>
      </w:r>
    </w:p>
    <w:p w:rsidR="00F51276" w:rsidRPr="00D130B9" w:rsidRDefault="00F51276" w:rsidP="00F51276">
      <w:pPr>
        <w:tabs>
          <w:tab w:val="left" w:pos="1162"/>
        </w:tabs>
        <w:rPr>
          <w:rFonts w:cs="Arial"/>
          <w:szCs w:val="20"/>
        </w:rPr>
      </w:pPr>
      <w:r>
        <w:t>A</w:t>
      </w:r>
      <w:r w:rsidRPr="00D130B9">
        <w:rPr>
          <w:rFonts w:cs="Arial"/>
          <w:szCs w:val="20"/>
        </w:rPr>
        <w:t xml:space="preserve">pplying the </w:t>
      </w:r>
      <w:r>
        <w:rPr>
          <w:rFonts w:cs="Arial"/>
          <w:szCs w:val="20"/>
        </w:rPr>
        <w:t>narrower</w:t>
      </w:r>
      <w:r w:rsidRPr="00D130B9">
        <w:rPr>
          <w:rFonts w:cs="Arial"/>
          <w:szCs w:val="20"/>
        </w:rPr>
        <w:t xml:space="preserve"> inlier bounds to MDCs 19 and 20 </w:t>
      </w:r>
      <w:r>
        <w:rPr>
          <w:rFonts w:cs="Arial"/>
          <w:szCs w:val="20"/>
        </w:rPr>
        <w:t xml:space="preserve">significantly </w:t>
      </w:r>
      <w:r w:rsidRPr="00D130B9">
        <w:rPr>
          <w:rFonts w:cs="Arial"/>
          <w:szCs w:val="20"/>
        </w:rPr>
        <w:t>improves the explanatory power of</w:t>
      </w:r>
      <w:r>
        <w:rPr>
          <w:rFonts w:cs="Arial"/>
          <w:szCs w:val="20"/>
        </w:rPr>
        <w:t xml:space="preserve"> the AR-DRG</w:t>
      </w:r>
      <w:r w:rsidRPr="00D130B9">
        <w:rPr>
          <w:rFonts w:cs="Arial"/>
          <w:szCs w:val="20"/>
        </w:rPr>
        <w:t xml:space="preserve"> </w:t>
      </w:r>
      <w:r>
        <w:rPr>
          <w:rFonts w:cs="Arial"/>
          <w:szCs w:val="20"/>
        </w:rPr>
        <w:t xml:space="preserve">inlier/outlier </w:t>
      </w:r>
      <w:r w:rsidRPr="00D130B9">
        <w:rPr>
          <w:rFonts w:cs="Arial"/>
          <w:szCs w:val="20"/>
        </w:rPr>
        <w:t xml:space="preserve">model for mental health patients to a level comparable to </w:t>
      </w:r>
      <w:r>
        <w:rPr>
          <w:rFonts w:cs="Arial"/>
          <w:szCs w:val="20"/>
        </w:rPr>
        <w:t>the model applied across all other activity</w:t>
      </w:r>
      <w:r w:rsidRPr="00D130B9">
        <w:rPr>
          <w:rFonts w:cs="Arial"/>
          <w:szCs w:val="20"/>
        </w:rPr>
        <w:t>.</w:t>
      </w:r>
    </w:p>
    <w:p w:rsidR="00F51276" w:rsidRDefault="00F51276" w:rsidP="00F51276">
      <w:pPr>
        <w:pStyle w:val="Heading3"/>
        <w:keepLines w:val="0"/>
        <w:numPr>
          <w:ilvl w:val="2"/>
          <w:numId w:val="64"/>
        </w:numPr>
        <w:tabs>
          <w:tab w:val="left" w:pos="1162"/>
        </w:tabs>
        <w:spacing w:before="240" w:after="120"/>
      </w:pPr>
      <w:bookmarkStart w:id="253" w:name="_Toc380754759"/>
      <w:bookmarkStart w:id="254" w:name="_Toc444528600"/>
      <w:r>
        <w:t>Cost parameters and adjustments</w:t>
      </w:r>
      <w:bookmarkEnd w:id="253"/>
      <w:bookmarkEnd w:id="254"/>
    </w:p>
    <w:p w:rsidR="00F51276" w:rsidRPr="00D130B9" w:rsidRDefault="00F51276" w:rsidP="00F51276">
      <w:pPr>
        <w:tabs>
          <w:tab w:val="left" w:pos="1162"/>
        </w:tabs>
        <w:rPr>
          <w:rFonts w:cs="Arial"/>
          <w:szCs w:val="20"/>
        </w:rPr>
      </w:pPr>
      <w:r w:rsidRPr="00D130B9">
        <w:rPr>
          <w:rFonts w:cs="Arial"/>
          <w:szCs w:val="20"/>
        </w:rPr>
        <w:t>The cost parameters of the</w:t>
      </w:r>
      <w:r>
        <w:rPr>
          <w:rFonts w:cs="Arial"/>
          <w:szCs w:val="20"/>
        </w:rPr>
        <w:t xml:space="preserve"> AR-DRG inlier/outlier model that apply </w:t>
      </w:r>
      <w:r w:rsidRPr="00D130B9">
        <w:rPr>
          <w:rFonts w:cs="Arial"/>
          <w:szCs w:val="20"/>
        </w:rPr>
        <w:t>to mental health patients are calculated in the same way as those for acute patients (see Section</w:t>
      </w:r>
      <w:r>
        <w:rPr>
          <w:rFonts w:cs="Arial"/>
          <w:szCs w:val="20"/>
        </w:rPr>
        <w:t xml:space="preserve">s </w:t>
      </w:r>
      <w:r>
        <w:rPr>
          <w:rFonts w:cs="Arial"/>
          <w:szCs w:val="20"/>
        </w:rPr>
        <w:fldChar w:fldCharType="begin"/>
      </w:r>
      <w:r>
        <w:rPr>
          <w:rFonts w:cs="Arial"/>
          <w:szCs w:val="20"/>
        </w:rPr>
        <w:instrText xml:space="preserve"> REF _Ref342387300 \r \h  \* MERGEFORMAT </w:instrText>
      </w:r>
      <w:r>
        <w:rPr>
          <w:rFonts w:cs="Arial"/>
          <w:szCs w:val="20"/>
        </w:rPr>
      </w:r>
      <w:r>
        <w:rPr>
          <w:rFonts w:cs="Arial"/>
          <w:szCs w:val="20"/>
        </w:rPr>
        <w:fldChar w:fldCharType="separate"/>
      </w:r>
      <w:r w:rsidR="0027530C">
        <w:rPr>
          <w:rFonts w:cs="Arial"/>
          <w:szCs w:val="20"/>
        </w:rPr>
        <w:t>2.2.3</w:t>
      </w:r>
      <w:r>
        <w:rPr>
          <w:rFonts w:cs="Arial"/>
          <w:szCs w:val="20"/>
        </w:rPr>
        <w:fldChar w:fldCharType="end"/>
      </w:r>
      <w:r>
        <w:rPr>
          <w:rFonts w:cs="Arial"/>
          <w:szCs w:val="20"/>
        </w:rPr>
        <w:t xml:space="preserve"> to </w:t>
      </w:r>
      <w:r>
        <w:rPr>
          <w:rFonts w:cs="Arial"/>
          <w:szCs w:val="20"/>
        </w:rPr>
        <w:fldChar w:fldCharType="begin"/>
      </w:r>
      <w:r>
        <w:rPr>
          <w:rFonts w:cs="Arial"/>
          <w:szCs w:val="20"/>
        </w:rPr>
        <w:instrText xml:space="preserve"> REF _Ref342387309 \r \h  \* MERGEFORMAT </w:instrText>
      </w:r>
      <w:r>
        <w:rPr>
          <w:rFonts w:cs="Arial"/>
          <w:szCs w:val="20"/>
        </w:rPr>
      </w:r>
      <w:r>
        <w:rPr>
          <w:rFonts w:cs="Arial"/>
          <w:szCs w:val="20"/>
        </w:rPr>
        <w:fldChar w:fldCharType="separate"/>
      </w:r>
      <w:r w:rsidR="0027530C">
        <w:rPr>
          <w:rFonts w:cs="Arial"/>
          <w:szCs w:val="20"/>
        </w:rPr>
        <w:t>2.2.6</w:t>
      </w:r>
      <w:r>
        <w:rPr>
          <w:rFonts w:cs="Arial"/>
          <w:szCs w:val="20"/>
        </w:rPr>
        <w:fldChar w:fldCharType="end"/>
      </w:r>
      <w:r w:rsidRPr="00D130B9">
        <w:rPr>
          <w:rFonts w:cs="Arial"/>
          <w:szCs w:val="20"/>
        </w:rPr>
        <w:t>)</w:t>
      </w:r>
      <w:r>
        <w:rPr>
          <w:rFonts w:cs="Arial"/>
          <w:szCs w:val="20"/>
        </w:rPr>
        <w:t xml:space="preserve">. </w:t>
      </w:r>
      <w:r w:rsidRPr="00D130B9">
        <w:rPr>
          <w:rFonts w:cs="Arial"/>
          <w:szCs w:val="20"/>
        </w:rPr>
        <w:t xml:space="preserve">The </w:t>
      </w:r>
      <w:r>
        <w:rPr>
          <w:rFonts w:cs="Arial"/>
          <w:szCs w:val="20"/>
        </w:rPr>
        <w:t xml:space="preserve">resulting cost </w:t>
      </w:r>
      <w:r w:rsidRPr="00D130B9">
        <w:rPr>
          <w:rFonts w:cs="Arial"/>
          <w:szCs w:val="20"/>
        </w:rPr>
        <w:t>parameters for mental health patients differ to the extent that MDCs 19 and 20 use L1.5H1.5 to define the inlier bounds.</w:t>
      </w:r>
    </w:p>
    <w:p w:rsidR="00F51276" w:rsidRPr="00D130B9" w:rsidRDefault="00F51276" w:rsidP="00F51276">
      <w:pPr>
        <w:tabs>
          <w:tab w:val="left" w:pos="1162"/>
        </w:tabs>
        <w:rPr>
          <w:rFonts w:cs="Arial"/>
          <w:szCs w:val="20"/>
        </w:rPr>
      </w:pPr>
      <w:r w:rsidRPr="00D130B9">
        <w:rPr>
          <w:rFonts w:cs="Arial"/>
          <w:szCs w:val="20"/>
        </w:rPr>
        <w:t xml:space="preserve">The calculation and application of the adjustments are broadly similar </w:t>
      </w:r>
      <w:r>
        <w:rPr>
          <w:rFonts w:cs="Arial"/>
          <w:szCs w:val="20"/>
        </w:rPr>
        <w:t xml:space="preserve">to the acute model, with </w:t>
      </w:r>
      <w:r w:rsidRPr="00D130B9">
        <w:rPr>
          <w:rFonts w:cs="Arial"/>
          <w:szCs w:val="20"/>
        </w:rPr>
        <w:t>a number of important differences</w:t>
      </w:r>
      <w:r>
        <w:rPr>
          <w:rFonts w:cs="Arial"/>
          <w:szCs w:val="20"/>
        </w:rPr>
        <w:t>. E</w:t>
      </w:r>
      <w:r w:rsidRPr="00D130B9">
        <w:rPr>
          <w:rFonts w:cs="Arial"/>
          <w:szCs w:val="20"/>
        </w:rPr>
        <w:t xml:space="preserve">mpirical evidence was analysed for a number of </w:t>
      </w:r>
      <w:r>
        <w:rPr>
          <w:rFonts w:cs="Arial"/>
          <w:szCs w:val="20"/>
        </w:rPr>
        <w:t xml:space="preserve">mental health specific </w:t>
      </w:r>
      <w:r w:rsidRPr="00D130B9">
        <w:rPr>
          <w:rFonts w:cs="Arial"/>
          <w:szCs w:val="20"/>
        </w:rPr>
        <w:t xml:space="preserve">adjustments on the advice of the </w:t>
      </w:r>
      <w:r>
        <w:rPr>
          <w:rFonts w:cs="Arial"/>
          <w:szCs w:val="20"/>
        </w:rPr>
        <w:t xml:space="preserve">IHPA </w:t>
      </w:r>
      <w:r w:rsidRPr="00D130B9">
        <w:rPr>
          <w:rFonts w:cs="Arial"/>
          <w:szCs w:val="20"/>
        </w:rPr>
        <w:t>Mental Health Working Group.</w:t>
      </w:r>
      <w:r>
        <w:rPr>
          <w:rFonts w:cs="Arial"/>
          <w:szCs w:val="20"/>
        </w:rPr>
        <w:t xml:space="preserve"> The cost analysis was undertaken in preparation for NEP15 and the age groups have been modified from those used in NEP14.</w:t>
      </w:r>
      <w:r w:rsidR="00561236">
        <w:rPr>
          <w:rFonts w:cs="Arial"/>
          <w:szCs w:val="20"/>
        </w:rPr>
        <w:t xml:space="preserve">  The age groups adopted in NEP15 have been </w:t>
      </w:r>
      <w:r w:rsidR="00A019D4">
        <w:rPr>
          <w:rFonts w:cs="Arial"/>
          <w:szCs w:val="20"/>
        </w:rPr>
        <w:t>used</w:t>
      </w:r>
      <w:r w:rsidR="00561236">
        <w:rPr>
          <w:rFonts w:cs="Arial"/>
          <w:szCs w:val="20"/>
        </w:rPr>
        <w:t xml:space="preserve"> in NEP16.  </w:t>
      </w:r>
    </w:p>
    <w:p w:rsidR="00F51276" w:rsidRPr="00D130B9" w:rsidRDefault="00F51276" w:rsidP="00F51276">
      <w:pPr>
        <w:tabs>
          <w:tab w:val="left" w:pos="1162"/>
        </w:tabs>
        <w:rPr>
          <w:rFonts w:cs="Arial"/>
          <w:szCs w:val="20"/>
        </w:rPr>
      </w:pPr>
      <w:r w:rsidRPr="00D130B9">
        <w:rPr>
          <w:rFonts w:cs="Arial"/>
          <w:szCs w:val="20"/>
        </w:rPr>
        <w:t>The different adjustments for mental</w:t>
      </w:r>
      <w:r>
        <w:rPr>
          <w:rFonts w:cs="Arial"/>
          <w:szCs w:val="20"/>
        </w:rPr>
        <w:t xml:space="preserve"> health patients are as follows:</w:t>
      </w:r>
    </w:p>
    <w:p w:rsidR="00F51276" w:rsidRPr="00D130B9" w:rsidRDefault="00F51276" w:rsidP="00F51276">
      <w:pPr>
        <w:pStyle w:val="ListParagraph"/>
        <w:numPr>
          <w:ilvl w:val="0"/>
          <w:numId w:val="30"/>
        </w:numPr>
        <w:tabs>
          <w:tab w:val="left" w:pos="1162"/>
        </w:tabs>
        <w:ind w:left="714" w:hanging="357"/>
        <w:rPr>
          <w:rFonts w:cs="Arial"/>
          <w:szCs w:val="20"/>
        </w:rPr>
      </w:pPr>
      <w:r w:rsidRPr="00D130B9">
        <w:rPr>
          <w:rFonts w:cs="Arial"/>
          <w:szCs w:val="20"/>
        </w:rPr>
        <w:t>Patients with</w:t>
      </w:r>
      <w:r>
        <w:rPr>
          <w:rFonts w:cs="Arial"/>
          <w:szCs w:val="20"/>
        </w:rPr>
        <w:t xml:space="preserve"> registered</w:t>
      </w:r>
      <w:r w:rsidRPr="00D130B9">
        <w:rPr>
          <w:rFonts w:cs="Arial"/>
          <w:szCs w:val="20"/>
        </w:rPr>
        <w:t xml:space="preserve"> psychiatric care days </w:t>
      </w:r>
      <w:r>
        <w:rPr>
          <w:rFonts w:cs="Arial"/>
          <w:szCs w:val="20"/>
        </w:rPr>
        <w:t>are</w:t>
      </w:r>
      <w:r w:rsidRPr="00D130B9">
        <w:rPr>
          <w:rFonts w:cs="Arial"/>
          <w:szCs w:val="20"/>
        </w:rPr>
        <w:t xml:space="preserve"> identified and broken into five age groups</w:t>
      </w:r>
      <w:r>
        <w:rPr>
          <w:rFonts w:cs="Arial"/>
          <w:szCs w:val="20"/>
        </w:rPr>
        <w:t>, with the following two groups exhibiting significantly higher costs making them</w:t>
      </w:r>
      <w:r>
        <w:t xml:space="preserve"> </w:t>
      </w:r>
      <w:r w:rsidRPr="00C36F8A">
        <w:rPr>
          <w:rFonts w:cs="Arial"/>
          <w:szCs w:val="20"/>
        </w:rPr>
        <w:t>eligible for adjustment</w:t>
      </w:r>
      <w:r w:rsidRPr="00D130B9">
        <w:rPr>
          <w:rFonts w:cs="Arial"/>
          <w:szCs w:val="20"/>
        </w:rPr>
        <w:t>:</w:t>
      </w:r>
    </w:p>
    <w:p w:rsidR="00F51276" w:rsidRDefault="00F51276" w:rsidP="00F51276">
      <w:pPr>
        <w:pStyle w:val="ListParagraph"/>
        <w:numPr>
          <w:ilvl w:val="1"/>
          <w:numId w:val="55"/>
        </w:numPr>
        <w:tabs>
          <w:tab w:val="left" w:pos="1162"/>
        </w:tabs>
        <w:spacing w:after="0"/>
        <w:ind w:left="1434" w:hanging="357"/>
        <w:rPr>
          <w:rFonts w:cs="Arial"/>
          <w:szCs w:val="20"/>
        </w:rPr>
      </w:pPr>
      <w:r w:rsidRPr="001E6E34">
        <w:rPr>
          <w:rFonts w:cs="Arial"/>
          <w:szCs w:val="20"/>
        </w:rPr>
        <w:t>Less than or equal to 17 years</w:t>
      </w:r>
      <w:r>
        <w:rPr>
          <w:rFonts w:cs="Arial"/>
          <w:szCs w:val="20"/>
        </w:rPr>
        <w:t>; and</w:t>
      </w:r>
    </w:p>
    <w:p w:rsidR="00F51276" w:rsidRPr="001E6E34" w:rsidRDefault="00F51276" w:rsidP="00F51276">
      <w:pPr>
        <w:pStyle w:val="ListParagraph"/>
        <w:numPr>
          <w:ilvl w:val="1"/>
          <w:numId w:val="55"/>
        </w:numPr>
        <w:tabs>
          <w:tab w:val="left" w:pos="1162"/>
        </w:tabs>
        <w:spacing w:after="0"/>
        <w:ind w:left="1434" w:hanging="357"/>
        <w:rPr>
          <w:rFonts w:cs="Arial"/>
          <w:szCs w:val="20"/>
        </w:rPr>
      </w:pPr>
      <w:r w:rsidRPr="001E6E34">
        <w:rPr>
          <w:rFonts w:cs="Arial"/>
          <w:szCs w:val="20"/>
        </w:rPr>
        <w:t xml:space="preserve">Greater than </w:t>
      </w:r>
      <w:r>
        <w:rPr>
          <w:rFonts w:cs="Arial"/>
          <w:szCs w:val="20"/>
        </w:rPr>
        <w:t>17</w:t>
      </w:r>
      <w:r w:rsidRPr="001E6E34">
        <w:rPr>
          <w:rFonts w:cs="Arial"/>
          <w:szCs w:val="20"/>
        </w:rPr>
        <w:t xml:space="preserve"> years</w:t>
      </w:r>
      <w:r>
        <w:rPr>
          <w:rFonts w:cs="Arial"/>
          <w:szCs w:val="20"/>
        </w:rPr>
        <w:t xml:space="preserve"> and not in MDCs 19 and 20. </w:t>
      </w:r>
    </w:p>
    <w:p w:rsidR="00F51276" w:rsidRPr="00D130B9" w:rsidRDefault="00F51276" w:rsidP="00F51276">
      <w:pPr>
        <w:pStyle w:val="ListParagraph"/>
        <w:numPr>
          <w:ilvl w:val="0"/>
          <w:numId w:val="30"/>
        </w:numPr>
        <w:tabs>
          <w:tab w:val="left" w:pos="1162"/>
        </w:tabs>
        <w:spacing w:before="120"/>
        <w:ind w:left="714" w:hanging="357"/>
        <w:rPr>
          <w:rFonts w:cs="Arial"/>
          <w:szCs w:val="20"/>
        </w:rPr>
      </w:pPr>
      <w:r w:rsidRPr="00D130B9">
        <w:rPr>
          <w:rFonts w:cs="Arial"/>
          <w:szCs w:val="20"/>
        </w:rPr>
        <w:t xml:space="preserve">Patients </w:t>
      </w:r>
      <w:r w:rsidR="003F3455">
        <w:rPr>
          <w:rFonts w:cs="Arial"/>
          <w:szCs w:val="20"/>
        </w:rPr>
        <w:t>with age less than or equal to</w:t>
      </w:r>
      <w:r w:rsidRPr="00D130B9">
        <w:rPr>
          <w:rFonts w:cs="Arial"/>
          <w:szCs w:val="20"/>
        </w:rPr>
        <w:t xml:space="preserve"> 17 years</w:t>
      </w:r>
      <w:r>
        <w:rPr>
          <w:rFonts w:cs="Arial"/>
          <w:szCs w:val="20"/>
        </w:rPr>
        <w:t xml:space="preserve"> with registered psychiatric care days are</w:t>
      </w:r>
      <w:r w:rsidRPr="00D130B9">
        <w:rPr>
          <w:rFonts w:cs="Arial"/>
          <w:szCs w:val="20"/>
        </w:rPr>
        <w:t xml:space="preserve"> </w:t>
      </w:r>
      <w:r>
        <w:rPr>
          <w:rFonts w:cs="Arial"/>
          <w:szCs w:val="20"/>
        </w:rPr>
        <w:t xml:space="preserve">further </w:t>
      </w:r>
      <w:r w:rsidRPr="00D130B9">
        <w:rPr>
          <w:rFonts w:cs="Arial"/>
          <w:szCs w:val="20"/>
        </w:rPr>
        <w:t xml:space="preserve">divided into </w:t>
      </w:r>
      <w:r>
        <w:rPr>
          <w:rFonts w:cs="Arial"/>
          <w:szCs w:val="20"/>
        </w:rPr>
        <w:t xml:space="preserve">two groups, </w:t>
      </w:r>
      <w:r w:rsidRPr="00D130B9">
        <w:rPr>
          <w:rFonts w:cs="Arial"/>
          <w:szCs w:val="20"/>
        </w:rPr>
        <w:t xml:space="preserve">those that </w:t>
      </w:r>
      <w:r>
        <w:rPr>
          <w:rFonts w:cs="Arial"/>
          <w:szCs w:val="20"/>
        </w:rPr>
        <w:t xml:space="preserve">have </w:t>
      </w:r>
      <w:r w:rsidRPr="00D130B9">
        <w:rPr>
          <w:rFonts w:cs="Arial"/>
          <w:szCs w:val="20"/>
        </w:rPr>
        <w:t xml:space="preserve">received care in </w:t>
      </w:r>
      <w:r>
        <w:rPr>
          <w:rFonts w:cs="Arial"/>
          <w:szCs w:val="20"/>
        </w:rPr>
        <w:t xml:space="preserve">one of </w:t>
      </w:r>
      <w:r w:rsidRPr="00D130B9">
        <w:rPr>
          <w:rFonts w:cs="Arial"/>
          <w:szCs w:val="20"/>
        </w:rPr>
        <w:t xml:space="preserve">the </w:t>
      </w:r>
      <w:r>
        <w:rPr>
          <w:rFonts w:cs="Arial"/>
          <w:szCs w:val="20"/>
        </w:rPr>
        <w:t>ten</w:t>
      </w:r>
      <w:r w:rsidRPr="00D130B9">
        <w:rPr>
          <w:rFonts w:cs="Arial"/>
          <w:szCs w:val="20"/>
        </w:rPr>
        <w:t xml:space="preserve"> specialist paediatric hospitals and </w:t>
      </w:r>
      <w:r>
        <w:rPr>
          <w:rFonts w:cs="Arial"/>
          <w:szCs w:val="20"/>
        </w:rPr>
        <w:t>those that have not</w:t>
      </w:r>
      <w:r w:rsidRPr="00D130B9">
        <w:rPr>
          <w:rFonts w:cs="Arial"/>
          <w:szCs w:val="20"/>
        </w:rPr>
        <w:t>.</w:t>
      </w:r>
    </w:p>
    <w:p w:rsidR="00F51276" w:rsidRPr="00D130B9" w:rsidRDefault="00F51276" w:rsidP="00F51276">
      <w:pPr>
        <w:pStyle w:val="ListParagraph"/>
        <w:numPr>
          <w:ilvl w:val="0"/>
          <w:numId w:val="30"/>
        </w:numPr>
        <w:tabs>
          <w:tab w:val="left" w:pos="1162"/>
        </w:tabs>
        <w:spacing w:before="120"/>
        <w:ind w:left="714" w:hanging="357"/>
        <w:rPr>
          <w:rFonts w:cs="Arial"/>
          <w:szCs w:val="20"/>
        </w:rPr>
      </w:pPr>
      <w:r>
        <w:rPr>
          <w:rFonts w:cs="Arial"/>
          <w:szCs w:val="20"/>
        </w:rPr>
        <w:t>Specialist psychiatric age a</w:t>
      </w:r>
      <w:r w:rsidRPr="00D130B9">
        <w:rPr>
          <w:rFonts w:cs="Arial"/>
          <w:szCs w:val="20"/>
        </w:rPr>
        <w:t xml:space="preserve">djustments </w:t>
      </w:r>
      <w:r>
        <w:rPr>
          <w:rFonts w:cs="Arial"/>
          <w:szCs w:val="20"/>
        </w:rPr>
        <w:t>are</w:t>
      </w:r>
      <w:r w:rsidRPr="00D130B9">
        <w:rPr>
          <w:rFonts w:cs="Arial"/>
          <w:szCs w:val="20"/>
        </w:rPr>
        <w:t xml:space="preserve"> derived </w:t>
      </w:r>
      <w:r>
        <w:rPr>
          <w:rFonts w:cs="Arial"/>
          <w:szCs w:val="20"/>
        </w:rPr>
        <w:t>from</w:t>
      </w:r>
      <w:r w:rsidRPr="00D130B9">
        <w:rPr>
          <w:rFonts w:cs="Arial"/>
          <w:szCs w:val="20"/>
        </w:rPr>
        <w:t xml:space="preserve"> the age categories</w:t>
      </w:r>
      <w:r>
        <w:rPr>
          <w:rFonts w:cs="Arial"/>
          <w:szCs w:val="20"/>
        </w:rPr>
        <w:t>,</w:t>
      </w:r>
      <w:r w:rsidRPr="00D130B9">
        <w:rPr>
          <w:rFonts w:cs="Arial"/>
          <w:szCs w:val="20"/>
        </w:rPr>
        <w:t xml:space="preserve"> as set out in </w:t>
      </w:r>
      <w:r w:rsidRPr="00D873DE">
        <w:rPr>
          <w:rFonts w:cs="Arial"/>
          <w:szCs w:val="20"/>
        </w:rPr>
        <w:t>Table 1</w:t>
      </w:r>
      <w:r>
        <w:rPr>
          <w:rFonts w:cs="Arial"/>
          <w:szCs w:val="20"/>
        </w:rPr>
        <w:t xml:space="preserve"> of</w:t>
      </w:r>
      <w:r w:rsidRPr="00D130B9">
        <w:rPr>
          <w:rFonts w:cs="Arial"/>
          <w:szCs w:val="20"/>
        </w:rPr>
        <w:t xml:space="preserve"> the </w:t>
      </w:r>
      <w:r w:rsidR="00A019D4" w:rsidRPr="000B33D2">
        <w:rPr>
          <w:rFonts w:cs="Arial"/>
          <w:szCs w:val="20"/>
        </w:rPr>
        <w:t>NEP</w:t>
      </w:r>
      <w:r w:rsidR="00A019D4">
        <w:rPr>
          <w:rFonts w:cs="Arial"/>
          <w:szCs w:val="20"/>
        </w:rPr>
        <w:t>16</w:t>
      </w:r>
      <w:r w:rsidR="00A019D4" w:rsidRPr="000B33D2">
        <w:rPr>
          <w:rFonts w:cs="Arial"/>
          <w:szCs w:val="20"/>
        </w:rPr>
        <w:t xml:space="preserve"> </w:t>
      </w:r>
      <w:r w:rsidRPr="000B33D2">
        <w:rPr>
          <w:rFonts w:cs="Arial"/>
          <w:szCs w:val="20"/>
        </w:rPr>
        <w:t>Determination</w:t>
      </w:r>
      <w:r w:rsidRPr="00D130B9">
        <w:rPr>
          <w:rFonts w:cs="Arial"/>
          <w:szCs w:val="20"/>
        </w:rPr>
        <w:t>.</w:t>
      </w:r>
    </w:p>
    <w:p w:rsidR="00F51276" w:rsidRDefault="00F51276" w:rsidP="00F51276">
      <w:pPr>
        <w:pStyle w:val="ListParagraph"/>
        <w:numPr>
          <w:ilvl w:val="0"/>
          <w:numId w:val="30"/>
        </w:numPr>
        <w:tabs>
          <w:tab w:val="left" w:pos="1162"/>
        </w:tabs>
        <w:spacing w:before="120"/>
        <w:ind w:left="714" w:hanging="357"/>
        <w:rPr>
          <w:rFonts w:cs="Arial"/>
          <w:szCs w:val="20"/>
        </w:rPr>
      </w:pPr>
      <w:r w:rsidRPr="00D130B9">
        <w:rPr>
          <w:rFonts w:cs="Arial"/>
          <w:szCs w:val="20"/>
        </w:rPr>
        <w:t xml:space="preserve">Mental health patients also accrue other relevant adjustments that apply to </w:t>
      </w:r>
      <w:proofErr w:type="gramStart"/>
      <w:r w:rsidR="001C6800">
        <w:rPr>
          <w:rFonts w:cs="Arial"/>
          <w:szCs w:val="20"/>
        </w:rPr>
        <w:t>admitted</w:t>
      </w:r>
      <w:proofErr w:type="gramEnd"/>
      <w:r w:rsidR="001C6800">
        <w:rPr>
          <w:rFonts w:cs="Arial"/>
          <w:szCs w:val="20"/>
        </w:rPr>
        <w:t xml:space="preserve"> acute</w:t>
      </w:r>
      <w:r w:rsidRPr="00D130B9">
        <w:rPr>
          <w:rFonts w:cs="Arial"/>
          <w:szCs w:val="20"/>
        </w:rPr>
        <w:t xml:space="preserve"> patients.</w:t>
      </w:r>
    </w:p>
    <w:p w:rsidR="00F51276" w:rsidRDefault="00F51276" w:rsidP="00F51276">
      <w:pPr>
        <w:pStyle w:val="Heading3"/>
        <w:keepLines w:val="0"/>
        <w:numPr>
          <w:ilvl w:val="2"/>
          <w:numId w:val="64"/>
        </w:numPr>
        <w:spacing w:before="240" w:after="120"/>
      </w:pPr>
      <w:bookmarkStart w:id="255" w:name="_Toc380754760"/>
      <w:bookmarkStart w:id="256" w:name="_Toc444528601"/>
      <w:r w:rsidRPr="004E7836">
        <w:t>Price weights and NWAU</w:t>
      </w:r>
      <w:bookmarkEnd w:id="255"/>
      <w:bookmarkEnd w:id="256"/>
    </w:p>
    <w:p w:rsidR="00F51276" w:rsidRDefault="00F51276" w:rsidP="00F51276">
      <w:pPr>
        <w:tabs>
          <w:tab w:val="left" w:pos="1162"/>
        </w:tabs>
        <w:rPr>
          <w:rFonts w:cs="Arial"/>
          <w:szCs w:val="20"/>
        </w:rPr>
      </w:pPr>
      <w:r>
        <w:rPr>
          <w:rFonts w:cs="Arial"/>
          <w:szCs w:val="20"/>
        </w:rPr>
        <w:t xml:space="preserve">See Section </w:t>
      </w:r>
      <w:r>
        <w:rPr>
          <w:rFonts w:cs="Arial"/>
          <w:szCs w:val="20"/>
        </w:rPr>
        <w:fldChar w:fldCharType="begin"/>
      </w:r>
      <w:r>
        <w:rPr>
          <w:rFonts w:cs="Arial"/>
          <w:szCs w:val="20"/>
        </w:rPr>
        <w:instrText xml:space="preserve"> REF _Ref342385160 \r \h  \* MERGEFORMAT </w:instrText>
      </w:r>
      <w:r>
        <w:rPr>
          <w:rFonts w:cs="Arial"/>
          <w:szCs w:val="20"/>
        </w:rPr>
      </w:r>
      <w:r>
        <w:rPr>
          <w:rFonts w:cs="Arial"/>
          <w:szCs w:val="20"/>
        </w:rPr>
        <w:fldChar w:fldCharType="separate"/>
      </w:r>
      <w:r w:rsidR="0027530C">
        <w:rPr>
          <w:rFonts w:cs="Arial"/>
          <w:szCs w:val="20"/>
        </w:rPr>
        <w:t>2.2.11</w:t>
      </w:r>
      <w:r>
        <w:rPr>
          <w:rFonts w:cs="Arial"/>
          <w:szCs w:val="20"/>
        </w:rPr>
        <w:fldChar w:fldCharType="end"/>
      </w:r>
      <w:r>
        <w:rPr>
          <w:rFonts w:cs="Arial"/>
          <w:szCs w:val="20"/>
        </w:rPr>
        <w:t>.</w:t>
      </w:r>
    </w:p>
    <w:p w:rsidR="00F51276" w:rsidRDefault="00F51276" w:rsidP="00F51276">
      <w:pPr>
        <w:pStyle w:val="Heading2"/>
        <w:keepLines w:val="0"/>
        <w:numPr>
          <w:ilvl w:val="1"/>
          <w:numId w:val="64"/>
        </w:numPr>
        <w:tabs>
          <w:tab w:val="left" w:pos="1162"/>
        </w:tabs>
        <w:spacing w:after="60"/>
      </w:pPr>
      <w:bookmarkStart w:id="257" w:name="_Toc380754761"/>
      <w:bookmarkStart w:id="258" w:name="_Toc444528602"/>
      <w:r>
        <w:t>Assigning NWAU to mental health patient data</w:t>
      </w:r>
      <w:bookmarkEnd w:id="257"/>
      <w:bookmarkEnd w:id="258"/>
    </w:p>
    <w:p w:rsidR="00F51276" w:rsidRPr="00D130B9" w:rsidRDefault="00F51276" w:rsidP="00F51276">
      <w:pPr>
        <w:tabs>
          <w:tab w:val="left" w:pos="1162"/>
        </w:tabs>
        <w:rPr>
          <w:rFonts w:cs="Arial"/>
          <w:szCs w:val="20"/>
        </w:rPr>
      </w:pPr>
      <w:r>
        <w:rPr>
          <w:rFonts w:cs="Arial"/>
          <w:szCs w:val="20"/>
        </w:rPr>
        <w:t>See Sections 2.3 and 2.4.</w:t>
      </w:r>
    </w:p>
    <w:p w:rsidR="00F51276" w:rsidRDefault="00F51276" w:rsidP="00F51276">
      <w:pPr>
        <w:tabs>
          <w:tab w:val="left" w:pos="1162"/>
        </w:tabs>
      </w:pPr>
    </w:p>
    <w:p w:rsidR="00F51276" w:rsidRDefault="00F51276" w:rsidP="00F51276">
      <w:pPr>
        <w:tabs>
          <w:tab w:val="left" w:pos="1162"/>
        </w:tabs>
      </w:pPr>
    </w:p>
    <w:p w:rsidR="00F51276" w:rsidRDefault="00002CE6" w:rsidP="00F51276">
      <w:pPr>
        <w:pStyle w:val="Heading1"/>
        <w:pageBreakBefore/>
        <w:numPr>
          <w:ilvl w:val="0"/>
          <w:numId w:val="35"/>
        </w:numPr>
        <w:spacing w:before="100" w:beforeAutospacing="1" w:after="100" w:afterAutospacing="1"/>
      </w:pPr>
      <w:bookmarkStart w:id="259" w:name="_Toc444528603"/>
      <w:r>
        <w:t>Admitted subacute and non-acute</w:t>
      </w:r>
      <w:r w:rsidR="00F51276">
        <w:t xml:space="preserve"> care cost model</w:t>
      </w:r>
      <w:bookmarkEnd w:id="259"/>
    </w:p>
    <w:p w:rsidR="00F51276" w:rsidRDefault="00F51276" w:rsidP="00F51276">
      <w:pPr>
        <w:pStyle w:val="Heading2"/>
        <w:keepLines w:val="0"/>
        <w:numPr>
          <w:ilvl w:val="1"/>
          <w:numId w:val="35"/>
        </w:numPr>
        <w:tabs>
          <w:tab w:val="left" w:pos="1162"/>
        </w:tabs>
        <w:spacing w:after="60"/>
      </w:pPr>
      <w:bookmarkStart w:id="260" w:name="_Toc380754736"/>
      <w:bookmarkStart w:id="261" w:name="_Toc444528604"/>
      <w:r>
        <w:t>General issues</w:t>
      </w:r>
      <w:bookmarkEnd w:id="260"/>
      <w:bookmarkEnd w:id="261"/>
    </w:p>
    <w:p w:rsidR="00F51276" w:rsidRPr="001E55B4" w:rsidRDefault="00F51276" w:rsidP="00F51276">
      <w:pPr>
        <w:pStyle w:val="Heading3"/>
        <w:keepLines w:val="0"/>
        <w:numPr>
          <w:ilvl w:val="2"/>
          <w:numId w:val="35"/>
        </w:numPr>
        <w:tabs>
          <w:tab w:val="left" w:pos="1162"/>
        </w:tabs>
        <w:spacing w:before="240" w:after="120"/>
      </w:pPr>
      <w:bookmarkStart w:id="262" w:name="_Toc380754737"/>
      <w:bookmarkStart w:id="263" w:name="_Toc444528605"/>
      <w:r>
        <w:t>Cost Unit</w:t>
      </w:r>
      <w:bookmarkEnd w:id="262"/>
      <w:bookmarkEnd w:id="263"/>
    </w:p>
    <w:p w:rsidR="00F51276" w:rsidRDefault="00F51276" w:rsidP="00F51276">
      <w:pPr>
        <w:tabs>
          <w:tab w:val="left" w:pos="1162"/>
        </w:tabs>
        <w:rPr>
          <w:rFonts w:cs="Arial"/>
          <w:szCs w:val="20"/>
        </w:rPr>
      </w:pPr>
      <w:r w:rsidRPr="009E1B1B">
        <w:rPr>
          <w:rFonts w:cs="Arial"/>
          <w:szCs w:val="20"/>
        </w:rPr>
        <w:t>An ‘episode of admitted patient care’</w:t>
      </w:r>
      <w:r w:rsidRPr="009E1B1B">
        <w:rPr>
          <w:rStyle w:val="FootnoteReference"/>
          <w:rFonts w:cs="Arial"/>
          <w:szCs w:val="20"/>
        </w:rPr>
        <w:footnoteReference w:id="16"/>
      </w:r>
      <w:r w:rsidRPr="009E1B1B">
        <w:rPr>
          <w:rFonts w:cs="Arial"/>
          <w:szCs w:val="20"/>
        </w:rPr>
        <w:t xml:space="preserve"> is the </w:t>
      </w:r>
      <w:r>
        <w:rPr>
          <w:rFonts w:cs="Arial"/>
          <w:szCs w:val="20"/>
        </w:rPr>
        <w:t xml:space="preserve">cost </w:t>
      </w:r>
      <w:r w:rsidRPr="009E1B1B">
        <w:rPr>
          <w:rFonts w:cs="Arial"/>
          <w:szCs w:val="20"/>
        </w:rPr>
        <w:t xml:space="preserve">unit for </w:t>
      </w:r>
      <w:r w:rsidR="00002CE6">
        <w:rPr>
          <w:rFonts w:cs="Arial"/>
          <w:szCs w:val="20"/>
        </w:rPr>
        <w:t>admitted subacute and non-acute</w:t>
      </w:r>
      <w:r w:rsidRPr="009E1B1B">
        <w:rPr>
          <w:rFonts w:cs="Arial"/>
          <w:szCs w:val="20"/>
        </w:rPr>
        <w:t xml:space="preserve"> patients</w:t>
      </w:r>
      <w:r>
        <w:rPr>
          <w:rFonts w:cs="Arial"/>
          <w:szCs w:val="20"/>
        </w:rPr>
        <w:t xml:space="preserve">. </w:t>
      </w:r>
      <w:r w:rsidRPr="009E1B1B">
        <w:rPr>
          <w:rFonts w:cs="Arial"/>
          <w:szCs w:val="20"/>
        </w:rPr>
        <w:t>It is “</w:t>
      </w:r>
      <w:r w:rsidRPr="00E85B8C">
        <w:rPr>
          <w:rFonts w:cs="Arial"/>
          <w:i/>
          <w:szCs w:val="20"/>
        </w:rPr>
        <w:t>t</w:t>
      </w:r>
      <w:r w:rsidRPr="009E1B1B">
        <w:rPr>
          <w:rFonts w:cs="Arial"/>
          <w:i/>
          <w:szCs w:val="20"/>
        </w:rPr>
        <w:t>he period of admitted patient care … characterised by only one care type</w:t>
      </w:r>
      <w:r w:rsidRPr="009E1B1B">
        <w:rPr>
          <w:rFonts w:cs="Arial"/>
          <w:szCs w:val="20"/>
        </w:rPr>
        <w:t>”</w:t>
      </w:r>
      <w:r w:rsidRPr="009E1B1B">
        <w:rPr>
          <w:rStyle w:val="FootnoteReference"/>
          <w:rFonts w:cs="Arial"/>
          <w:szCs w:val="20"/>
        </w:rPr>
        <w:t xml:space="preserve"> </w:t>
      </w:r>
      <w:r w:rsidRPr="009E1B1B">
        <w:rPr>
          <w:rStyle w:val="FootnoteReference"/>
          <w:rFonts w:cs="Arial"/>
          <w:szCs w:val="20"/>
        </w:rPr>
        <w:footnoteReference w:id="17"/>
      </w:r>
      <w:r w:rsidRPr="009E1B1B">
        <w:rPr>
          <w:rFonts w:cs="Arial"/>
          <w:szCs w:val="20"/>
        </w:rPr>
        <w:t xml:space="preserve">, and covers the period of care from admission to </w:t>
      </w:r>
      <w:r w:rsidR="00B71156">
        <w:rPr>
          <w:rFonts w:cs="Arial"/>
          <w:szCs w:val="20"/>
        </w:rPr>
        <w:t>separation</w:t>
      </w:r>
      <w:r>
        <w:rPr>
          <w:rFonts w:cs="Arial"/>
          <w:szCs w:val="20"/>
        </w:rPr>
        <w:t>.</w:t>
      </w:r>
    </w:p>
    <w:p w:rsidR="00F51276" w:rsidRDefault="00F51276" w:rsidP="00F51276">
      <w:pPr>
        <w:pStyle w:val="Heading3"/>
        <w:keepLines w:val="0"/>
        <w:numPr>
          <w:ilvl w:val="2"/>
          <w:numId w:val="35"/>
        </w:numPr>
        <w:tabs>
          <w:tab w:val="left" w:pos="1162"/>
        </w:tabs>
        <w:spacing w:before="240" w:after="120"/>
      </w:pPr>
      <w:bookmarkStart w:id="264" w:name="_Toc380754738"/>
      <w:bookmarkStart w:id="265" w:name="_Toc444528606"/>
      <w:r>
        <w:t>Scope</w:t>
      </w:r>
      <w:bookmarkEnd w:id="264"/>
      <w:bookmarkEnd w:id="265"/>
    </w:p>
    <w:p w:rsidR="00F51276" w:rsidRPr="00933C6F" w:rsidRDefault="00002CE6" w:rsidP="00F51276">
      <w:pPr>
        <w:tabs>
          <w:tab w:val="left" w:pos="1162"/>
        </w:tabs>
        <w:rPr>
          <w:rFonts w:cs="Arial"/>
          <w:szCs w:val="20"/>
        </w:rPr>
      </w:pPr>
      <w:r>
        <w:rPr>
          <w:rFonts w:cs="Arial"/>
          <w:szCs w:val="20"/>
        </w:rPr>
        <w:t>Admitted subacute and non-acute</w:t>
      </w:r>
      <w:r w:rsidR="00F51276" w:rsidRPr="00933C6F">
        <w:rPr>
          <w:rFonts w:cs="Arial"/>
          <w:szCs w:val="20"/>
        </w:rPr>
        <w:t xml:space="preserve"> care is that provided to patients who undergo a facility’s formal admission</w:t>
      </w:r>
      <w:r w:rsidR="00F51276" w:rsidRPr="00933C6F">
        <w:rPr>
          <w:rStyle w:val="FootnoteReference"/>
          <w:rFonts w:cs="Arial"/>
          <w:szCs w:val="20"/>
        </w:rPr>
        <w:footnoteReference w:id="18"/>
      </w:r>
      <w:r w:rsidR="00F51276" w:rsidRPr="00933C6F">
        <w:rPr>
          <w:rFonts w:cs="Arial"/>
          <w:szCs w:val="20"/>
        </w:rPr>
        <w:t xml:space="preserve"> processes, where the clinical intent or treatment goal is the provision of subacute </w:t>
      </w:r>
      <w:r w:rsidR="00F51276">
        <w:rPr>
          <w:rFonts w:cs="Arial"/>
          <w:szCs w:val="20"/>
        </w:rPr>
        <w:t xml:space="preserve">or non-acute </w:t>
      </w:r>
      <w:r w:rsidR="00F51276" w:rsidRPr="00933C6F">
        <w:rPr>
          <w:rFonts w:cs="Arial"/>
          <w:szCs w:val="20"/>
        </w:rPr>
        <w:t>care.</w:t>
      </w:r>
    </w:p>
    <w:p w:rsidR="00F51276" w:rsidRDefault="00F51276" w:rsidP="00F51276">
      <w:pPr>
        <w:tabs>
          <w:tab w:val="left" w:pos="1162"/>
        </w:tabs>
      </w:pPr>
      <w:r w:rsidRPr="00933C6F">
        <w:rPr>
          <w:rFonts w:cs="Arial"/>
          <w:szCs w:val="20"/>
        </w:rPr>
        <w:t xml:space="preserve">In-scope hospitals and patients are as defined for </w:t>
      </w:r>
      <w:r w:rsidR="001C6800">
        <w:rPr>
          <w:rFonts w:cs="Arial"/>
          <w:szCs w:val="20"/>
        </w:rPr>
        <w:t>admitted acute</w:t>
      </w:r>
      <w:r w:rsidRPr="00933C6F">
        <w:rPr>
          <w:rFonts w:cs="Arial"/>
          <w:szCs w:val="20"/>
        </w:rPr>
        <w:t xml:space="preserve"> patients</w:t>
      </w:r>
      <w:r>
        <w:rPr>
          <w:rFonts w:cs="Arial"/>
          <w:szCs w:val="20"/>
        </w:rPr>
        <w:t>,</w:t>
      </w:r>
      <w:r w:rsidRPr="00933C6F">
        <w:rPr>
          <w:rFonts w:cs="Arial"/>
          <w:szCs w:val="20"/>
        </w:rPr>
        <w:t xml:space="preserve"> except that the patients are admitted into a care type for subacute or non-acute care</w:t>
      </w:r>
      <w:r>
        <w:t>.</w:t>
      </w:r>
    </w:p>
    <w:p w:rsidR="00F51276" w:rsidRDefault="00F51276" w:rsidP="00F51276">
      <w:pPr>
        <w:pStyle w:val="Heading3"/>
        <w:keepLines w:val="0"/>
        <w:numPr>
          <w:ilvl w:val="2"/>
          <w:numId w:val="35"/>
        </w:numPr>
        <w:tabs>
          <w:tab w:val="left" w:pos="1162"/>
        </w:tabs>
        <w:spacing w:before="240" w:after="120"/>
      </w:pPr>
      <w:bookmarkStart w:id="266" w:name="_Toc380754739"/>
      <w:bookmarkStart w:id="267" w:name="_Toc444528607"/>
      <w:r>
        <w:t>Classification</w:t>
      </w:r>
      <w:bookmarkEnd w:id="266"/>
      <w:bookmarkEnd w:id="267"/>
    </w:p>
    <w:p w:rsidR="00F51276" w:rsidRDefault="00F51276" w:rsidP="004175F6">
      <w:pPr>
        <w:tabs>
          <w:tab w:val="left" w:pos="1162"/>
        </w:tabs>
        <w:rPr>
          <w:rFonts w:cs="Arial"/>
          <w:szCs w:val="20"/>
        </w:rPr>
      </w:pPr>
      <w:r w:rsidRPr="00933C6F">
        <w:rPr>
          <w:rFonts w:cs="Arial"/>
          <w:szCs w:val="20"/>
        </w:rPr>
        <w:t xml:space="preserve">Version </w:t>
      </w:r>
      <w:r w:rsidR="009C20EF">
        <w:rPr>
          <w:rFonts w:cs="Arial"/>
          <w:szCs w:val="20"/>
        </w:rPr>
        <w:t>4</w:t>
      </w:r>
      <w:r w:rsidR="009C20EF" w:rsidRPr="00933C6F">
        <w:rPr>
          <w:rFonts w:cs="Arial"/>
          <w:szCs w:val="20"/>
        </w:rPr>
        <w:t xml:space="preserve"> </w:t>
      </w:r>
      <w:r w:rsidRPr="00933C6F">
        <w:rPr>
          <w:rFonts w:cs="Arial"/>
          <w:szCs w:val="20"/>
        </w:rPr>
        <w:t>of</w:t>
      </w:r>
      <w:r w:rsidR="00CE00EF">
        <w:rPr>
          <w:rFonts w:cs="Arial"/>
          <w:szCs w:val="20"/>
        </w:rPr>
        <w:t xml:space="preserve"> the</w:t>
      </w:r>
      <w:r w:rsidRPr="00933C6F">
        <w:rPr>
          <w:rFonts w:cs="Arial"/>
          <w:szCs w:val="20"/>
        </w:rPr>
        <w:t xml:space="preserve"> Australian National Sub</w:t>
      </w:r>
      <w:r w:rsidR="00CE00EF">
        <w:rPr>
          <w:rFonts w:cs="Arial"/>
          <w:szCs w:val="20"/>
        </w:rPr>
        <w:t>acute</w:t>
      </w:r>
      <w:r w:rsidRPr="00933C6F">
        <w:rPr>
          <w:rFonts w:cs="Arial"/>
          <w:szCs w:val="20"/>
        </w:rPr>
        <w:t xml:space="preserve"> and Non-Acute Patient Classification</w:t>
      </w:r>
      <w:r w:rsidR="004E7D84">
        <w:rPr>
          <w:rFonts w:cs="Arial"/>
          <w:szCs w:val="20"/>
        </w:rPr>
        <w:t xml:space="preserve"> </w:t>
      </w:r>
      <w:r w:rsidRPr="00933C6F">
        <w:rPr>
          <w:rFonts w:cs="Arial"/>
          <w:szCs w:val="20"/>
        </w:rPr>
        <w:t>(AN</w:t>
      </w:r>
      <w:r w:rsidR="004E7D84">
        <w:rPr>
          <w:rFonts w:cs="Arial"/>
          <w:szCs w:val="20"/>
        </w:rPr>
        <w:noBreakHyphen/>
      </w:r>
      <w:r w:rsidR="00E8636B">
        <w:rPr>
          <w:rFonts w:cs="Arial"/>
          <w:szCs w:val="20"/>
        </w:rPr>
        <w:t>S</w:t>
      </w:r>
      <w:r w:rsidRPr="00933C6F">
        <w:rPr>
          <w:rFonts w:cs="Arial"/>
          <w:szCs w:val="20"/>
        </w:rPr>
        <w:t xml:space="preserve">NAP </w:t>
      </w:r>
      <w:r>
        <w:rPr>
          <w:rFonts w:cs="Arial"/>
          <w:szCs w:val="20"/>
        </w:rPr>
        <w:t>v</w:t>
      </w:r>
      <w:r w:rsidR="009C20EF">
        <w:rPr>
          <w:rFonts w:cs="Arial"/>
          <w:szCs w:val="20"/>
        </w:rPr>
        <w:t>4</w:t>
      </w:r>
      <w:r w:rsidRPr="00933C6F">
        <w:rPr>
          <w:rFonts w:cs="Arial"/>
          <w:szCs w:val="20"/>
        </w:rPr>
        <w:t xml:space="preserve">) is used to classify </w:t>
      </w:r>
      <w:r w:rsidR="00002CE6">
        <w:rPr>
          <w:rFonts w:cs="Arial"/>
          <w:szCs w:val="20"/>
        </w:rPr>
        <w:t>admitted subacute and non-acute</w:t>
      </w:r>
      <w:r w:rsidRPr="00933C6F">
        <w:rPr>
          <w:rFonts w:cs="Arial"/>
          <w:szCs w:val="20"/>
        </w:rPr>
        <w:t xml:space="preserve"> care. </w:t>
      </w:r>
      <w:r w:rsidR="00E85B8C">
        <w:rPr>
          <w:rFonts w:cs="Arial"/>
          <w:szCs w:val="20"/>
        </w:rPr>
        <w:t xml:space="preserve"> </w:t>
      </w:r>
      <w:r w:rsidR="004175F6">
        <w:rPr>
          <w:rFonts w:cs="Arial"/>
          <w:szCs w:val="20"/>
        </w:rPr>
        <w:t xml:space="preserve">Where data on </w:t>
      </w:r>
      <w:r w:rsidR="004E7D84">
        <w:rPr>
          <w:rFonts w:cs="Arial"/>
          <w:szCs w:val="20"/>
        </w:rPr>
        <w:t>AN</w:t>
      </w:r>
      <w:r w:rsidR="004E7D84">
        <w:rPr>
          <w:rFonts w:cs="Arial"/>
          <w:szCs w:val="20"/>
        </w:rPr>
        <w:noBreakHyphen/>
      </w:r>
      <w:r w:rsidRPr="00933C6F">
        <w:rPr>
          <w:rFonts w:cs="Arial"/>
          <w:szCs w:val="20"/>
        </w:rPr>
        <w:t>SNAP classification is not available, the episode</w:t>
      </w:r>
      <w:r>
        <w:rPr>
          <w:rFonts w:cs="Arial"/>
          <w:szCs w:val="20"/>
        </w:rPr>
        <w:t xml:space="preserve">s are moved into the </w:t>
      </w:r>
      <w:r w:rsidR="001C6800">
        <w:rPr>
          <w:rFonts w:cs="Arial"/>
          <w:szCs w:val="20"/>
        </w:rPr>
        <w:t>admitted acute</w:t>
      </w:r>
      <w:r>
        <w:rPr>
          <w:rFonts w:cs="Arial"/>
          <w:szCs w:val="20"/>
        </w:rPr>
        <w:t xml:space="preserve"> care cost model</w:t>
      </w:r>
      <w:r w:rsidR="00A65D7A">
        <w:rPr>
          <w:rFonts w:cs="Arial"/>
          <w:szCs w:val="20"/>
        </w:rPr>
        <w:t>.</w:t>
      </w:r>
    </w:p>
    <w:p w:rsidR="00F51276" w:rsidRDefault="00F51276" w:rsidP="00F51276">
      <w:pPr>
        <w:pStyle w:val="Heading3"/>
        <w:keepLines w:val="0"/>
        <w:numPr>
          <w:ilvl w:val="2"/>
          <w:numId w:val="35"/>
        </w:numPr>
        <w:tabs>
          <w:tab w:val="left" w:pos="1162"/>
        </w:tabs>
        <w:spacing w:before="240" w:after="120"/>
      </w:pPr>
      <w:bookmarkStart w:id="268" w:name="_Ref436131273"/>
      <w:bookmarkStart w:id="269" w:name="_Toc444528608"/>
      <w:r w:rsidRPr="004715A4">
        <w:t xml:space="preserve">New </w:t>
      </w:r>
      <w:r>
        <w:t xml:space="preserve">methodology for </w:t>
      </w:r>
      <w:r w:rsidR="009C20EF">
        <w:t>NEP16</w:t>
      </w:r>
      <w:bookmarkEnd w:id="268"/>
      <w:bookmarkEnd w:id="269"/>
    </w:p>
    <w:p w:rsidR="00F51276" w:rsidRDefault="00755B7E" w:rsidP="00F51276">
      <w:r>
        <w:t xml:space="preserve">NEP16 </w:t>
      </w:r>
      <w:r w:rsidR="00F51276">
        <w:t xml:space="preserve">subacute price weights were based on NHCDC Round </w:t>
      </w:r>
      <w:r>
        <w:t xml:space="preserve">18 </w:t>
      </w:r>
      <w:r w:rsidR="00F51276">
        <w:t xml:space="preserve">cost data. </w:t>
      </w:r>
    </w:p>
    <w:p w:rsidR="00F51276" w:rsidRDefault="00D356DD" w:rsidP="00F51276">
      <w:r>
        <w:t>As set out in NEP15, t</w:t>
      </w:r>
      <w:r w:rsidR="00F51276">
        <w:t xml:space="preserve">he only difference from the </w:t>
      </w:r>
      <w:r w:rsidR="001C6800">
        <w:t>admitted acute</w:t>
      </w:r>
      <w:r w:rsidR="00F51276">
        <w:t xml:space="preserve"> cost model </w:t>
      </w:r>
      <w:r w:rsidR="00755B7E">
        <w:t xml:space="preserve">is </w:t>
      </w:r>
      <w:r w:rsidR="00F51276">
        <w:t>that the ABF L1.5H1.5 methodology was used for all AN-SNAP classes</w:t>
      </w:r>
      <w:r w:rsidR="00755B7E">
        <w:t>, with the upper bound</w:t>
      </w:r>
      <w:r w:rsidR="00A65D7A">
        <w:t xml:space="preserve"> a</w:t>
      </w:r>
      <w:r w:rsidR="00755B7E">
        <w:t xml:space="preserve"> maximum </w:t>
      </w:r>
      <w:r w:rsidR="00A65D7A">
        <w:t>of</w:t>
      </w:r>
      <w:r w:rsidR="00755B7E">
        <w:t xml:space="preserve"> 20 or more days than the average length of stay for the AN-SNAP class</w:t>
      </w:r>
      <w:r w:rsidR="00F51276">
        <w:t>. All episodes without a legitimate AN-SNAP classification have been transferred to the acute care model and paid according to their DRG classification</w:t>
      </w:r>
      <w:r w:rsidR="00A65D7A">
        <w:t>, with the exception of NSW same-day episodes without a valid AN-SNAP v4 class and paediatric episodes.</w:t>
      </w:r>
      <w:r w:rsidR="00F51276">
        <w:t xml:space="preserve"> </w:t>
      </w:r>
    </w:p>
    <w:p w:rsidR="00755B7E" w:rsidRDefault="00C26186" w:rsidP="00E33EAE">
      <w:r>
        <w:rPr>
          <w:rFonts w:cs="Arial"/>
          <w:iCs/>
          <w:szCs w:val="20"/>
        </w:rPr>
        <w:t xml:space="preserve">AN-SNAP v3 was used to price admitted subacute and non-acute patients in NEP15.  </w:t>
      </w:r>
      <w:r w:rsidR="001E29FB">
        <w:rPr>
          <w:rFonts w:cs="Arial"/>
          <w:iCs/>
          <w:szCs w:val="20"/>
        </w:rPr>
        <w:t xml:space="preserve">In NEP16 these patients are priced </w:t>
      </w:r>
      <w:r w:rsidR="00BA4BD4">
        <w:rPr>
          <w:rFonts w:cs="Arial"/>
          <w:iCs/>
          <w:szCs w:val="20"/>
        </w:rPr>
        <w:t>using</w:t>
      </w:r>
      <w:r w:rsidR="001E29FB">
        <w:rPr>
          <w:rFonts w:cs="Arial"/>
          <w:iCs/>
          <w:szCs w:val="20"/>
        </w:rPr>
        <w:t xml:space="preserve"> AN-SNAP v4. Version 4</w:t>
      </w:r>
      <w:r w:rsidR="00755B7E">
        <w:t xml:space="preserve"> </w:t>
      </w:r>
      <w:r w:rsidR="008F16BA">
        <w:t>has introduced</w:t>
      </w:r>
      <w:r w:rsidR="00C726BD">
        <w:t xml:space="preserve"> </w:t>
      </w:r>
      <w:r w:rsidR="00755B7E">
        <w:t xml:space="preserve">paediatric </w:t>
      </w:r>
      <w:r w:rsidR="00223169">
        <w:t>AN-</w:t>
      </w:r>
      <w:r w:rsidR="00755B7E">
        <w:t>SNAP classes for the palliative care, rehabilitation and</w:t>
      </w:r>
      <w:r w:rsidR="00FE7253">
        <w:t xml:space="preserve"> maintenance </w:t>
      </w:r>
      <w:r w:rsidR="00755B7E">
        <w:t>care types</w:t>
      </w:r>
      <w:r w:rsidR="00CE00EF">
        <w:t>.  However,</w:t>
      </w:r>
      <w:r w:rsidR="00755B7E">
        <w:t xml:space="preserve"> there was insufficient data to develop weights for</w:t>
      </w:r>
      <w:r w:rsidR="00C726BD">
        <w:t xml:space="preserve"> these new classes.</w:t>
      </w:r>
      <w:r w:rsidR="00A65D7A">
        <w:t xml:space="preserve"> For this reason, NEP16 retains the calculation of paediatric care type per diems in the subacute and non-admitted care cost models. </w:t>
      </w:r>
    </w:p>
    <w:p w:rsidR="00755B7E" w:rsidRDefault="00755B7E" w:rsidP="00080175">
      <w:r>
        <w:t xml:space="preserve">A paediatric same day and overnight rate was calculated for rehabilitation and </w:t>
      </w:r>
      <w:r w:rsidR="00A65D7A">
        <w:t>maintenance</w:t>
      </w:r>
      <w:r>
        <w:t xml:space="preserve"> </w:t>
      </w:r>
      <w:r w:rsidR="00CE00EF">
        <w:t xml:space="preserve">care types </w:t>
      </w:r>
      <w:r>
        <w:t>as per the NEP15 methodology</w:t>
      </w:r>
      <w:r w:rsidR="00A65D7A">
        <w:t>.</w:t>
      </w:r>
      <w:r>
        <w:t xml:space="preserve"> </w:t>
      </w:r>
      <w:r w:rsidR="00080175">
        <w:t xml:space="preserve"> Analysis indicates that the paediatric palliative care class no longer qualifies for a same-day weight. Namely, less than 10 </w:t>
      </w:r>
      <w:r w:rsidR="00347801">
        <w:t>per cent</w:t>
      </w:r>
      <w:r w:rsidR="00080175">
        <w:t xml:space="preserve"> of episodes are same-day.  As a result, a common weight has been adopted to cover both same-day and overnight.</w:t>
      </w:r>
    </w:p>
    <w:p w:rsidR="00755B7E" w:rsidRPr="004715A4" w:rsidRDefault="00791929" w:rsidP="00755B7E">
      <w:r>
        <w:t>The current National Pricing Stabilit</w:t>
      </w:r>
      <w:r w:rsidR="00F30AC0">
        <w:t>y Policy requires that the year</w:t>
      </w:r>
      <w:r>
        <w:t xml:space="preserve">-to-year movement in comparable price weights be restricted to a maximum of 20 per cent. As per this policy the paediatric same-day weight for rehabilitation has been capped </w:t>
      </w:r>
      <w:r w:rsidR="00F30AC0">
        <w:t>to ensure a movement of at most</w:t>
      </w:r>
      <w:r>
        <w:t xml:space="preserve"> negative 20 per cent.</w:t>
      </w:r>
    </w:p>
    <w:p w:rsidR="00F51276" w:rsidRDefault="00F51276" w:rsidP="00F51276">
      <w:pPr>
        <w:pStyle w:val="Heading2"/>
        <w:keepLines w:val="0"/>
        <w:numPr>
          <w:ilvl w:val="1"/>
          <w:numId w:val="35"/>
        </w:numPr>
        <w:tabs>
          <w:tab w:val="left" w:pos="1162"/>
        </w:tabs>
        <w:spacing w:after="60"/>
      </w:pPr>
      <w:bookmarkStart w:id="270" w:name="_Toc380754740"/>
      <w:bookmarkStart w:id="271" w:name="_Toc444528609"/>
      <w:r w:rsidRPr="001E55B4">
        <w:t>Analysis of costs to derive NWAU for subacute admitted care</w:t>
      </w:r>
      <w:bookmarkEnd w:id="270"/>
      <w:bookmarkEnd w:id="271"/>
    </w:p>
    <w:p w:rsidR="00F51276" w:rsidRPr="00933C6F" w:rsidRDefault="00F51276" w:rsidP="00F51276">
      <w:pPr>
        <w:tabs>
          <w:tab w:val="left" w:pos="1162"/>
        </w:tabs>
        <w:spacing w:before="120"/>
        <w:rPr>
          <w:rFonts w:cs="Arial"/>
          <w:szCs w:val="20"/>
        </w:rPr>
      </w:pPr>
      <w:r w:rsidRPr="00933C6F">
        <w:rPr>
          <w:rFonts w:cs="Arial"/>
          <w:szCs w:val="20"/>
        </w:rPr>
        <w:t xml:space="preserve">The following steps </w:t>
      </w:r>
      <w:r>
        <w:rPr>
          <w:rFonts w:cs="Arial"/>
          <w:szCs w:val="20"/>
        </w:rPr>
        <w:t>are</w:t>
      </w:r>
      <w:r w:rsidRPr="00933C6F">
        <w:rPr>
          <w:rFonts w:cs="Arial"/>
          <w:szCs w:val="20"/>
        </w:rPr>
        <w:t xml:space="preserve"> taken in developing the cost parameters and weights for </w:t>
      </w:r>
      <w:r w:rsidR="00002CE6">
        <w:rPr>
          <w:rFonts w:cs="Arial"/>
          <w:szCs w:val="20"/>
        </w:rPr>
        <w:t>admitted subacute and non-acute</w:t>
      </w:r>
      <w:r w:rsidRPr="00933C6F">
        <w:rPr>
          <w:rFonts w:cs="Arial"/>
          <w:szCs w:val="20"/>
        </w:rPr>
        <w:t xml:space="preserve"> care:</w:t>
      </w:r>
    </w:p>
    <w:p w:rsidR="00F51276" w:rsidRPr="00933C6F" w:rsidRDefault="00F51276" w:rsidP="00F51276">
      <w:pPr>
        <w:pStyle w:val="ListParagraph"/>
        <w:numPr>
          <w:ilvl w:val="0"/>
          <w:numId w:val="26"/>
        </w:numPr>
        <w:tabs>
          <w:tab w:val="left" w:pos="1162"/>
        </w:tabs>
        <w:rPr>
          <w:rFonts w:cs="Arial"/>
          <w:szCs w:val="20"/>
        </w:rPr>
      </w:pPr>
      <w:r>
        <w:rPr>
          <w:rFonts w:cs="Arial"/>
          <w:szCs w:val="20"/>
        </w:rPr>
        <w:t>Data preparation.</w:t>
      </w:r>
    </w:p>
    <w:p w:rsidR="00F51276" w:rsidRPr="00933C6F" w:rsidRDefault="00F51276" w:rsidP="00F51276">
      <w:pPr>
        <w:pStyle w:val="ListParagraph"/>
        <w:numPr>
          <w:ilvl w:val="0"/>
          <w:numId w:val="26"/>
        </w:numPr>
        <w:tabs>
          <w:tab w:val="left" w:pos="1162"/>
        </w:tabs>
        <w:rPr>
          <w:rFonts w:cs="Arial"/>
          <w:szCs w:val="20"/>
        </w:rPr>
      </w:pPr>
      <w:r w:rsidRPr="00933C6F">
        <w:rPr>
          <w:rFonts w:cs="Arial"/>
          <w:szCs w:val="20"/>
        </w:rPr>
        <w:t>Develop sample</w:t>
      </w:r>
      <w:r>
        <w:rPr>
          <w:rFonts w:cs="Arial"/>
          <w:szCs w:val="20"/>
        </w:rPr>
        <w:t>-</w:t>
      </w:r>
      <w:r w:rsidRPr="00933C6F">
        <w:rPr>
          <w:rFonts w:cs="Arial"/>
          <w:szCs w:val="20"/>
        </w:rPr>
        <w:t>to</w:t>
      </w:r>
      <w:r>
        <w:rPr>
          <w:rFonts w:cs="Arial"/>
          <w:szCs w:val="20"/>
        </w:rPr>
        <w:t>-</w:t>
      </w:r>
      <w:r w:rsidRPr="00933C6F">
        <w:rPr>
          <w:rFonts w:cs="Arial"/>
          <w:szCs w:val="20"/>
        </w:rPr>
        <w:t>population weights</w:t>
      </w:r>
      <w:r>
        <w:rPr>
          <w:rFonts w:cs="Arial"/>
          <w:szCs w:val="20"/>
        </w:rPr>
        <w:t>.</w:t>
      </w:r>
    </w:p>
    <w:p w:rsidR="00F51276" w:rsidRDefault="00F51276" w:rsidP="00F51276">
      <w:pPr>
        <w:pStyle w:val="ListParagraph"/>
        <w:numPr>
          <w:ilvl w:val="0"/>
          <w:numId w:val="26"/>
        </w:numPr>
        <w:tabs>
          <w:tab w:val="left" w:pos="1162"/>
        </w:tabs>
        <w:rPr>
          <w:rFonts w:cs="Arial"/>
          <w:szCs w:val="20"/>
        </w:rPr>
      </w:pPr>
      <w:r w:rsidRPr="00933C6F">
        <w:rPr>
          <w:rFonts w:cs="Arial"/>
          <w:szCs w:val="20"/>
        </w:rPr>
        <w:t>Classify AN-SNAP episodes into relevant categories: inliers, short</w:t>
      </w:r>
      <w:r>
        <w:rPr>
          <w:rFonts w:cs="Arial"/>
          <w:szCs w:val="20"/>
        </w:rPr>
        <w:t>-stay</w:t>
      </w:r>
      <w:r w:rsidRPr="00933C6F">
        <w:rPr>
          <w:rFonts w:cs="Arial"/>
          <w:szCs w:val="20"/>
        </w:rPr>
        <w:t xml:space="preserve"> and long</w:t>
      </w:r>
      <w:r>
        <w:rPr>
          <w:rFonts w:cs="Arial"/>
          <w:szCs w:val="20"/>
        </w:rPr>
        <w:t>-</w:t>
      </w:r>
      <w:r w:rsidRPr="00933C6F">
        <w:rPr>
          <w:rFonts w:cs="Arial"/>
          <w:szCs w:val="20"/>
        </w:rPr>
        <w:t>stay outliers</w:t>
      </w:r>
      <w:r>
        <w:rPr>
          <w:rFonts w:cs="Arial"/>
          <w:szCs w:val="20"/>
        </w:rPr>
        <w:t xml:space="preserve"> using the ABF L1.5H1.5 methodology.</w:t>
      </w:r>
    </w:p>
    <w:p w:rsidR="00F51276" w:rsidRPr="00933C6F" w:rsidRDefault="00FE7253" w:rsidP="00F51276">
      <w:pPr>
        <w:pStyle w:val="ListParagraph"/>
        <w:numPr>
          <w:ilvl w:val="0"/>
          <w:numId w:val="26"/>
        </w:numPr>
        <w:tabs>
          <w:tab w:val="left" w:pos="1162"/>
        </w:tabs>
        <w:rPr>
          <w:rFonts w:cs="Arial"/>
          <w:szCs w:val="20"/>
        </w:rPr>
      </w:pPr>
      <w:r>
        <w:rPr>
          <w:rFonts w:cs="Arial"/>
          <w:szCs w:val="20"/>
        </w:rPr>
        <w:t>Apply</w:t>
      </w:r>
      <w:r w:rsidRPr="00933C6F">
        <w:rPr>
          <w:rFonts w:cs="Arial"/>
          <w:szCs w:val="20"/>
        </w:rPr>
        <w:t xml:space="preserve"> </w:t>
      </w:r>
      <w:r w:rsidR="00DF77B4">
        <w:rPr>
          <w:rFonts w:cs="Arial"/>
          <w:szCs w:val="20"/>
        </w:rPr>
        <w:t>Indigenous</w:t>
      </w:r>
      <w:r w:rsidR="00F51276">
        <w:rPr>
          <w:rFonts w:cs="Arial"/>
          <w:szCs w:val="20"/>
        </w:rPr>
        <w:t xml:space="preserve"> and </w:t>
      </w:r>
      <w:r w:rsidR="00F51276" w:rsidRPr="00933C6F">
        <w:rPr>
          <w:rFonts w:cs="Arial"/>
          <w:szCs w:val="20"/>
        </w:rPr>
        <w:t>remote</w:t>
      </w:r>
      <w:r w:rsidR="00F51276">
        <w:rPr>
          <w:rFonts w:cs="Arial"/>
          <w:szCs w:val="20"/>
        </w:rPr>
        <w:t xml:space="preserve">ness </w:t>
      </w:r>
      <w:r w:rsidR="00F51276" w:rsidRPr="00933C6F">
        <w:rPr>
          <w:rFonts w:cs="Arial"/>
          <w:szCs w:val="20"/>
        </w:rPr>
        <w:t>adjustments</w:t>
      </w:r>
      <w:r>
        <w:rPr>
          <w:rFonts w:cs="Arial"/>
          <w:szCs w:val="20"/>
        </w:rPr>
        <w:t xml:space="preserve"> inherited from the </w:t>
      </w:r>
      <w:r w:rsidR="001C6800">
        <w:rPr>
          <w:rFonts w:cs="Arial"/>
          <w:szCs w:val="20"/>
        </w:rPr>
        <w:t>admitted acute</w:t>
      </w:r>
      <w:r>
        <w:rPr>
          <w:rFonts w:cs="Arial"/>
          <w:szCs w:val="20"/>
        </w:rPr>
        <w:t xml:space="preserve"> care cost model</w:t>
      </w:r>
      <w:r w:rsidR="00F51276">
        <w:rPr>
          <w:rFonts w:cs="Arial"/>
          <w:szCs w:val="20"/>
        </w:rPr>
        <w:t>.</w:t>
      </w:r>
    </w:p>
    <w:p w:rsidR="00F51276" w:rsidRPr="00933C6F" w:rsidRDefault="00F51276" w:rsidP="00F51276">
      <w:pPr>
        <w:pStyle w:val="ListParagraph"/>
        <w:numPr>
          <w:ilvl w:val="0"/>
          <w:numId w:val="26"/>
        </w:numPr>
        <w:tabs>
          <w:tab w:val="left" w:pos="1162"/>
        </w:tabs>
        <w:rPr>
          <w:rFonts w:cs="Arial"/>
          <w:szCs w:val="20"/>
        </w:rPr>
      </w:pPr>
      <w:r w:rsidRPr="00933C6F">
        <w:rPr>
          <w:rFonts w:cs="Arial"/>
          <w:szCs w:val="20"/>
        </w:rPr>
        <w:t>Derive private patient service adjustments for each care type</w:t>
      </w:r>
      <w:r>
        <w:rPr>
          <w:rFonts w:cs="Arial"/>
          <w:szCs w:val="20"/>
        </w:rPr>
        <w:t>.</w:t>
      </w:r>
    </w:p>
    <w:p w:rsidR="00F51276" w:rsidRDefault="00F51276" w:rsidP="00F51276">
      <w:pPr>
        <w:tabs>
          <w:tab w:val="left" w:pos="1162"/>
        </w:tabs>
        <w:rPr>
          <w:rFonts w:cs="Arial"/>
          <w:szCs w:val="20"/>
        </w:rPr>
      </w:pPr>
      <w:r w:rsidRPr="00933C6F">
        <w:rPr>
          <w:rFonts w:cs="Arial"/>
          <w:szCs w:val="20"/>
        </w:rPr>
        <w:t>These steps are</w:t>
      </w:r>
      <w:r>
        <w:rPr>
          <w:rFonts w:cs="Arial"/>
          <w:szCs w:val="20"/>
        </w:rPr>
        <w:t xml:space="preserve"> described in more detail in the following sections.</w:t>
      </w:r>
    </w:p>
    <w:p w:rsidR="00F51276" w:rsidRPr="00D15DA0" w:rsidRDefault="00F51276" w:rsidP="00F51276">
      <w:pPr>
        <w:pStyle w:val="Heading3"/>
        <w:keepLines w:val="0"/>
        <w:numPr>
          <w:ilvl w:val="2"/>
          <w:numId w:val="35"/>
        </w:numPr>
        <w:tabs>
          <w:tab w:val="left" w:pos="1162"/>
        </w:tabs>
        <w:spacing w:before="240" w:after="120"/>
      </w:pPr>
      <w:bookmarkStart w:id="272" w:name="_Toc380754741"/>
      <w:bookmarkStart w:id="273" w:name="_Toc444528610"/>
      <w:r w:rsidRPr="00D15DA0">
        <w:t>Data preparation</w:t>
      </w:r>
      <w:bookmarkEnd w:id="272"/>
      <w:bookmarkEnd w:id="273"/>
    </w:p>
    <w:p w:rsidR="00F51276" w:rsidRPr="004F5BA3" w:rsidRDefault="00F51276" w:rsidP="00F51276">
      <w:pPr>
        <w:tabs>
          <w:tab w:val="left" w:pos="1162"/>
        </w:tabs>
        <w:rPr>
          <w:rFonts w:cs="Arial"/>
          <w:szCs w:val="20"/>
        </w:rPr>
      </w:pPr>
      <w:r w:rsidRPr="000976DD">
        <w:rPr>
          <w:rFonts w:cs="Arial"/>
          <w:szCs w:val="20"/>
        </w:rPr>
        <w:t xml:space="preserve">The </w:t>
      </w:r>
      <w:r w:rsidR="00DC3097">
        <w:rPr>
          <w:rFonts w:cs="Arial"/>
          <w:szCs w:val="20"/>
        </w:rPr>
        <w:t>2013-14</w:t>
      </w:r>
      <w:r>
        <w:rPr>
          <w:rFonts w:cs="Arial"/>
          <w:szCs w:val="20"/>
        </w:rPr>
        <w:t xml:space="preserve"> subacute cost</w:t>
      </w:r>
      <w:r w:rsidRPr="000976DD">
        <w:rPr>
          <w:rFonts w:cs="Arial"/>
          <w:szCs w:val="20"/>
        </w:rPr>
        <w:t xml:space="preserve"> sample consist</w:t>
      </w:r>
      <w:r>
        <w:rPr>
          <w:rFonts w:cs="Arial"/>
          <w:szCs w:val="20"/>
        </w:rPr>
        <w:t>s</w:t>
      </w:r>
      <w:r w:rsidRPr="000976DD">
        <w:rPr>
          <w:rFonts w:cs="Arial"/>
          <w:szCs w:val="20"/>
        </w:rPr>
        <w:t xml:space="preserve"> of the following groups:</w:t>
      </w:r>
    </w:p>
    <w:p w:rsidR="00F51276" w:rsidRDefault="00F51276" w:rsidP="00F51276">
      <w:pPr>
        <w:pStyle w:val="ListParagraph"/>
        <w:numPr>
          <w:ilvl w:val="0"/>
          <w:numId w:val="36"/>
        </w:numPr>
        <w:tabs>
          <w:tab w:val="left" w:pos="1162"/>
        </w:tabs>
        <w:spacing w:before="80" w:after="0"/>
        <w:rPr>
          <w:rFonts w:cs="Arial"/>
          <w:szCs w:val="20"/>
        </w:rPr>
      </w:pPr>
      <w:r>
        <w:rPr>
          <w:rFonts w:cs="Arial"/>
          <w:szCs w:val="20"/>
        </w:rPr>
        <w:t>Patient level care type or AN-SNAP classified data</w:t>
      </w:r>
    </w:p>
    <w:p w:rsidR="00F51276" w:rsidRPr="008F16BA" w:rsidRDefault="008F16BA" w:rsidP="00F51276">
      <w:pPr>
        <w:pStyle w:val="ListParagraph"/>
        <w:numPr>
          <w:ilvl w:val="1"/>
          <w:numId w:val="36"/>
        </w:numPr>
        <w:tabs>
          <w:tab w:val="left" w:pos="1162"/>
        </w:tabs>
        <w:spacing w:before="80" w:after="0"/>
        <w:rPr>
          <w:rFonts w:cs="Arial"/>
          <w:szCs w:val="20"/>
        </w:rPr>
      </w:pPr>
      <w:r w:rsidRPr="008F16BA">
        <w:rPr>
          <w:rFonts w:cs="Arial"/>
          <w:szCs w:val="20"/>
        </w:rPr>
        <w:t xml:space="preserve">260 </w:t>
      </w:r>
      <w:r w:rsidR="00F51276" w:rsidRPr="008F16BA">
        <w:rPr>
          <w:rFonts w:cs="Arial"/>
          <w:szCs w:val="20"/>
        </w:rPr>
        <w:t xml:space="preserve">establishments reported patient level cost data comprising of </w:t>
      </w:r>
      <w:r w:rsidR="00791929">
        <w:rPr>
          <w:rFonts w:cs="Arial"/>
          <w:szCs w:val="20"/>
        </w:rPr>
        <w:t>191,908</w:t>
      </w:r>
      <w:r w:rsidR="00F51276" w:rsidRPr="008F16BA">
        <w:rPr>
          <w:rFonts w:cs="Arial"/>
          <w:szCs w:val="20"/>
        </w:rPr>
        <w:t xml:space="preserve"> records involving </w:t>
      </w:r>
      <w:r w:rsidR="00791929">
        <w:rPr>
          <w:rFonts w:cs="Arial"/>
          <w:szCs w:val="20"/>
        </w:rPr>
        <w:t>2,781,187</w:t>
      </w:r>
      <w:r w:rsidR="00F51276" w:rsidRPr="008F16BA">
        <w:rPr>
          <w:rFonts w:cs="Arial"/>
          <w:szCs w:val="20"/>
        </w:rPr>
        <w:t xml:space="preserve"> days; and</w:t>
      </w:r>
    </w:p>
    <w:p w:rsidR="00F51276" w:rsidRDefault="00F51276" w:rsidP="00F51276">
      <w:pPr>
        <w:pStyle w:val="ListParagraph"/>
        <w:numPr>
          <w:ilvl w:val="0"/>
          <w:numId w:val="36"/>
        </w:numPr>
        <w:tabs>
          <w:tab w:val="left" w:pos="1162"/>
        </w:tabs>
        <w:spacing w:before="80" w:after="0"/>
        <w:rPr>
          <w:rFonts w:cs="Arial"/>
          <w:szCs w:val="20"/>
        </w:rPr>
      </w:pPr>
      <w:r>
        <w:rPr>
          <w:rFonts w:cs="Arial"/>
          <w:szCs w:val="20"/>
        </w:rPr>
        <w:t xml:space="preserve">AN-SNAP classified data with admission and separation dates for the </w:t>
      </w:r>
      <w:r w:rsidR="00DC3097">
        <w:rPr>
          <w:rFonts w:cs="Arial"/>
          <w:szCs w:val="20"/>
        </w:rPr>
        <w:t>2013-14</w:t>
      </w:r>
      <w:r>
        <w:rPr>
          <w:rFonts w:cs="Arial"/>
          <w:szCs w:val="20"/>
        </w:rPr>
        <w:t xml:space="preserve"> financial year</w:t>
      </w:r>
    </w:p>
    <w:p w:rsidR="00F51276" w:rsidRPr="00727DC1" w:rsidRDefault="00791929" w:rsidP="00F51276">
      <w:pPr>
        <w:pStyle w:val="ListParagraph"/>
        <w:numPr>
          <w:ilvl w:val="1"/>
          <w:numId w:val="36"/>
        </w:numPr>
        <w:tabs>
          <w:tab w:val="left" w:pos="1162"/>
        </w:tabs>
        <w:spacing w:before="80" w:after="0"/>
        <w:rPr>
          <w:rFonts w:cs="Arial"/>
          <w:szCs w:val="20"/>
        </w:rPr>
      </w:pPr>
      <w:r>
        <w:rPr>
          <w:rFonts w:cs="Arial"/>
          <w:szCs w:val="20"/>
        </w:rPr>
        <w:t>246</w:t>
      </w:r>
      <w:r w:rsidRPr="00727DC1">
        <w:rPr>
          <w:rFonts w:cs="Arial"/>
          <w:szCs w:val="20"/>
        </w:rPr>
        <w:t xml:space="preserve"> </w:t>
      </w:r>
      <w:r w:rsidR="00F51276" w:rsidRPr="00727DC1">
        <w:rPr>
          <w:rFonts w:cs="Arial"/>
          <w:szCs w:val="20"/>
        </w:rPr>
        <w:t xml:space="preserve">establishments reported </w:t>
      </w:r>
      <w:r w:rsidR="008F16BA" w:rsidRPr="00727DC1">
        <w:rPr>
          <w:rFonts w:cs="Arial"/>
          <w:szCs w:val="20"/>
        </w:rPr>
        <w:t xml:space="preserve">data grouped to </w:t>
      </w:r>
      <w:r w:rsidR="00F51276" w:rsidRPr="00727DC1">
        <w:rPr>
          <w:rFonts w:cs="Arial"/>
          <w:szCs w:val="20"/>
        </w:rPr>
        <w:t>AN</w:t>
      </w:r>
      <w:r w:rsidR="00F51276" w:rsidRPr="00727DC1">
        <w:rPr>
          <w:rFonts w:cs="Arial"/>
          <w:szCs w:val="20"/>
        </w:rPr>
        <w:noBreakHyphen/>
        <w:t xml:space="preserve">SNAP </w:t>
      </w:r>
      <w:r w:rsidR="008F16BA" w:rsidRPr="00727DC1">
        <w:rPr>
          <w:rFonts w:cs="Arial"/>
          <w:szCs w:val="20"/>
        </w:rPr>
        <w:t xml:space="preserve">v4 classes </w:t>
      </w:r>
      <w:r w:rsidR="00F51276" w:rsidRPr="00727DC1">
        <w:rPr>
          <w:rFonts w:cs="Arial"/>
          <w:szCs w:val="20"/>
        </w:rPr>
        <w:t xml:space="preserve">comprising of </w:t>
      </w:r>
      <w:r>
        <w:rPr>
          <w:rFonts w:cs="Arial"/>
          <w:szCs w:val="20"/>
        </w:rPr>
        <w:t>129,338</w:t>
      </w:r>
      <w:r w:rsidR="00F51276" w:rsidRPr="00727DC1">
        <w:rPr>
          <w:rFonts w:cs="Arial"/>
          <w:szCs w:val="20"/>
        </w:rPr>
        <w:t xml:space="preserve"> records involving </w:t>
      </w:r>
      <w:r>
        <w:rPr>
          <w:rFonts w:cs="Arial"/>
          <w:szCs w:val="20"/>
        </w:rPr>
        <w:t>1,780,993</w:t>
      </w:r>
      <w:r w:rsidR="00600132" w:rsidRPr="00727DC1">
        <w:rPr>
          <w:rFonts w:cs="Arial"/>
          <w:szCs w:val="20"/>
        </w:rPr>
        <w:t xml:space="preserve"> </w:t>
      </w:r>
      <w:r w:rsidR="00F51276" w:rsidRPr="00727DC1">
        <w:rPr>
          <w:rFonts w:cs="Arial"/>
          <w:szCs w:val="20"/>
        </w:rPr>
        <w:t xml:space="preserve">days. </w:t>
      </w:r>
    </w:p>
    <w:p w:rsidR="00F51276" w:rsidRDefault="00F51276" w:rsidP="00F51276">
      <w:pPr>
        <w:tabs>
          <w:tab w:val="left" w:pos="1162"/>
        </w:tabs>
        <w:spacing w:before="200"/>
        <w:rPr>
          <w:rFonts w:cs="Arial"/>
          <w:szCs w:val="20"/>
        </w:rPr>
      </w:pPr>
      <w:r>
        <w:rPr>
          <w:rFonts w:cs="Arial"/>
          <w:szCs w:val="20"/>
        </w:rPr>
        <w:t xml:space="preserve">As in the </w:t>
      </w:r>
      <w:r w:rsidR="001C6800">
        <w:rPr>
          <w:rFonts w:cs="Arial"/>
          <w:szCs w:val="20"/>
        </w:rPr>
        <w:t>admitted acute</w:t>
      </w:r>
      <w:r w:rsidR="00FE7253">
        <w:rPr>
          <w:rFonts w:cs="Arial"/>
          <w:szCs w:val="20"/>
        </w:rPr>
        <w:t xml:space="preserve"> care cost </w:t>
      </w:r>
      <w:r>
        <w:rPr>
          <w:rFonts w:cs="Arial"/>
          <w:szCs w:val="20"/>
        </w:rPr>
        <w:t>model, HCP data was used to correct for the missing private patient costs in the NHCDC, as well as for subsequent estimates of private patient service adjustments (see Section 2.2.8).</w:t>
      </w:r>
    </w:p>
    <w:p w:rsidR="00F51276" w:rsidRDefault="00F51276" w:rsidP="00F51276">
      <w:pPr>
        <w:tabs>
          <w:tab w:val="left" w:pos="1162"/>
        </w:tabs>
        <w:rPr>
          <w:rFonts w:cs="Arial"/>
          <w:szCs w:val="20"/>
        </w:rPr>
      </w:pPr>
      <w:r>
        <w:rPr>
          <w:rFonts w:cs="Arial"/>
          <w:szCs w:val="20"/>
        </w:rPr>
        <w:t xml:space="preserve">For </w:t>
      </w:r>
      <w:r w:rsidR="00DC3097">
        <w:rPr>
          <w:rFonts w:cs="Arial"/>
          <w:szCs w:val="20"/>
        </w:rPr>
        <w:t>NEP16</w:t>
      </w:r>
      <w:r>
        <w:rPr>
          <w:rFonts w:cs="Arial"/>
          <w:szCs w:val="20"/>
        </w:rPr>
        <w:t xml:space="preserve">, the data was trimmed for extreme outliers using similar methodology to the </w:t>
      </w:r>
      <w:r w:rsidR="001C6800">
        <w:rPr>
          <w:rFonts w:cs="Arial"/>
          <w:szCs w:val="20"/>
        </w:rPr>
        <w:t>admitted acute</w:t>
      </w:r>
      <w:r>
        <w:rPr>
          <w:rFonts w:cs="Arial"/>
          <w:szCs w:val="20"/>
        </w:rPr>
        <w:t xml:space="preserve"> care cost model. The following data was not used to derive the AN-SNAP </w:t>
      </w:r>
      <w:r w:rsidR="00DC3097">
        <w:rPr>
          <w:rFonts w:cs="Arial"/>
          <w:szCs w:val="20"/>
        </w:rPr>
        <w:t xml:space="preserve">v4 </w:t>
      </w:r>
      <w:r>
        <w:rPr>
          <w:rFonts w:cs="Arial"/>
          <w:szCs w:val="20"/>
        </w:rPr>
        <w:t xml:space="preserve">cost profiles:  </w:t>
      </w:r>
    </w:p>
    <w:p w:rsidR="00F51276" w:rsidRPr="00727DC1" w:rsidRDefault="00F51276" w:rsidP="00F51276">
      <w:pPr>
        <w:pStyle w:val="ListParagraph"/>
        <w:numPr>
          <w:ilvl w:val="0"/>
          <w:numId w:val="61"/>
        </w:numPr>
        <w:tabs>
          <w:tab w:val="left" w:pos="1162"/>
        </w:tabs>
        <w:ind w:left="714" w:hanging="357"/>
        <w:rPr>
          <w:rFonts w:cs="Arial"/>
          <w:szCs w:val="20"/>
        </w:rPr>
      </w:pPr>
      <w:r w:rsidRPr="00727DC1">
        <w:rPr>
          <w:rFonts w:cs="Arial"/>
          <w:szCs w:val="20"/>
        </w:rPr>
        <w:t>Paediatric Records</w:t>
      </w:r>
    </w:p>
    <w:p w:rsidR="00F51276" w:rsidRPr="00727DC1" w:rsidRDefault="00F51276" w:rsidP="00F51276">
      <w:pPr>
        <w:pStyle w:val="ListParagraph"/>
        <w:numPr>
          <w:ilvl w:val="0"/>
          <w:numId w:val="61"/>
        </w:numPr>
        <w:tabs>
          <w:tab w:val="left" w:pos="1162"/>
        </w:tabs>
        <w:rPr>
          <w:rFonts w:cs="Arial"/>
          <w:szCs w:val="20"/>
        </w:rPr>
      </w:pPr>
      <w:r w:rsidRPr="00727DC1">
        <w:rPr>
          <w:rFonts w:cs="Arial"/>
          <w:szCs w:val="20"/>
        </w:rPr>
        <w:t xml:space="preserve">Records that had an </w:t>
      </w:r>
      <w:r w:rsidR="00347801">
        <w:rPr>
          <w:rFonts w:cs="Arial"/>
          <w:szCs w:val="20"/>
        </w:rPr>
        <w:t>in-scope</w:t>
      </w:r>
      <w:r w:rsidRPr="00727DC1">
        <w:rPr>
          <w:rFonts w:cs="Arial"/>
          <w:szCs w:val="20"/>
        </w:rPr>
        <w:t xml:space="preserve"> cost of $0</w:t>
      </w:r>
    </w:p>
    <w:p w:rsidR="00F51276" w:rsidRPr="00727DC1" w:rsidRDefault="00F51276" w:rsidP="00F51276">
      <w:pPr>
        <w:pStyle w:val="ListParagraph"/>
        <w:numPr>
          <w:ilvl w:val="0"/>
          <w:numId w:val="61"/>
        </w:numPr>
        <w:tabs>
          <w:tab w:val="left" w:pos="1162"/>
        </w:tabs>
        <w:rPr>
          <w:rFonts w:cs="Arial"/>
          <w:szCs w:val="20"/>
        </w:rPr>
      </w:pPr>
      <w:r w:rsidRPr="00727DC1">
        <w:rPr>
          <w:rFonts w:cs="Arial"/>
          <w:szCs w:val="20"/>
        </w:rPr>
        <w:t xml:space="preserve">Records with an Error or </w:t>
      </w:r>
      <w:proofErr w:type="spellStart"/>
      <w:r w:rsidRPr="00727DC1">
        <w:rPr>
          <w:rFonts w:cs="Arial"/>
          <w:szCs w:val="20"/>
        </w:rPr>
        <w:t>Ungroupable</w:t>
      </w:r>
      <w:proofErr w:type="spellEnd"/>
      <w:r w:rsidRPr="00727DC1">
        <w:rPr>
          <w:rFonts w:cs="Arial"/>
          <w:szCs w:val="20"/>
        </w:rPr>
        <w:t xml:space="preserve"> AN-SNAP</w:t>
      </w:r>
      <w:r w:rsidR="00693CC5" w:rsidRPr="00727DC1">
        <w:rPr>
          <w:rFonts w:cs="Arial"/>
          <w:szCs w:val="20"/>
        </w:rPr>
        <w:t xml:space="preserve"> </w:t>
      </w:r>
      <w:r w:rsidR="00DC3097" w:rsidRPr="00727DC1">
        <w:rPr>
          <w:rFonts w:cs="Arial"/>
          <w:szCs w:val="20"/>
        </w:rPr>
        <w:t xml:space="preserve">v4 </w:t>
      </w:r>
      <w:r w:rsidRPr="00727DC1">
        <w:rPr>
          <w:rFonts w:cs="Arial"/>
          <w:szCs w:val="20"/>
        </w:rPr>
        <w:t>class</w:t>
      </w:r>
    </w:p>
    <w:p w:rsidR="00F51276" w:rsidRPr="00727DC1" w:rsidRDefault="00F51276" w:rsidP="00F51276">
      <w:pPr>
        <w:pStyle w:val="ListParagraph"/>
        <w:numPr>
          <w:ilvl w:val="0"/>
          <w:numId w:val="61"/>
        </w:numPr>
        <w:tabs>
          <w:tab w:val="left" w:pos="1162"/>
        </w:tabs>
        <w:rPr>
          <w:rFonts w:cs="Arial"/>
          <w:szCs w:val="20"/>
        </w:rPr>
      </w:pPr>
      <w:r w:rsidRPr="00727DC1">
        <w:rPr>
          <w:rFonts w:cs="Arial"/>
          <w:szCs w:val="20"/>
        </w:rPr>
        <w:t>Non Phase palliative care separations</w:t>
      </w:r>
    </w:p>
    <w:p w:rsidR="00F51276" w:rsidRPr="00727DC1" w:rsidRDefault="00F51276" w:rsidP="00F51276">
      <w:pPr>
        <w:pStyle w:val="ListParagraph"/>
        <w:numPr>
          <w:ilvl w:val="0"/>
          <w:numId w:val="61"/>
        </w:numPr>
        <w:tabs>
          <w:tab w:val="left" w:pos="1162"/>
        </w:tabs>
        <w:rPr>
          <w:rFonts w:cs="Arial"/>
          <w:szCs w:val="20"/>
        </w:rPr>
      </w:pPr>
      <w:r w:rsidRPr="00727DC1">
        <w:rPr>
          <w:rFonts w:cs="Arial"/>
          <w:szCs w:val="20"/>
        </w:rPr>
        <w:t>Extreme cost outliers within an AN-SNAP v</w:t>
      </w:r>
      <w:r w:rsidR="002E49CC" w:rsidRPr="00727DC1">
        <w:rPr>
          <w:rFonts w:cs="Arial"/>
          <w:szCs w:val="20"/>
        </w:rPr>
        <w:t>4</w:t>
      </w:r>
      <w:r w:rsidRPr="00727DC1">
        <w:rPr>
          <w:rFonts w:cs="Arial"/>
          <w:szCs w:val="20"/>
        </w:rPr>
        <w:t xml:space="preserve"> class. </w:t>
      </w:r>
    </w:p>
    <w:p w:rsidR="00F51276" w:rsidRPr="00EC1676" w:rsidRDefault="00F51276" w:rsidP="00F51276">
      <w:pPr>
        <w:pStyle w:val="Heading3"/>
        <w:keepLines w:val="0"/>
        <w:numPr>
          <w:ilvl w:val="2"/>
          <w:numId w:val="35"/>
        </w:numPr>
        <w:tabs>
          <w:tab w:val="left" w:pos="1162"/>
        </w:tabs>
        <w:spacing w:before="240" w:after="120"/>
      </w:pPr>
      <w:bookmarkStart w:id="274" w:name="_Toc380754742"/>
      <w:bookmarkStart w:id="275" w:name="_Toc444528611"/>
      <w:r>
        <w:t>Stratification and weighting</w:t>
      </w:r>
      <w:bookmarkEnd w:id="274"/>
      <w:bookmarkEnd w:id="275"/>
    </w:p>
    <w:p w:rsidR="00F51276" w:rsidRDefault="00F51276" w:rsidP="00F51276">
      <w:pPr>
        <w:tabs>
          <w:tab w:val="left" w:pos="1162"/>
        </w:tabs>
        <w:rPr>
          <w:rFonts w:cs="Arial"/>
          <w:szCs w:val="20"/>
        </w:rPr>
      </w:pPr>
      <w:r>
        <w:rPr>
          <w:rFonts w:cs="Arial"/>
          <w:szCs w:val="20"/>
        </w:rPr>
        <w:t xml:space="preserve">The sample of AN-SNAP classified data was weighted to account for the fact that the used sample excludes all activity with an admission date prior to 1 July </w:t>
      </w:r>
      <w:r w:rsidR="002E49CC">
        <w:rPr>
          <w:rFonts w:cs="Arial"/>
          <w:szCs w:val="20"/>
        </w:rPr>
        <w:t xml:space="preserve">2013 </w:t>
      </w:r>
      <w:r>
        <w:rPr>
          <w:rFonts w:cs="Arial"/>
          <w:szCs w:val="20"/>
        </w:rPr>
        <w:t xml:space="preserve">(see Section </w:t>
      </w:r>
      <w:r>
        <w:rPr>
          <w:rFonts w:cs="Arial"/>
          <w:szCs w:val="20"/>
        </w:rPr>
        <w:fldChar w:fldCharType="begin"/>
      </w:r>
      <w:r>
        <w:rPr>
          <w:rFonts w:cs="Arial"/>
          <w:szCs w:val="20"/>
        </w:rPr>
        <w:instrText xml:space="preserve"> REF _Ref342385246 \r \h  \* MERGEFORMAT </w:instrText>
      </w:r>
      <w:r>
        <w:rPr>
          <w:rFonts w:cs="Arial"/>
          <w:szCs w:val="20"/>
        </w:rPr>
      </w:r>
      <w:r>
        <w:rPr>
          <w:rFonts w:cs="Arial"/>
          <w:szCs w:val="20"/>
        </w:rPr>
        <w:fldChar w:fldCharType="separate"/>
      </w:r>
      <w:r w:rsidR="0027530C">
        <w:rPr>
          <w:rFonts w:cs="Arial"/>
          <w:szCs w:val="20"/>
        </w:rPr>
        <w:t>2.2.2</w:t>
      </w:r>
      <w:r>
        <w:rPr>
          <w:rFonts w:cs="Arial"/>
          <w:szCs w:val="20"/>
        </w:rPr>
        <w:fldChar w:fldCharType="end"/>
      </w:r>
      <w:r>
        <w:rPr>
          <w:rFonts w:cs="Arial"/>
          <w:szCs w:val="20"/>
        </w:rPr>
        <w:t>).</w:t>
      </w:r>
    </w:p>
    <w:p w:rsidR="00151D4A" w:rsidRDefault="00151D4A" w:rsidP="00F51276">
      <w:pPr>
        <w:tabs>
          <w:tab w:val="left" w:pos="1162"/>
        </w:tabs>
        <w:rPr>
          <w:rFonts w:cs="Arial"/>
          <w:szCs w:val="20"/>
        </w:rPr>
      </w:pPr>
    </w:p>
    <w:p w:rsidR="00151D4A" w:rsidRDefault="00151D4A" w:rsidP="00F51276">
      <w:pPr>
        <w:tabs>
          <w:tab w:val="left" w:pos="1162"/>
        </w:tabs>
        <w:rPr>
          <w:rFonts w:cs="Arial"/>
          <w:szCs w:val="20"/>
        </w:rPr>
      </w:pPr>
    </w:p>
    <w:p w:rsidR="00F51276" w:rsidRPr="00EC1676" w:rsidRDefault="00F51276" w:rsidP="00F51276">
      <w:pPr>
        <w:pStyle w:val="Heading3"/>
        <w:keepLines w:val="0"/>
        <w:numPr>
          <w:ilvl w:val="2"/>
          <w:numId w:val="35"/>
        </w:numPr>
        <w:tabs>
          <w:tab w:val="left" w:pos="1162"/>
        </w:tabs>
        <w:spacing w:before="240" w:after="120"/>
      </w:pPr>
      <w:bookmarkStart w:id="276" w:name="_Toc380754743"/>
      <w:bookmarkStart w:id="277" w:name="_Toc444528612"/>
      <w:r>
        <w:t xml:space="preserve">Determining AN-SNAP Version </w:t>
      </w:r>
      <w:r w:rsidR="002E49CC">
        <w:t>4</w:t>
      </w:r>
      <w:r>
        <w:t xml:space="preserve"> c</w:t>
      </w:r>
      <w:r w:rsidRPr="00EC1676">
        <w:t>ost parameters</w:t>
      </w:r>
      <w:bookmarkEnd w:id="276"/>
      <w:bookmarkEnd w:id="277"/>
    </w:p>
    <w:p w:rsidR="00F51276" w:rsidRDefault="00F51276" w:rsidP="00F51276">
      <w:pPr>
        <w:tabs>
          <w:tab w:val="left" w:pos="1162"/>
        </w:tabs>
        <w:rPr>
          <w:rFonts w:cs="Arial"/>
          <w:szCs w:val="20"/>
        </w:rPr>
      </w:pPr>
      <w:r w:rsidRPr="00250D7F">
        <w:rPr>
          <w:rFonts w:cs="Arial"/>
          <w:szCs w:val="20"/>
        </w:rPr>
        <w:t xml:space="preserve">The AN-SNAP </w:t>
      </w:r>
      <w:r>
        <w:rPr>
          <w:rFonts w:cs="Arial"/>
          <w:szCs w:val="20"/>
        </w:rPr>
        <w:t xml:space="preserve">cost </w:t>
      </w:r>
      <w:r w:rsidRPr="00250D7F">
        <w:rPr>
          <w:rFonts w:cs="Arial"/>
          <w:szCs w:val="20"/>
        </w:rPr>
        <w:t>model parameters</w:t>
      </w:r>
      <w:r>
        <w:rPr>
          <w:rFonts w:cs="Arial"/>
          <w:szCs w:val="20"/>
        </w:rPr>
        <w:t xml:space="preserve"> </w:t>
      </w:r>
      <w:r w:rsidRPr="00250D7F">
        <w:rPr>
          <w:rFonts w:cs="Arial"/>
          <w:szCs w:val="20"/>
        </w:rPr>
        <w:t>comprise</w:t>
      </w:r>
      <w:r>
        <w:rPr>
          <w:rFonts w:cs="Arial"/>
          <w:szCs w:val="20"/>
        </w:rPr>
        <w:t xml:space="preserve"> the following: </w:t>
      </w:r>
    </w:p>
    <w:p w:rsidR="00F51276" w:rsidRDefault="00F51276" w:rsidP="00F51276">
      <w:pPr>
        <w:pStyle w:val="ListParagraph"/>
        <w:numPr>
          <w:ilvl w:val="0"/>
          <w:numId w:val="60"/>
        </w:numPr>
        <w:tabs>
          <w:tab w:val="left" w:pos="1162"/>
        </w:tabs>
        <w:rPr>
          <w:rFonts w:cs="Arial"/>
          <w:szCs w:val="20"/>
        </w:rPr>
      </w:pPr>
      <w:r w:rsidRPr="00FA3851">
        <w:rPr>
          <w:rFonts w:cs="Arial"/>
          <w:i/>
          <w:szCs w:val="20"/>
        </w:rPr>
        <w:t>Same Day price weight:</w:t>
      </w:r>
      <w:r>
        <w:rPr>
          <w:rFonts w:cs="Arial"/>
          <w:szCs w:val="20"/>
        </w:rPr>
        <w:t xml:space="preserve"> applicable to records within a Same Day </w:t>
      </w:r>
      <w:r w:rsidR="00FE7253">
        <w:rPr>
          <w:rFonts w:cs="Arial"/>
          <w:szCs w:val="20"/>
        </w:rPr>
        <w:t xml:space="preserve">SNAP </w:t>
      </w:r>
      <w:r>
        <w:rPr>
          <w:rFonts w:cs="Arial"/>
          <w:szCs w:val="20"/>
        </w:rPr>
        <w:t xml:space="preserve">class or admitted and discharged on the same day in a palliative care type. </w:t>
      </w:r>
    </w:p>
    <w:p w:rsidR="00F51276" w:rsidRDefault="00F51276" w:rsidP="00F51276">
      <w:pPr>
        <w:pStyle w:val="ListParagraph"/>
        <w:numPr>
          <w:ilvl w:val="0"/>
          <w:numId w:val="60"/>
        </w:numPr>
        <w:tabs>
          <w:tab w:val="left" w:pos="1162"/>
        </w:tabs>
        <w:rPr>
          <w:rFonts w:cs="Arial"/>
          <w:szCs w:val="20"/>
        </w:rPr>
      </w:pPr>
      <w:r w:rsidRPr="00FA3851">
        <w:rPr>
          <w:rFonts w:cs="Arial"/>
          <w:i/>
          <w:szCs w:val="20"/>
        </w:rPr>
        <w:t xml:space="preserve">Short Stay Outlier Per Diem rate: </w:t>
      </w:r>
      <w:r>
        <w:rPr>
          <w:rFonts w:cs="Arial"/>
          <w:szCs w:val="20"/>
        </w:rPr>
        <w:t>applicable to records that are not same day and have a length of stay shorter than the lower bound.</w:t>
      </w:r>
    </w:p>
    <w:p w:rsidR="00F51276" w:rsidRDefault="00F51276" w:rsidP="00F51276">
      <w:pPr>
        <w:pStyle w:val="ListParagraph"/>
        <w:numPr>
          <w:ilvl w:val="0"/>
          <w:numId w:val="60"/>
        </w:numPr>
        <w:tabs>
          <w:tab w:val="left" w:pos="1162"/>
        </w:tabs>
        <w:rPr>
          <w:rFonts w:cs="Arial"/>
          <w:szCs w:val="20"/>
        </w:rPr>
      </w:pPr>
      <w:r w:rsidRPr="00FA3851">
        <w:rPr>
          <w:rFonts w:cs="Arial"/>
          <w:i/>
          <w:szCs w:val="20"/>
        </w:rPr>
        <w:t>Inlier Episodic Rate:</w:t>
      </w:r>
      <w:r>
        <w:rPr>
          <w:rFonts w:cs="Arial"/>
          <w:szCs w:val="20"/>
        </w:rPr>
        <w:t xml:space="preserve"> applicable to records with a length of stay within the upper and lower bound of the specific AN-SNAP </w:t>
      </w:r>
      <w:r w:rsidR="00FE7253">
        <w:rPr>
          <w:rFonts w:cs="Arial"/>
          <w:szCs w:val="20"/>
        </w:rPr>
        <w:t xml:space="preserve">v4 </w:t>
      </w:r>
      <w:r>
        <w:rPr>
          <w:rFonts w:cs="Arial"/>
          <w:szCs w:val="20"/>
        </w:rPr>
        <w:t>class.</w:t>
      </w:r>
    </w:p>
    <w:p w:rsidR="00F51276" w:rsidRPr="00977DA5" w:rsidRDefault="00F51276" w:rsidP="00F51276">
      <w:pPr>
        <w:pStyle w:val="ListParagraph"/>
        <w:numPr>
          <w:ilvl w:val="0"/>
          <w:numId w:val="60"/>
        </w:numPr>
        <w:tabs>
          <w:tab w:val="left" w:pos="1162"/>
        </w:tabs>
        <w:rPr>
          <w:rFonts w:cs="Arial"/>
          <w:szCs w:val="20"/>
        </w:rPr>
      </w:pPr>
      <w:r w:rsidRPr="00FA3851">
        <w:rPr>
          <w:rFonts w:cs="Arial"/>
          <w:i/>
          <w:szCs w:val="20"/>
        </w:rPr>
        <w:t>Long stay Outlier Per Diem Rate:</w:t>
      </w:r>
      <w:r>
        <w:rPr>
          <w:rFonts w:cs="Arial"/>
          <w:szCs w:val="20"/>
        </w:rPr>
        <w:t xml:space="preserve"> applicable to records with a length of stay longer than the specified upper bound. </w:t>
      </w:r>
    </w:p>
    <w:p w:rsidR="00F51276" w:rsidRPr="00EC1676" w:rsidRDefault="00F51276" w:rsidP="00F51276">
      <w:pPr>
        <w:pStyle w:val="Heading3"/>
        <w:keepLines w:val="0"/>
        <w:numPr>
          <w:ilvl w:val="2"/>
          <w:numId w:val="35"/>
        </w:numPr>
        <w:tabs>
          <w:tab w:val="left" w:pos="1162"/>
        </w:tabs>
        <w:spacing w:before="240" w:after="120"/>
      </w:pPr>
      <w:bookmarkStart w:id="278" w:name="_Toc380754744"/>
      <w:bookmarkStart w:id="279" w:name="_Toc444528613"/>
      <w:r w:rsidRPr="00EC1676">
        <w:t>Calculation of additional adjustments</w:t>
      </w:r>
      <w:bookmarkEnd w:id="278"/>
      <w:bookmarkEnd w:id="279"/>
    </w:p>
    <w:p w:rsidR="00F51276" w:rsidRPr="00250D7F" w:rsidRDefault="00F51276" w:rsidP="00F51276">
      <w:pPr>
        <w:tabs>
          <w:tab w:val="left" w:pos="1162"/>
        </w:tabs>
        <w:rPr>
          <w:rFonts w:cs="Arial"/>
          <w:szCs w:val="20"/>
        </w:rPr>
      </w:pPr>
      <w:r>
        <w:rPr>
          <w:rFonts w:cs="Arial"/>
          <w:szCs w:val="20"/>
        </w:rPr>
        <w:t>The following adjustments were derived within the subacute cost model</w:t>
      </w:r>
      <w:r w:rsidRPr="00250D7F">
        <w:rPr>
          <w:rFonts w:cs="Arial"/>
          <w:szCs w:val="20"/>
        </w:rPr>
        <w:t>:</w:t>
      </w:r>
    </w:p>
    <w:p w:rsidR="00F51276" w:rsidRPr="00250D7F" w:rsidRDefault="00F51276" w:rsidP="00F51276">
      <w:pPr>
        <w:pStyle w:val="ListParagraph"/>
        <w:numPr>
          <w:ilvl w:val="0"/>
          <w:numId w:val="27"/>
        </w:numPr>
        <w:tabs>
          <w:tab w:val="left" w:pos="1162"/>
        </w:tabs>
        <w:ind w:left="714" w:hanging="357"/>
        <w:rPr>
          <w:rFonts w:cs="Arial"/>
          <w:i/>
          <w:szCs w:val="20"/>
        </w:rPr>
      </w:pPr>
      <w:r w:rsidRPr="00250D7F">
        <w:rPr>
          <w:rFonts w:cs="Arial"/>
          <w:i/>
          <w:szCs w:val="20"/>
        </w:rPr>
        <w:t xml:space="preserve">Indigenous </w:t>
      </w:r>
      <w:r>
        <w:rPr>
          <w:rFonts w:cs="Arial"/>
          <w:i/>
          <w:szCs w:val="20"/>
        </w:rPr>
        <w:t>a</w:t>
      </w:r>
      <w:r w:rsidRPr="00250D7F">
        <w:rPr>
          <w:rFonts w:cs="Arial"/>
          <w:i/>
          <w:szCs w:val="20"/>
        </w:rPr>
        <w:t xml:space="preserve">djustment and </w:t>
      </w:r>
      <w:r>
        <w:rPr>
          <w:rFonts w:cs="Arial"/>
          <w:i/>
          <w:szCs w:val="20"/>
        </w:rPr>
        <w:t>r</w:t>
      </w:r>
      <w:r w:rsidRPr="00250D7F">
        <w:rPr>
          <w:rFonts w:cs="Arial"/>
          <w:i/>
          <w:szCs w:val="20"/>
        </w:rPr>
        <w:t>emote</w:t>
      </w:r>
      <w:r>
        <w:rPr>
          <w:rFonts w:cs="Arial"/>
          <w:i/>
          <w:szCs w:val="20"/>
        </w:rPr>
        <w:t>ness</w:t>
      </w:r>
      <w:r w:rsidRPr="00250D7F">
        <w:rPr>
          <w:rFonts w:cs="Arial"/>
          <w:i/>
          <w:szCs w:val="20"/>
        </w:rPr>
        <w:t xml:space="preserve"> </w:t>
      </w:r>
      <w:r>
        <w:rPr>
          <w:rFonts w:cs="Arial"/>
          <w:i/>
          <w:szCs w:val="20"/>
        </w:rPr>
        <w:t>a</w:t>
      </w:r>
      <w:r w:rsidRPr="00250D7F">
        <w:rPr>
          <w:rFonts w:cs="Arial"/>
          <w:i/>
          <w:szCs w:val="20"/>
        </w:rPr>
        <w:t>djustment</w:t>
      </w:r>
      <w:r w:rsidRPr="00250D7F">
        <w:rPr>
          <w:rFonts w:cs="Arial"/>
          <w:szCs w:val="20"/>
        </w:rPr>
        <w:t>:</w:t>
      </w:r>
      <w:r>
        <w:rPr>
          <w:rFonts w:cs="Arial"/>
          <w:szCs w:val="20"/>
        </w:rPr>
        <w:t xml:space="preserve"> </w:t>
      </w:r>
      <w:r w:rsidRPr="00250D7F">
        <w:rPr>
          <w:rFonts w:cs="Arial"/>
          <w:szCs w:val="20"/>
        </w:rPr>
        <w:t xml:space="preserve">These adjustments </w:t>
      </w:r>
      <w:r>
        <w:rPr>
          <w:rFonts w:cs="Arial"/>
          <w:szCs w:val="20"/>
        </w:rPr>
        <w:t>are</w:t>
      </w:r>
      <w:r w:rsidRPr="00250D7F">
        <w:rPr>
          <w:rFonts w:cs="Arial"/>
          <w:szCs w:val="20"/>
        </w:rPr>
        <w:t xml:space="preserve"> calculated in the same way as for the acute model. The three</w:t>
      </w:r>
      <w:r>
        <w:rPr>
          <w:rFonts w:cs="Arial"/>
          <w:szCs w:val="20"/>
        </w:rPr>
        <w:t xml:space="preserve"> components of the remoteness adjustment and </w:t>
      </w:r>
      <w:r w:rsidR="00DF77B4">
        <w:rPr>
          <w:rFonts w:cs="Arial"/>
          <w:szCs w:val="20"/>
        </w:rPr>
        <w:t>Indigenous</w:t>
      </w:r>
      <w:r>
        <w:rPr>
          <w:rFonts w:cs="Arial"/>
          <w:szCs w:val="20"/>
        </w:rPr>
        <w:t xml:space="preserve"> adjustment are</w:t>
      </w:r>
      <w:r w:rsidRPr="00250D7F">
        <w:rPr>
          <w:rFonts w:cs="Arial"/>
          <w:szCs w:val="20"/>
        </w:rPr>
        <w:t xml:space="preserve"> harmonised and set to be equal to their counterparts in the </w:t>
      </w:r>
      <w:r w:rsidR="001C6800">
        <w:rPr>
          <w:rFonts w:cs="Arial"/>
          <w:szCs w:val="20"/>
        </w:rPr>
        <w:t>admitted acute</w:t>
      </w:r>
      <w:r w:rsidRPr="00250D7F">
        <w:rPr>
          <w:rFonts w:cs="Arial"/>
          <w:szCs w:val="20"/>
        </w:rPr>
        <w:t xml:space="preserve"> model</w:t>
      </w:r>
      <w:r>
        <w:rPr>
          <w:rFonts w:cs="Arial"/>
          <w:szCs w:val="20"/>
        </w:rPr>
        <w:t>. This is because they all differed from their acute counterpart only by a very small margin</w:t>
      </w:r>
      <w:r w:rsidRPr="00250D7F">
        <w:rPr>
          <w:rFonts w:cs="Arial"/>
          <w:szCs w:val="20"/>
        </w:rPr>
        <w:t xml:space="preserve">. </w:t>
      </w:r>
    </w:p>
    <w:p w:rsidR="00F51276" w:rsidRDefault="00F51276" w:rsidP="00F51276">
      <w:pPr>
        <w:pStyle w:val="ListParagraph"/>
        <w:numPr>
          <w:ilvl w:val="0"/>
          <w:numId w:val="27"/>
        </w:numPr>
        <w:tabs>
          <w:tab w:val="left" w:pos="1162"/>
        </w:tabs>
        <w:ind w:left="714" w:hanging="357"/>
        <w:rPr>
          <w:rFonts w:cs="Arial"/>
          <w:szCs w:val="20"/>
        </w:rPr>
      </w:pPr>
      <w:r w:rsidRPr="00250D7F">
        <w:rPr>
          <w:rFonts w:cs="Arial"/>
          <w:i/>
          <w:szCs w:val="20"/>
        </w:rPr>
        <w:t xml:space="preserve">Private </w:t>
      </w:r>
      <w:r>
        <w:rPr>
          <w:rFonts w:cs="Arial"/>
          <w:i/>
          <w:szCs w:val="20"/>
        </w:rPr>
        <w:t>p</w:t>
      </w:r>
      <w:r w:rsidRPr="00250D7F">
        <w:rPr>
          <w:rFonts w:cs="Arial"/>
          <w:i/>
          <w:szCs w:val="20"/>
        </w:rPr>
        <w:t xml:space="preserve">atient </w:t>
      </w:r>
      <w:r>
        <w:rPr>
          <w:rFonts w:cs="Arial"/>
          <w:i/>
          <w:szCs w:val="20"/>
        </w:rPr>
        <w:t>s</w:t>
      </w:r>
      <w:r w:rsidRPr="00250D7F">
        <w:rPr>
          <w:rFonts w:cs="Arial"/>
          <w:i/>
          <w:szCs w:val="20"/>
        </w:rPr>
        <w:t xml:space="preserve">ervice </w:t>
      </w:r>
      <w:r>
        <w:rPr>
          <w:rFonts w:cs="Arial"/>
          <w:i/>
          <w:szCs w:val="20"/>
        </w:rPr>
        <w:t>a</w:t>
      </w:r>
      <w:r w:rsidRPr="00250D7F">
        <w:rPr>
          <w:rFonts w:cs="Arial"/>
          <w:i/>
          <w:szCs w:val="20"/>
        </w:rPr>
        <w:t xml:space="preserve">djustment: </w:t>
      </w:r>
      <w:r>
        <w:rPr>
          <w:rFonts w:cs="Arial"/>
          <w:szCs w:val="20"/>
        </w:rPr>
        <w:t xml:space="preserve">This adjustment is </w:t>
      </w:r>
      <w:r w:rsidRPr="00250D7F">
        <w:rPr>
          <w:rFonts w:cs="Arial"/>
          <w:szCs w:val="20"/>
        </w:rPr>
        <w:t xml:space="preserve">calculated </w:t>
      </w:r>
      <w:r>
        <w:rPr>
          <w:rFonts w:cs="Arial"/>
          <w:szCs w:val="20"/>
        </w:rPr>
        <w:t xml:space="preserve">by care type </w:t>
      </w:r>
      <w:r w:rsidRPr="00250D7F">
        <w:rPr>
          <w:rFonts w:cs="Arial"/>
          <w:szCs w:val="20"/>
        </w:rPr>
        <w:t xml:space="preserve">in the same way as </w:t>
      </w:r>
      <w:r>
        <w:rPr>
          <w:rFonts w:cs="Arial"/>
          <w:szCs w:val="20"/>
        </w:rPr>
        <w:t xml:space="preserve">it is calculated by AR-DRG within the </w:t>
      </w:r>
      <w:r w:rsidR="001C6800">
        <w:rPr>
          <w:rFonts w:cs="Arial"/>
          <w:szCs w:val="20"/>
        </w:rPr>
        <w:t>admitted acute</w:t>
      </w:r>
      <w:r w:rsidRPr="00250D7F">
        <w:rPr>
          <w:rFonts w:cs="Arial"/>
          <w:szCs w:val="20"/>
        </w:rPr>
        <w:t xml:space="preserve"> </w:t>
      </w:r>
      <w:r>
        <w:rPr>
          <w:rFonts w:cs="Arial"/>
          <w:szCs w:val="20"/>
        </w:rPr>
        <w:t xml:space="preserve">cost </w:t>
      </w:r>
      <w:r w:rsidRPr="00250D7F">
        <w:rPr>
          <w:rFonts w:cs="Arial"/>
          <w:szCs w:val="20"/>
        </w:rPr>
        <w:t>model.</w:t>
      </w:r>
    </w:p>
    <w:p w:rsidR="00F51276" w:rsidRPr="00250D7F" w:rsidRDefault="00F51276" w:rsidP="00F51276">
      <w:pPr>
        <w:pStyle w:val="ListParagraph"/>
        <w:numPr>
          <w:ilvl w:val="0"/>
          <w:numId w:val="27"/>
        </w:numPr>
        <w:tabs>
          <w:tab w:val="left" w:pos="1162"/>
        </w:tabs>
        <w:rPr>
          <w:rFonts w:cs="Arial"/>
          <w:szCs w:val="20"/>
        </w:rPr>
      </w:pPr>
      <w:r>
        <w:rPr>
          <w:rFonts w:cs="Arial"/>
          <w:i/>
          <w:szCs w:val="20"/>
        </w:rPr>
        <w:t xml:space="preserve">Private patient accommodation adjustment: </w:t>
      </w:r>
      <w:r>
        <w:rPr>
          <w:rFonts w:cs="Arial"/>
          <w:szCs w:val="20"/>
        </w:rPr>
        <w:t xml:space="preserve">This adjustment is identical to that of the </w:t>
      </w:r>
      <w:r w:rsidR="001C6800">
        <w:rPr>
          <w:rFonts w:cs="Arial"/>
          <w:szCs w:val="20"/>
        </w:rPr>
        <w:t>admitted acute</w:t>
      </w:r>
      <w:r>
        <w:rPr>
          <w:rFonts w:cs="Arial"/>
          <w:szCs w:val="20"/>
        </w:rPr>
        <w:t xml:space="preserve"> cost model (see Section </w:t>
      </w:r>
      <w:r>
        <w:rPr>
          <w:rFonts w:cs="Arial"/>
          <w:szCs w:val="20"/>
        </w:rPr>
        <w:fldChar w:fldCharType="begin"/>
      </w:r>
      <w:r>
        <w:rPr>
          <w:rFonts w:cs="Arial"/>
          <w:szCs w:val="20"/>
        </w:rPr>
        <w:instrText xml:space="preserve"> REF _Ref349765580 \r \h  \* MERGEFORMAT </w:instrText>
      </w:r>
      <w:r>
        <w:rPr>
          <w:rFonts w:cs="Arial"/>
          <w:szCs w:val="20"/>
        </w:rPr>
      </w:r>
      <w:r>
        <w:rPr>
          <w:rFonts w:cs="Arial"/>
          <w:szCs w:val="20"/>
        </w:rPr>
        <w:fldChar w:fldCharType="separate"/>
      </w:r>
      <w:r w:rsidR="0027530C">
        <w:rPr>
          <w:rFonts w:cs="Arial"/>
          <w:szCs w:val="20"/>
        </w:rPr>
        <w:t>2.2.9</w:t>
      </w:r>
      <w:r>
        <w:rPr>
          <w:rFonts w:cs="Arial"/>
          <w:szCs w:val="20"/>
        </w:rPr>
        <w:fldChar w:fldCharType="end"/>
      </w:r>
      <w:r>
        <w:rPr>
          <w:rFonts w:cs="Arial"/>
          <w:szCs w:val="20"/>
        </w:rPr>
        <w:t>).</w:t>
      </w:r>
    </w:p>
    <w:p w:rsidR="00F51276" w:rsidRPr="00F3531B" w:rsidRDefault="00F51276" w:rsidP="00F51276">
      <w:pPr>
        <w:tabs>
          <w:tab w:val="left" w:pos="1162"/>
        </w:tabs>
        <w:rPr>
          <w:rFonts w:cs="Arial"/>
          <w:szCs w:val="20"/>
        </w:rPr>
      </w:pPr>
      <w:r w:rsidRPr="00F3531B">
        <w:rPr>
          <w:rFonts w:cs="Arial"/>
          <w:szCs w:val="20"/>
        </w:rPr>
        <w:t>In summary</w:t>
      </w:r>
      <w:r w:rsidR="00223169">
        <w:rPr>
          <w:rFonts w:cs="Arial"/>
          <w:szCs w:val="20"/>
        </w:rPr>
        <w:t>,</w:t>
      </w:r>
      <w:r w:rsidRPr="00F3531B">
        <w:rPr>
          <w:rFonts w:cs="Arial"/>
          <w:szCs w:val="20"/>
        </w:rPr>
        <w:t xml:space="preserve"> the proportion of NHCDC activity for which the adjustments apply are as follows:</w:t>
      </w:r>
    </w:p>
    <w:p w:rsidR="00F51276" w:rsidRPr="00251370" w:rsidRDefault="00F51276" w:rsidP="00F51276">
      <w:pPr>
        <w:pStyle w:val="ListParagraph"/>
        <w:numPr>
          <w:ilvl w:val="0"/>
          <w:numId w:val="28"/>
        </w:numPr>
        <w:tabs>
          <w:tab w:val="left" w:pos="1162"/>
        </w:tabs>
        <w:spacing w:before="80" w:after="0"/>
        <w:ind w:left="714" w:hanging="357"/>
        <w:rPr>
          <w:rFonts w:cs="Arial"/>
          <w:szCs w:val="20"/>
        </w:rPr>
      </w:pPr>
      <w:r w:rsidRPr="00251370">
        <w:rPr>
          <w:rFonts w:cs="Arial"/>
          <w:szCs w:val="20"/>
        </w:rPr>
        <w:t xml:space="preserve">The </w:t>
      </w:r>
      <w:r w:rsidR="00DF77B4">
        <w:rPr>
          <w:rFonts w:cs="Arial"/>
          <w:szCs w:val="20"/>
        </w:rPr>
        <w:t>Indigenous</w:t>
      </w:r>
      <w:r w:rsidRPr="00251370">
        <w:rPr>
          <w:rFonts w:cs="Arial"/>
          <w:szCs w:val="20"/>
        </w:rPr>
        <w:t xml:space="preserve"> adjustment applied to </w:t>
      </w:r>
      <w:r w:rsidR="00251370" w:rsidRPr="00251370">
        <w:rPr>
          <w:rFonts w:cs="Arial"/>
          <w:szCs w:val="20"/>
        </w:rPr>
        <w:t>1.3</w:t>
      </w:r>
      <w:r w:rsidR="004156FF">
        <w:rPr>
          <w:rFonts w:cs="Arial"/>
          <w:szCs w:val="20"/>
        </w:rPr>
        <w:t xml:space="preserve"> per cent</w:t>
      </w:r>
      <w:r w:rsidRPr="00251370">
        <w:rPr>
          <w:rFonts w:cs="Arial"/>
          <w:szCs w:val="20"/>
        </w:rPr>
        <w:t xml:space="preserve"> of subacute activity.</w:t>
      </w:r>
    </w:p>
    <w:p w:rsidR="00F51276" w:rsidRPr="00251370" w:rsidRDefault="00F51276" w:rsidP="00F51276">
      <w:pPr>
        <w:pStyle w:val="ListParagraph"/>
        <w:numPr>
          <w:ilvl w:val="0"/>
          <w:numId w:val="28"/>
        </w:numPr>
        <w:tabs>
          <w:tab w:val="left" w:pos="1162"/>
        </w:tabs>
        <w:spacing w:before="80" w:after="0"/>
        <w:ind w:left="714" w:hanging="357"/>
        <w:rPr>
          <w:rFonts w:cs="Arial"/>
          <w:szCs w:val="20"/>
        </w:rPr>
      </w:pPr>
      <w:r w:rsidRPr="00251370">
        <w:rPr>
          <w:rFonts w:cs="Arial"/>
          <w:szCs w:val="20"/>
        </w:rPr>
        <w:t xml:space="preserve">The remoteness adjustment applied to </w:t>
      </w:r>
      <w:r w:rsidR="00791929">
        <w:rPr>
          <w:rFonts w:cs="Arial"/>
          <w:szCs w:val="20"/>
        </w:rPr>
        <w:t>4.3</w:t>
      </w:r>
      <w:r w:rsidR="004156FF">
        <w:rPr>
          <w:rFonts w:cs="Arial"/>
          <w:szCs w:val="20"/>
        </w:rPr>
        <w:t xml:space="preserve"> per cent</w:t>
      </w:r>
      <w:r w:rsidRPr="00251370">
        <w:rPr>
          <w:rFonts w:cs="Arial"/>
          <w:szCs w:val="20"/>
        </w:rPr>
        <w:t xml:space="preserve"> of subacute activity.</w:t>
      </w:r>
    </w:p>
    <w:p w:rsidR="00F51276" w:rsidRPr="00251370" w:rsidRDefault="00F51276" w:rsidP="00F51276">
      <w:pPr>
        <w:pStyle w:val="ListParagraph"/>
        <w:numPr>
          <w:ilvl w:val="0"/>
          <w:numId w:val="28"/>
        </w:numPr>
        <w:tabs>
          <w:tab w:val="left" w:pos="1162"/>
        </w:tabs>
        <w:spacing w:before="80" w:after="0"/>
        <w:ind w:left="714" w:hanging="357"/>
        <w:rPr>
          <w:rFonts w:cs="Arial"/>
          <w:szCs w:val="20"/>
        </w:rPr>
      </w:pPr>
      <w:r w:rsidRPr="00251370">
        <w:rPr>
          <w:rFonts w:cs="Arial"/>
          <w:szCs w:val="20"/>
        </w:rPr>
        <w:t xml:space="preserve">The private patient adjustments applied to </w:t>
      </w:r>
      <w:r w:rsidR="00791929">
        <w:rPr>
          <w:rFonts w:cs="Arial"/>
          <w:szCs w:val="20"/>
        </w:rPr>
        <w:t>23.8</w:t>
      </w:r>
      <w:r w:rsidR="004156FF">
        <w:rPr>
          <w:rFonts w:cs="Arial"/>
          <w:szCs w:val="20"/>
        </w:rPr>
        <w:t xml:space="preserve"> per cent</w:t>
      </w:r>
      <w:r w:rsidRPr="00251370">
        <w:rPr>
          <w:rFonts w:cs="Arial"/>
          <w:szCs w:val="20"/>
        </w:rPr>
        <w:t xml:space="preserve"> of subacute activity.</w:t>
      </w:r>
    </w:p>
    <w:p w:rsidR="00F51276" w:rsidRDefault="00F51276" w:rsidP="00F51276">
      <w:pPr>
        <w:tabs>
          <w:tab w:val="left" w:pos="1162"/>
        </w:tabs>
        <w:spacing w:before="200"/>
        <w:rPr>
          <w:rFonts w:cs="Arial"/>
          <w:szCs w:val="20"/>
        </w:rPr>
      </w:pPr>
      <w:r>
        <w:t>T</w:t>
      </w:r>
      <w:r>
        <w:rPr>
          <w:rFonts w:cs="Arial"/>
          <w:szCs w:val="20"/>
        </w:rPr>
        <w:t>he cost model (including all adjustments except the private patient adjustments) was then calibrated to ensure model costs are equalised against actual costs</w:t>
      </w:r>
      <w:r w:rsidRPr="00250D7F">
        <w:rPr>
          <w:rFonts w:cs="Arial"/>
          <w:szCs w:val="20"/>
        </w:rPr>
        <w:t>.</w:t>
      </w:r>
    </w:p>
    <w:p w:rsidR="00F51276" w:rsidRDefault="00F51276" w:rsidP="00F51276">
      <w:pPr>
        <w:pStyle w:val="Heading3"/>
        <w:keepLines w:val="0"/>
        <w:numPr>
          <w:ilvl w:val="2"/>
          <w:numId w:val="35"/>
        </w:numPr>
        <w:spacing w:before="240" w:after="120"/>
      </w:pPr>
      <w:bookmarkStart w:id="280" w:name="_Toc380754745"/>
      <w:bookmarkStart w:id="281" w:name="_Toc444528614"/>
      <w:r>
        <w:t xml:space="preserve">Calculation of Paediatric care-type per </w:t>
      </w:r>
      <w:proofErr w:type="gramStart"/>
      <w:r>
        <w:t>diem</w:t>
      </w:r>
      <w:bookmarkEnd w:id="281"/>
      <w:proofErr w:type="gramEnd"/>
    </w:p>
    <w:p w:rsidR="00F51276" w:rsidRDefault="00F51276" w:rsidP="00F51276">
      <w:r>
        <w:t xml:space="preserve">The paediatric care type rates </w:t>
      </w:r>
      <w:r w:rsidR="00FE7253">
        <w:t>for rehab</w:t>
      </w:r>
      <w:r w:rsidR="00CE00EF">
        <w:t>ilitation</w:t>
      </w:r>
      <w:r w:rsidR="00FE7253">
        <w:t xml:space="preserve"> and maintenance </w:t>
      </w:r>
      <w:r>
        <w:t xml:space="preserve">comprise of the following: </w:t>
      </w:r>
    </w:p>
    <w:p w:rsidR="00F51276" w:rsidRPr="00667796" w:rsidRDefault="00F51276" w:rsidP="00F51276">
      <w:pPr>
        <w:pStyle w:val="ListParagraph"/>
        <w:numPr>
          <w:ilvl w:val="0"/>
          <w:numId w:val="62"/>
        </w:numPr>
      </w:pPr>
      <w:r w:rsidRPr="00667796">
        <w:rPr>
          <w:i/>
        </w:rPr>
        <w:t>Same Day price rate</w:t>
      </w:r>
      <w:r w:rsidRPr="00667796">
        <w:t>: determined by the average cost of the same day paediatric separations within the specified care type.</w:t>
      </w:r>
    </w:p>
    <w:p w:rsidR="00F51276" w:rsidRDefault="00F51276" w:rsidP="00F51276">
      <w:pPr>
        <w:pStyle w:val="ListParagraph"/>
        <w:numPr>
          <w:ilvl w:val="0"/>
          <w:numId w:val="62"/>
        </w:numPr>
      </w:pPr>
      <w:r w:rsidRPr="00667796">
        <w:rPr>
          <w:i/>
        </w:rPr>
        <w:t>Overnight price rate</w:t>
      </w:r>
      <w:r w:rsidRPr="00667796">
        <w:t xml:space="preserve">: determined by taking the average cost divided by the average length of stay for overnight paediatric separations within the specified care type. </w:t>
      </w:r>
    </w:p>
    <w:p w:rsidR="00EE30C1" w:rsidRPr="00667796" w:rsidRDefault="00EE30C1" w:rsidP="00E33EAE">
      <w:r>
        <w:t xml:space="preserve">As outlined in Section </w:t>
      </w:r>
      <w:r>
        <w:fldChar w:fldCharType="begin"/>
      </w:r>
      <w:r>
        <w:instrText xml:space="preserve"> REF _Ref436131273 \r \h </w:instrText>
      </w:r>
      <w:r>
        <w:fldChar w:fldCharType="separate"/>
      </w:r>
      <w:r w:rsidR="0027530C">
        <w:t>4.1.4</w:t>
      </w:r>
      <w:r>
        <w:fldChar w:fldCharType="end"/>
      </w:r>
      <w:r>
        <w:t xml:space="preserve">, the paediatric palliative care </w:t>
      </w:r>
      <w:r w:rsidR="00CE4039">
        <w:t>type</w:t>
      </w:r>
      <w:r>
        <w:t xml:space="preserve"> </w:t>
      </w:r>
      <w:r w:rsidR="00CE4039">
        <w:t xml:space="preserve">has a single rate.  This rate is determined by dividing the average cost by the average LOS for the whole care type (both same day and overnight).  </w:t>
      </w:r>
    </w:p>
    <w:p w:rsidR="00F51276" w:rsidRPr="00EC1676" w:rsidRDefault="00F51276" w:rsidP="00F51276">
      <w:pPr>
        <w:pStyle w:val="Heading3"/>
        <w:keepLines w:val="0"/>
        <w:numPr>
          <w:ilvl w:val="2"/>
          <w:numId w:val="35"/>
        </w:numPr>
        <w:spacing w:before="240" w:after="120"/>
      </w:pPr>
      <w:bookmarkStart w:id="282" w:name="_Toc444528615"/>
      <w:r w:rsidRPr="00883EAC">
        <w:t>Price weights and NWAU</w:t>
      </w:r>
      <w:bookmarkEnd w:id="280"/>
      <w:bookmarkEnd w:id="282"/>
    </w:p>
    <w:p w:rsidR="00F51276" w:rsidRPr="00C17FFA" w:rsidRDefault="00F51276" w:rsidP="00F51276">
      <w:pPr>
        <w:tabs>
          <w:tab w:val="left" w:pos="1162"/>
        </w:tabs>
        <w:rPr>
          <w:rFonts w:cs="Arial"/>
        </w:rPr>
      </w:pPr>
      <w:bookmarkStart w:id="283" w:name="_Toc380754746"/>
      <w:r w:rsidRPr="00C17FFA">
        <w:rPr>
          <w:rFonts w:cs="Arial"/>
        </w:rPr>
        <w:t xml:space="preserve">The conversion of cost parameters to price weights involves dividing the dollar-valued cost parameters by the reference cost </w:t>
      </w:r>
      <w:r>
        <w:rPr>
          <w:rFonts w:cs="Arial"/>
        </w:rPr>
        <w:t xml:space="preserve">(from the acute care cost model) </w:t>
      </w:r>
      <w:r w:rsidRPr="00C17FFA">
        <w:rPr>
          <w:rFonts w:cs="Arial"/>
        </w:rPr>
        <w:t>to obtain cost weights. The same reference cost is used across all streams of activity and is discussed in Sec</w:t>
      </w:r>
      <w:r>
        <w:rPr>
          <w:rFonts w:cs="Arial"/>
        </w:rPr>
        <w:t>tion </w:t>
      </w:r>
      <w:r w:rsidRPr="00C17FFA">
        <w:rPr>
          <w:rFonts w:cs="Arial"/>
        </w:rPr>
        <w:t>2.2.10.</w:t>
      </w:r>
    </w:p>
    <w:p w:rsidR="00F51276" w:rsidRDefault="00F51276" w:rsidP="009B622C">
      <w:pPr>
        <w:pStyle w:val="Heading2"/>
        <w:keepLines w:val="0"/>
        <w:numPr>
          <w:ilvl w:val="1"/>
          <w:numId w:val="35"/>
        </w:numPr>
        <w:tabs>
          <w:tab w:val="left" w:pos="1162"/>
        </w:tabs>
        <w:spacing w:after="60"/>
      </w:pPr>
      <w:bookmarkStart w:id="284" w:name="_Toc444528616"/>
      <w:r>
        <w:t>Applying the NEP</w:t>
      </w:r>
      <w:bookmarkEnd w:id="283"/>
      <w:bookmarkEnd w:id="284"/>
    </w:p>
    <w:p w:rsidR="00F51276" w:rsidRDefault="00F51276" w:rsidP="00F51276">
      <w:pPr>
        <w:tabs>
          <w:tab w:val="left" w:pos="1162"/>
        </w:tabs>
        <w:spacing w:before="120"/>
        <w:rPr>
          <w:rFonts w:cs="Arial"/>
        </w:rPr>
      </w:pPr>
      <w:r w:rsidRPr="00E36060">
        <w:rPr>
          <w:rFonts w:cs="Arial"/>
        </w:rPr>
        <w:t xml:space="preserve">As set out in </w:t>
      </w:r>
      <w:r>
        <w:rPr>
          <w:rFonts w:cs="Arial"/>
        </w:rPr>
        <w:t xml:space="preserve">the </w:t>
      </w:r>
      <w:r w:rsidRPr="000B33D2">
        <w:rPr>
          <w:rFonts w:cs="Arial"/>
        </w:rPr>
        <w:t>NEP</w:t>
      </w:r>
      <w:r w:rsidR="00A3141C">
        <w:rPr>
          <w:rFonts w:cs="Arial"/>
        </w:rPr>
        <w:t>16</w:t>
      </w:r>
      <w:r w:rsidRPr="000B33D2">
        <w:rPr>
          <w:rFonts w:cs="Arial"/>
        </w:rPr>
        <w:t xml:space="preserve"> Determination</w:t>
      </w:r>
      <w:r w:rsidRPr="00E36060">
        <w:rPr>
          <w:rFonts w:cs="Arial"/>
        </w:rPr>
        <w:t xml:space="preserve">, the price of an ABF </w:t>
      </w:r>
      <w:r w:rsidR="00E74059">
        <w:rPr>
          <w:rFonts w:cs="Arial"/>
        </w:rPr>
        <w:t>subacute a</w:t>
      </w:r>
      <w:r w:rsidRPr="00E36060">
        <w:rPr>
          <w:rFonts w:cs="Arial"/>
        </w:rPr>
        <w:t>ctivity is calculated using the following formula, with adjustments applied as applicable:</w:t>
      </w:r>
    </w:p>
    <w:p w:rsidR="009F697A" w:rsidRPr="009F697A" w:rsidRDefault="009F697A" w:rsidP="00F51276">
      <w:pPr>
        <w:tabs>
          <w:tab w:val="left" w:pos="1162"/>
        </w:tabs>
        <w:spacing w:before="120"/>
        <w:rPr>
          <w:rFonts w:cs="Arial"/>
          <w:b/>
        </w:rPr>
      </w:pPr>
      <w:r w:rsidRPr="009F697A">
        <w:rPr>
          <w:rFonts w:cs="Arial"/>
          <w:b/>
        </w:rPr>
        <w:t>Price of an admitt</w:t>
      </w:r>
      <w:r>
        <w:rPr>
          <w:rFonts w:cs="Arial"/>
          <w:b/>
        </w:rPr>
        <w:t>ed subacute ABF activity</w:t>
      </w:r>
    </w:p>
    <w:p w:rsidR="00F51276" w:rsidRPr="00E90F0A" w:rsidRDefault="00F51276" w:rsidP="00F51276">
      <w:pPr>
        <w:tabs>
          <w:tab w:val="left" w:pos="1162"/>
        </w:tabs>
        <w:rPr>
          <w:rFonts w:cs="Arial"/>
        </w:rPr>
      </w:pPr>
      <m:oMathPara>
        <m:oMath>
          <m:r>
            <m:rPr>
              <m:sty m:val="p"/>
            </m:rPr>
            <w:rPr>
              <w:rFonts w:ascii="Cambria Math" w:hAnsi="Cambria Math" w:cs="Arial"/>
              <w:szCs w:val="20"/>
            </w:rPr>
            <m:t>={</m:t>
          </m:r>
          <m:d>
            <m:dPr>
              <m:begChr m:val="["/>
              <m:endChr m:val="]"/>
              <m:ctrlPr>
                <w:rPr>
                  <w:rFonts w:ascii="Cambria Math" w:hAnsi="Cambria Math" w:cs="Arial"/>
                  <w:szCs w:val="20"/>
                </w:rPr>
              </m:ctrlPr>
            </m:dPr>
            <m:e>
              <m:r>
                <m:rPr>
                  <m:sty m:val="p"/>
                </m:rPr>
                <w:rPr>
                  <w:rFonts w:ascii="Cambria Math" w:hAnsi="Cambria Math" w:cs="Arial"/>
                  <w:szCs w:val="20"/>
                </w:rPr>
                <m:t>PW×</m:t>
              </m:r>
              <m:d>
                <m:dPr>
                  <m:ctrlPr>
                    <w:rPr>
                      <w:rFonts w:ascii="Cambria Math" w:hAnsi="Cambria Math" w:cs="Arial"/>
                      <w:szCs w:val="20"/>
                    </w:rPr>
                  </m:ctrlPr>
                </m:dPr>
                <m:e>
                  <m:r>
                    <m:rPr>
                      <m:sty m:val="p"/>
                    </m:rPr>
                    <w:rPr>
                      <w:rFonts w:ascii="Cambria Math" w:hAnsi="Cambria Math" w:cs="Arial"/>
                      <w:szCs w:val="20"/>
                    </w:rPr>
                    <m:t>1+</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Ind</m:t>
                      </m:r>
                    </m:sub>
                  </m:sSub>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m:t>
                      </m:r>
                    </m:sub>
                  </m:sSub>
                </m:e>
              </m:d>
            </m:e>
          </m:d>
          <m:r>
            <m:rPr>
              <m:sty m:val="p"/>
            </m:rPr>
            <w:rPr>
              <w:rFonts w:ascii="Cambria Math" w:hAnsi="Cambria Math" w:cs="Arial"/>
              <w:szCs w:val="20"/>
            </w:rPr>
            <m:t>-[PW×</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PPS</m:t>
              </m:r>
            </m:sub>
          </m:sSub>
          <m:r>
            <m:rPr>
              <m:sty m:val="p"/>
            </m:rPr>
            <w:rPr>
              <w:rFonts w:ascii="Cambria Math" w:hAnsi="Cambria Math" w:cs="Arial"/>
              <w:szCs w:val="20"/>
            </w:rPr>
            <m:t>+LOS×</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Acc</m:t>
              </m:r>
            </m:sub>
          </m:sSub>
          <m:r>
            <m:rPr>
              <m:sty m:val="p"/>
            </m:rPr>
            <w:rPr>
              <w:rFonts w:ascii="Cambria Math" w:hAnsi="Cambria Math" w:cs="Arial"/>
              <w:szCs w:val="20"/>
            </w:rPr>
            <m:t>]}×NEP</m:t>
          </m:r>
        </m:oMath>
      </m:oMathPara>
    </w:p>
    <w:p w:rsidR="00F51276" w:rsidRPr="00E90F0A" w:rsidRDefault="00F51276" w:rsidP="00E33EAE">
      <w:pPr>
        <w:spacing w:after="200" w:line="276" w:lineRule="auto"/>
        <w:rPr>
          <w:rFonts w:cs="Arial"/>
          <w:szCs w:val="20"/>
          <w:lang w:eastAsia="en-AU"/>
        </w:rPr>
      </w:pPr>
      <w:r w:rsidRPr="00E90F0A">
        <w:rPr>
          <w:rFonts w:cs="Arial"/>
          <w:szCs w:val="20"/>
          <w:lang w:eastAsia="en-AU"/>
        </w:rPr>
        <w:t>Where:</w:t>
      </w:r>
    </w:p>
    <w:p w:rsidR="00F51276" w:rsidRPr="00E90F0A" w:rsidRDefault="00F51276" w:rsidP="00F51276">
      <w:pPr>
        <w:pStyle w:val="ListParagraph"/>
        <w:numPr>
          <w:ilvl w:val="1"/>
          <w:numId w:val="18"/>
        </w:numPr>
        <w:tabs>
          <w:tab w:val="left" w:pos="1162"/>
        </w:tabs>
        <w:spacing w:after="0"/>
        <w:ind w:left="1434" w:hanging="357"/>
        <w:rPr>
          <w:rFonts w:cs="Arial"/>
          <w:szCs w:val="20"/>
        </w:rPr>
      </w:pPr>
      <m:oMath>
        <m:r>
          <m:rPr>
            <m:sty m:val="p"/>
          </m:rPr>
          <w:rPr>
            <w:rFonts w:ascii="Cambria Math" w:hAnsi="Cambria Math" w:cs="Arial"/>
            <w:szCs w:val="20"/>
          </w:rPr>
          <m:t>PW</m:t>
        </m:r>
      </m:oMath>
      <w:r w:rsidRPr="00E90F0A">
        <w:rPr>
          <w:rFonts w:cs="Arial"/>
          <w:szCs w:val="20"/>
        </w:rPr>
        <w:t xml:space="preserve"> </w:t>
      </w:r>
      <w:proofErr w:type="gramStart"/>
      <w:r w:rsidRPr="00E90F0A">
        <w:rPr>
          <w:rFonts w:cs="Arial"/>
          <w:szCs w:val="20"/>
        </w:rPr>
        <w:t>means</w:t>
      </w:r>
      <w:proofErr w:type="gramEnd"/>
      <w:r w:rsidRPr="00E90F0A">
        <w:rPr>
          <w:rFonts w:cs="Arial"/>
          <w:szCs w:val="20"/>
        </w:rPr>
        <w:t xml:space="preserve"> the Price Weight for an ABF Activity as set </w:t>
      </w:r>
      <w:r w:rsidRPr="00E90F0A">
        <w:rPr>
          <w:rFonts w:cs="Arial"/>
          <w:szCs w:val="20"/>
          <w:lang w:eastAsia="en-AU"/>
        </w:rPr>
        <w:t xml:space="preserve">out at Appendix </w:t>
      </w:r>
      <w:r w:rsidR="00CE4039">
        <w:rPr>
          <w:rFonts w:cs="Arial"/>
          <w:szCs w:val="20"/>
          <w:lang w:eastAsia="en-AU"/>
        </w:rPr>
        <w:t>I</w:t>
      </w:r>
      <w:r w:rsidRPr="00E90F0A">
        <w:rPr>
          <w:rFonts w:cs="Arial"/>
          <w:szCs w:val="20"/>
          <w:lang w:eastAsia="en-AU"/>
        </w:rPr>
        <w:t xml:space="preserve"> of the </w:t>
      </w:r>
      <w:r w:rsidR="00CE4039" w:rsidRPr="000B33D2">
        <w:rPr>
          <w:rFonts w:cs="Arial"/>
          <w:szCs w:val="20"/>
          <w:lang w:eastAsia="en-AU"/>
        </w:rPr>
        <w:t>NEP</w:t>
      </w:r>
      <w:r w:rsidR="00CE4039">
        <w:rPr>
          <w:rFonts w:cs="Arial"/>
          <w:szCs w:val="20"/>
          <w:lang w:eastAsia="en-AU"/>
        </w:rPr>
        <w:t>16</w:t>
      </w:r>
      <w:r w:rsidR="00CE4039" w:rsidRPr="000B33D2">
        <w:rPr>
          <w:rFonts w:cs="Arial"/>
          <w:szCs w:val="20"/>
          <w:lang w:eastAsia="en-AU"/>
        </w:rPr>
        <w:t xml:space="preserve"> </w:t>
      </w:r>
      <w:r w:rsidRPr="000B33D2">
        <w:rPr>
          <w:rFonts w:cs="Arial"/>
          <w:szCs w:val="20"/>
          <w:lang w:eastAsia="en-AU"/>
        </w:rPr>
        <w:t>Determination</w:t>
      </w:r>
      <w:r w:rsidRPr="00E90F0A">
        <w:rPr>
          <w:rFonts w:cs="Arial"/>
          <w:szCs w:val="20"/>
          <w:lang w:eastAsia="en-AU"/>
        </w:rPr>
        <w:t>.</w:t>
      </w:r>
      <w:r w:rsidRPr="00E90F0A">
        <w:rPr>
          <w:rFonts w:cs="Arial"/>
          <w:b/>
          <w:szCs w:val="20"/>
        </w:rPr>
        <w:t xml:space="preserve"> </w:t>
      </w:r>
    </w:p>
    <w:p w:rsidR="00F51276" w:rsidRPr="00E90F0A" w:rsidRDefault="00FE788C" w:rsidP="00F51276">
      <w:pPr>
        <w:pStyle w:val="ListParagraph"/>
        <w:numPr>
          <w:ilvl w:val="1"/>
          <w:numId w:val="18"/>
        </w:numPr>
        <w:tabs>
          <w:tab w:val="left" w:pos="1162"/>
        </w:tabs>
        <w:spacing w:after="0"/>
        <w:ind w:left="1434" w:hanging="357"/>
        <w:rPr>
          <w:rFonts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Ind</m:t>
            </m:r>
          </m:sub>
        </m:sSub>
      </m:oMath>
      <w:r w:rsidR="00F51276" w:rsidRPr="00E90F0A">
        <w:rPr>
          <w:rFonts w:cs="Arial"/>
          <w:szCs w:val="20"/>
        </w:rPr>
        <w:t xml:space="preserve"> means the </w:t>
      </w:r>
      <w:r w:rsidR="00DF77B4">
        <w:rPr>
          <w:rFonts w:cs="Arial"/>
          <w:szCs w:val="20"/>
        </w:rPr>
        <w:t>Indigenous</w:t>
      </w:r>
      <w:r w:rsidR="00F51276" w:rsidRPr="00E90F0A">
        <w:rPr>
          <w:rFonts w:cs="Arial"/>
          <w:szCs w:val="20"/>
        </w:rPr>
        <w:t xml:space="preserve"> adjustment</w:t>
      </w:r>
    </w:p>
    <w:p w:rsidR="00F51276" w:rsidRPr="00E90F0A" w:rsidRDefault="00FE788C" w:rsidP="00F51276">
      <w:pPr>
        <w:pStyle w:val="ListParagraph"/>
        <w:numPr>
          <w:ilvl w:val="1"/>
          <w:numId w:val="18"/>
        </w:numPr>
        <w:tabs>
          <w:tab w:val="left" w:pos="1162"/>
        </w:tabs>
        <w:spacing w:after="0"/>
        <w:ind w:left="1434" w:hanging="357"/>
        <w:rPr>
          <w:rFonts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m:t>
            </m:r>
          </m:sub>
        </m:sSub>
      </m:oMath>
      <w:r w:rsidR="00F51276" w:rsidRPr="00E90F0A">
        <w:rPr>
          <w:rFonts w:cs="Arial"/>
          <w:szCs w:val="20"/>
        </w:rPr>
        <w:t xml:space="preserve"> means each or any remoteness area adjustment</w:t>
      </w:r>
    </w:p>
    <w:p w:rsidR="00F51276" w:rsidRPr="00E90F0A" w:rsidRDefault="00FE788C" w:rsidP="00F51276">
      <w:pPr>
        <w:pStyle w:val="ListParagraph"/>
        <w:numPr>
          <w:ilvl w:val="1"/>
          <w:numId w:val="18"/>
        </w:numPr>
        <w:tabs>
          <w:tab w:val="left" w:pos="1162"/>
        </w:tabs>
        <w:autoSpaceDE w:val="0"/>
        <w:autoSpaceDN w:val="0"/>
        <w:adjustRightInd w:val="0"/>
        <w:spacing w:after="0"/>
        <w:ind w:left="1434" w:hanging="357"/>
        <w:rPr>
          <w:rFonts w:cs="Arial"/>
          <w:szCs w:val="20"/>
          <w:lang w:eastAsia="en-AU"/>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PPS</m:t>
            </m:r>
          </m:sub>
        </m:sSub>
      </m:oMath>
      <w:r w:rsidR="00F51276" w:rsidRPr="00E90F0A">
        <w:rPr>
          <w:rFonts w:cs="Arial"/>
          <w:szCs w:val="20"/>
        </w:rPr>
        <w:t xml:space="preserve"> means the private patient service adjustment</w:t>
      </w:r>
    </w:p>
    <w:p w:rsidR="00F51276" w:rsidRPr="00E90F0A" w:rsidRDefault="00FE788C" w:rsidP="00F51276">
      <w:pPr>
        <w:pStyle w:val="ListParagraph"/>
        <w:numPr>
          <w:ilvl w:val="1"/>
          <w:numId w:val="18"/>
        </w:numPr>
        <w:tabs>
          <w:tab w:val="left" w:pos="1162"/>
        </w:tabs>
        <w:spacing w:after="0"/>
        <w:ind w:left="1434" w:hanging="357"/>
        <w:rPr>
          <w:rFonts w:cs="Arial"/>
          <w:szCs w:val="20"/>
        </w:rPr>
      </w:pPr>
      <m:oMath>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Acc</m:t>
            </m:r>
          </m:sub>
        </m:sSub>
      </m:oMath>
      <w:r w:rsidR="00F51276" w:rsidRPr="00E90F0A">
        <w:rPr>
          <w:rFonts w:cs="Arial"/>
          <w:b/>
          <w:szCs w:val="20"/>
        </w:rPr>
        <w:t xml:space="preserve"> </w:t>
      </w:r>
      <w:r w:rsidR="00F51276" w:rsidRPr="00E90F0A">
        <w:rPr>
          <w:rFonts w:cs="Arial"/>
          <w:szCs w:val="20"/>
        </w:rPr>
        <w:t>means the private patient accommodation adjustment applicable to the state/territory of hospitalisation and length of stay</w:t>
      </w:r>
    </w:p>
    <w:p w:rsidR="00F51276" w:rsidRPr="00E90F0A" w:rsidRDefault="00F51276" w:rsidP="00F51276">
      <w:pPr>
        <w:pStyle w:val="ListParagraph"/>
        <w:numPr>
          <w:ilvl w:val="1"/>
          <w:numId w:val="18"/>
        </w:numPr>
        <w:tabs>
          <w:tab w:val="left" w:pos="1162"/>
        </w:tabs>
        <w:spacing w:after="0"/>
        <w:ind w:left="1434" w:hanging="357"/>
        <w:rPr>
          <w:rFonts w:cs="Arial"/>
          <w:szCs w:val="20"/>
        </w:rPr>
      </w:pPr>
      <m:oMath>
        <m:r>
          <m:rPr>
            <m:sty m:val="p"/>
          </m:rPr>
          <w:rPr>
            <w:rFonts w:ascii="Cambria Math" w:hAnsi="Cambria Math" w:cs="Arial"/>
            <w:szCs w:val="20"/>
          </w:rPr>
          <m:t>LOS</m:t>
        </m:r>
      </m:oMath>
      <w:r w:rsidRPr="00E90F0A">
        <w:rPr>
          <w:rFonts w:cs="Arial"/>
          <w:szCs w:val="20"/>
        </w:rPr>
        <w:t xml:space="preserve"> means length of stay in hospital (in days)</w:t>
      </w:r>
    </w:p>
    <w:p w:rsidR="00F51276" w:rsidRPr="00E90F0A" w:rsidRDefault="00F51276" w:rsidP="00F51276">
      <w:pPr>
        <w:pStyle w:val="ListParagraph"/>
        <w:numPr>
          <w:ilvl w:val="1"/>
          <w:numId w:val="18"/>
        </w:numPr>
        <w:tabs>
          <w:tab w:val="left" w:pos="1162"/>
        </w:tabs>
        <w:spacing w:after="0"/>
        <w:ind w:left="1434" w:hanging="357"/>
        <w:rPr>
          <w:rFonts w:cs="Arial"/>
          <w:szCs w:val="20"/>
        </w:rPr>
      </w:pPr>
      <m:oMath>
        <m:r>
          <m:rPr>
            <m:sty m:val="p"/>
          </m:rPr>
          <w:rPr>
            <w:rFonts w:ascii="Cambria Math" w:hAnsi="Cambria Math" w:cs="Arial"/>
            <w:szCs w:val="20"/>
          </w:rPr>
          <m:t>NEP</m:t>
        </m:r>
      </m:oMath>
      <w:r w:rsidRPr="00E90F0A">
        <w:rPr>
          <w:rFonts w:cs="Arial"/>
          <w:szCs w:val="20"/>
        </w:rPr>
        <w:t xml:space="preserve"> is the </w:t>
      </w:r>
      <w:r w:rsidR="000C75BC">
        <w:rPr>
          <w:rFonts w:cs="Arial"/>
          <w:szCs w:val="20"/>
        </w:rPr>
        <w:t>2016-17</w:t>
      </w:r>
      <w:r w:rsidRPr="00E90F0A">
        <w:rPr>
          <w:rFonts w:cs="Arial"/>
          <w:szCs w:val="20"/>
        </w:rPr>
        <w:t xml:space="preserve"> National Efficient Price</w:t>
      </w:r>
    </w:p>
    <w:p w:rsidR="00F51276" w:rsidRPr="00183A38" w:rsidRDefault="00F51276" w:rsidP="00F51276">
      <w:pPr>
        <w:tabs>
          <w:tab w:val="left" w:pos="1162"/>
        </w:tabs>
        <w:autoSpaceDE w:val="0"/>
        <w:autoSpaceDN w:val="0"/>
        <w:adjustRightInd w:val="0"/>
        <w:spacing w:after="0"/>
        <w:rPr>
          <w:rFonts w:cs="Arial"/>
          <w:szCs w:val="20"/>
          <w:lang w:eastAsia="en-AU"/>
        </w:rPr>
      </w:pPr>
    </w:p>
    <w:p w:rsidR="00F51276" w:rsidRDefault="00F51276" w:rsidP="00F51276">
      <w:pPr>
        <w:tabs>
          <w:tab w:val="left" w:pos="1162"/>
        </w:tabs>
        <w:autoSpaceDE w:val="0"/>
        <w:autoSpaceDN w:val="0"/>
        <w:adjustRightInd w:val="0"/>
        <w:spacing w:after="0"/>
        <w:rPr>
          <w:rFonts w:cstheme="minorHAnsi"/>
        </w:rPr>
      </w:pPr>
      <w:r w:rsidRPr="00183A38">
        <w:rPr>
          <w:rFonts w:cs="Arial"/>
          <w:szCs w:val="20"/>
          <w:lang w:eastAsia="en-AU"/>
        </w:rPr>
        <w:t>In the event that the application of the private patient accommodation adjustment and the private patient service adjustment returns a negative NWAU value for a patient, the NWAU value is held to be zero</w:t>
      </w:r>
      <w:r>
        <w:rPr>
          <w:rFonts w:cs="Arial"/>
          <w:szCs w:val="20"/>
          <w:lang w:eastAsia="en-AU"/>
        </w:rPr>
        <w:t>,</w:t>
      </w:r>
      <w:r w:rsidRPr="00183A38">
        <w:rPr>
          <w:rFonts w:cs="Arial"/>
          <w:szCs w:val="20"/>
          <w:lang w:eastAsia="en-AU"/>
        </w:rPr>
        <w:t xml:space="preserve"> </w:t>
      </w:r>
      <w:r>
        <w:rPr>
          <w:rFonts w:cs="Arial"/>
          <w:szCs w:val="20"/>
          <w:lang w:eastAsia="en-AU"/>
        </w:rPr>
        <w:t>as</w:t>
      </w:r>
      <w:r w:rsidRPr="00183A38">
        <w:rPr>
          <w:rFonts w:cs="Arial"/>
          <w:szCs w:val="20"/>
          <w:lang w:eastAsia="en-AU"/>
        </w:rPr>
        <w:t xml:space="preserve"> negative NWAU values are not permitted for any patients</w:t>
      </w:r>
      <w:r w:rsidRPr="00250D7F">
        <w:rPr>
          <w:rFonts w:cs="Arial"/>
          <w:szCs w:val="20"/>
          <w:lang w:eastAsia="en-AU"/>
        </w:rPr>
        <w:t xml:space="preserve"> under the National Pricing</w:t>
      </w:r>
      <w:r>
        <w:rPr>
          <w:rFonts w:cs="Arial"/>
          <w:szCs w:val="20"/>
          <w:lang w:eastAsia="en-AU"/>
        </w:rPr>
        <w:t xml:space="preserve"> </w:t>
      </w:r>
      <w:r w:rsidRPr="00250D7F">
        <w:rPr>
          <w:rFonts w:cs="Arial"/>
          <w:szCs w:val="20"/>
          <w:lang w:eastAsia="en-AU"/>
        </w:rPr>
        <w:t>Model.</w:t>
      </w:r>
    </w:p>
    <w:p w:rsidR="00F51276" w:rsidRDefault="00F51276" w:rsidP="00F51276">
      <w:pPr>
        <w:pStyle w:val="Heading2"/>
        <w:keepLines w:val="0"/>
        <w:numPr>
          <w:ilvl w:val="1"/>
          <w:numId w:val="35"/>
        </w:numPr>
        <w:tabs>
          <w:tab w:val="left" w:pos="1162"/>
        </w:tabs>
        <w:spacing w:after="60"/>
      </w:pPr>
      <w:bookmarkStart w:id="285" w:name="_Toc436150691"/>
      <w:bookmarkStart w:id="286" w:name="_Toc436211153"/>
      <w:bookmarkStart w:id="287" w:name="_Toc436217312"/>
      <w:bookmarkStart w:id="288" w:name="_Toc436222132"/>
      <w:bookmarkStart w:id="289" w:name="_Toc436228442"/>
      <w:bookmarkStart w:id="290" w:name="_Toc436150692"/>
      <w:bookmarkStart w:id="291" w:name="_Toc436211154"/>
      <w:bookmarkStart w:id="292" w:name="_Toc436217313"/>
      <w:bookmarkStart w:id="293" w:name="_Toc436222133"/>
      <w:bookmarkStart w:id="294" w:name="_Toc436228443"/>
      <w:bookmarkStart w:id="295" w:name="_Toc380754747"/>
      <w:bookmarkStart w:id="296" w:name="_Toc444528617"/>
      <w:bookmarkEnd w:id="285"/>
      <w:bookmarkEnd w:id="286"/>
      <w:bookmarkEnd w:id="287"/>
      <w:bookmarkEnd w:id="288"/>
      <w:bookmarkEnd w:id="289"/>
      <w:bookmarkEnd w:id="290"/>
      <w:bookmarkEnd w:id="291"/>
      <w:bookmarkEnd w:id="292"/>
      <w:bookmarkEnd w:id="293"/>
      <w:bookmarkEnd w:id="294"/>
      <w:r w:rsidRPr="003B1072">
        <w:t xml:space="preserve">Assigning NWAU to </w:t>
      </w:r>
      <w:r w:rsidR="00002CE6">
        <w:t>admitted subacute and non-acute</w:t>
      </w:r>
      <w:r w:rsidRPr="003B1072">
        <w:t xml:space="preserve"> patient data</w:t>
      </w:r>
      <w:bookmarkEnd w:id="295"/>
      <w:bookmarkEnd w:id="296"/>
    </w:p>
    <w:p w:rsidR="00F51276" w:rsidRPr="00360A1B" w:rsidRDefault="00F51276" w:rsidP="00F51276">
      <w:pPr>
        <w:tabs>
          <w:tab w:val="left" w:pos="1162"/>
        </w:tabs>
        <w:spacing w:before="120"/>
        <w:rPr>
          <w:rFonts w:cs="Arial"/>
          <w:szCs w:val="20"/>
        </w:rPr>
      </w:pPr>
      <w:r w:rsidRPr="008C13B4">
        <w:rPr>
          <w:rFonts w:cs="Arial"/>
          <w:szCs w:val="20"/>
        </w:rPr>
        <w:t xml:space="preserve">This section describes how the cost parameters calculated in the previous section can be applied to subacute and non-acute patient activity data to calculate NWAU for each episode. </w:t>
      </w:r>
      <w:r w:rsidRPr="00360A1B">
        <w:rPr>
          <w:rFonts w:cs="Arial"/>
          <w:szCs w:val="20"/>
        </w:rPr>
        <w:t>The process is broken into two stages:</w:t>
      </w:r>
    </w:p>
    <w:p w:rsidR="00F51276" w:rsidRPr="00360A1B" w:rsidRDefault="00F51276" w:rsidP="00F51276">
      <w:pPr>
        <w:tabs>
          <w:tab w:val="left" w:pos="1162"/>
        </w:tabs>
        <w:ind w:left="851" w:hanging="851"/>
        <w:rPr>
          <w:rFonts w:cs="Arial"/>
          <w:szCs w:val="20"/>
        </w:rPr>
      </w:pPr>
      <w:r w:rsidRPr="00514DF2">
        <w:rPr>
          <w:rFonts w:cs="Arial"/>
          <w:szCs w:val="20"/>
        </w:rPr>
        <w:t>Stage 1</w:t>
      </w:r>
      <w:r>
        <w:rPr>
          <w:rFonts w:cs="Arial"/>
          <w:szCs w:val="20"/>
        </w:rPr>
        <w:t>:</w:t>
      </w:r>
      <w:r w:rsidRPr="00360A1B">
        <w:rPr>
          <w:rFonts w:cs="Arial"/>
          <w:szCs w:val="20"/>
        </w:rPr>
        <w:t xml:space="preserve"> Preparation of </w:t>
      </w:r>
      <w:r w:rsidR="00002CE6">
        <w:rPr>
          <w:rFonts w:cs="Arial"/>
          <w:szCs w:val="20"/>
        </w:rPr>
        <w:t>admitted subacute and non-acute</w:t>
      </w:r>
      <w:r w:rsidRPr="00360A1B">
        <w:rPr>
          <w:rFonts w:cs="Arial"/>
          <w:szCs w:val="20"/>
        </w:rPr>
        <w:t xml:space="preserve"> patient data and creation of variables required for NWAU calculation.</w:t>
      </w:r>
    </w:p>
    <w:p w:rsidR="00F51276" w:rsidRPr="00C83F6F" w:rsidRDefault="00F51276" w:rsidP="00F51276">
      <w:pPr>
        <w:tabs>
          <w:tab w:val="left" w:pos="1162"/>
        </w:tabs>
        <w:ind w:left="851" w:hanging="851"/>
        <w:rPr>
          <w:rFonts w:cs="Arial"/>
          <w:szCs w:val="20"/>
        </w:rPr>
      </w:pPr>
      <w:r>
        <w:rPr>
          <w:rFonts w:cs="Arial"/>
          <w:szCs w:val="20"/>
        </w:rPr>
        <w:t>Stage 2:</w:t>
      </w:r>
      <w:r w:rsidRPr="00C83F6F">
        <w:rPr>
          <w:rFonts w:cs="Arial"/>
          <w:szCs w:val="20"/>
        </w:rPr>
        <w:t xml:space="preserve"> Calculation of NWAU using </w:t>
      </w:r>
      <w:r w:rsidR="00002CE6">
        <w:rPr>
          <w:rFonts w:cs="Arial"/>
          <w:szCs w:val="20"/>
        </w:rPr>
        <w:t>admitted subacute and non-acute</w:t>
      </w:r>
      <w:r w:rsidRPr="00C83F6F">
        <w:rPr>
          <w:rFonts w:cs="Arial"/>
          <w:szCs w:val="20"/>
        </w:rPr>
        <w:t xml:space="preserve"> patient data (from   Stage 1).</w:t>
      </w:r>
    </w:p>
    <w:p w:rsidR="00F51276" w:rsidRPr="00360A1B" w:rsidRDefault="00F51276" w:rsidP="00F51276">
      <w:pPr>
        <w:pStyle w:val="Heading3"/>
        <w:keepLines w:val="0"/>
        <w:numPr>
          <w:ilvl w:val="2"/>
          <w:numId w:val="35"/>
        </w:numPr>
        <w:tabs>
          <w:tab w:val="left" w:pos="1162"/>
        </w:tabs>
        <w:spacing w:before="240" w:after="120"/>
      </w:pPr>
      <w:bookmarkStart w:id="297" w:name="_Toc380754748"/>
      <w:bookmarkStart w:id="298" w:name="_Toc444528618"/>
      <w:r w:rsidRPr="00360A1B">
        <w:t>Data Preparation</w:t>
      </w:r>
      <w:bookmarkEnd w:id="297"/>
      <w:bookmarkEnd w:id="298"/>
    </w:p>
    <w:p w:rsidR="00F51276" w:rsidRPr="00BF0679" w:rsidRDefault="00F51276" w:rsidP="00BF0679">
      <w:pPr>
        <w:rPr>
          <w:rFonts w:cs="Arial"/>
          <w:szCs w:val="20"/>
        </w:rPr>
      </w:pPr>
      <w:r w:rsidRPr="00360A1B">
        <w:rPr>
          <w:rFonts w:cs="Arial"/>
          <w:szCs w:val="20"/>
        </w:rPr>
        <w:t>The data preparation stage is illustrated in</w:t>
      </w:r>
      <w:r>
        <w:rPr>
          <w:rFonts w:cs="Arial"/>
          <w:szCs w:val="20"/>
        </w:rPr>
        <w:t xml:space="preserve"> Figure </w:t>
      </w:r>
      <w:r w:rsidR="006D7C24">
        <w:rPr>
          <w:rFonts w:cs="Arial"/>
          <w:szCs w:val="20"/>
        </w:rPr>
        <w:t>7</w:t>
      </w:r>
      <w:r>
        <w:rPr>
          <w:rFonts w:cs="Arial"/>
          <w:szCs w:val="20"/>
        </w:rPr>
        <w:t>.</w:t>
      </w:r>
      <w:bookmarkStart w:id="299" w:name="_Ref342309110"/>
    </w:p>
    <w:p w:rsidR="00151D4A" w:rsidRDefault="00151D4A">
      <w:pPr>
        <w:spacing w:after="200" w:line="276" w:lineRule="auto"/>
        <w:rPr>
          <w:rFonts w:ascii="Arial" w:eastAsia="Times New Roman" w:hAnsi="Arial" w:cstheme="minorHAnsi"/>
          <w:b/>
          <w:color w:val="000000"/>
          <w:sz w:val="20"/>
          <w:szCs w:val="20"/>
          <w:lang w:eastAsia="en-AU"/>
        </w:rPr>
      </w:pPr>
      <w:r>
        <w:br w:type="page"/>
      </w:r>
    </w:p>
    <w:p w:rsidR="00C268C8" w:rsidRDefault="00F51276" w:rsidP="00E33EAE">
      <w:pPr>
        <w:pStyle w:val="table"/>
        <w:rPr>
          <w:noProof/>
        </w:rPr>
      </w:pPr>
      <w:r>
        <w:t>Figure</w:t>
      </w:r>
      <w:bookmarkEnd w:id="299"/>
      <w:r>
        <w:t xml:space="preserve"> </w:t>
      </w:r>
      <w:r w:rsidR="006D7C24">
        <w:t>7</w:t>
      </w:r>
      <w:r>
        <w:t xml:space="preserve">: </w:t>
      </w:r>
      <w:r w:rsidRPr="00804B23">
        <w:t xml:space="preserve">Assigning NWAU to </w:t>
      </w:r>
      <w:r w:rsidR="00002CE6">
        <w:t>admitted subacute and non-acute</w:t>
      </w:r>
      <w:r>
        <w:t xml:space="preserve"> patient data – Stage 1 – Data </w:t>
      </w:r>
      <w:r w:rsidRPr="00804B23">
        <w:t>Preparation</w:t>
      </w:r>
    </w:p>
    <w:p w:rsidR="00C268C8" w:rsidRDefault="00A95010" w:rsidP="00E33EAE">
      <w:pPr>
        <w:pStyle w:val="table"/>
        <w:rPr>
          <w:rFonts w:cs="Arial"/>
        </w:rPr>
      </w:pPr>
      <w:r>
        <w:rPr>
          <w:noProof/>
        </w:rPr>
        <w:drawing>
          <wp:inline distT="0" distB="0" distL="0" distR="0" wp14:anchorId="6A55CC60" wp14:editId="788E7E7A">
            <wp:extent cx="5732145" cy="2275098"/>
            <wp:effectExtent l="19050" t="19050" r="20955" b="1143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32145" cy="2275098"/>
                    </a:xfrm>
                    <a:prstGeom prst="rect">
                      <a:avLst/>
                    </a:prstGeom>
                    <a:ln>
                      <a:solidFill>
                        <a:schemeClr val="accent1"/>
                      </a:solidFill>
                    </a:ln>
                  </pic:spPr>
                </pic:pic>
              </a:graphicData>
            </a:graphic>
          </wp:inline>
        </w:drawing>
      </w:r>
    </w:p>
    <w:p w:rsidR="00F51276" w:rsidRPr="00C83F6F" w:rsidRDefault="00F51276" w:rsidP="00F51276">
      <w:pPr>
        <w:spacing w:before="480"/>
        <w:rPr>
          <w:rFonts w:ascii="Arial" w:eastAsia="Times New Roman" w:hAnsi="Arial" w:cs="Times New Roman"/>
          <w:b/>
          <w:sz w:val="20"/>
        </w:rPr>
      </w:pPr>
      <w:r w:rsidRPr="00360A1B">
        <w:rPr>
          <w:rFonts w:cs="Arial"/>
          <w:szCs w:val="20"/>
        </w:rPr>
        <w:t xml:space="preserve">The process is broken into </w:t>
      </w:r>
      <w:r w:rsidR="00AC2C2F">
        <w:rPr>
          <w:rFonts w:cs="Arial"/>
          <w:szCs w:val="20"/>
        </w:rPr>
        <w:t>11</w:t>
      </w:r>
      <w:r w:rsidRPr="00360A1B">
        <w:rPr>
          <w:rFonts w:cs="Arial"/>
          <w:szCs w:val="20"/>
        </w:rPr>
        <w:t xml:space="preserve"> steps, each requiring variables created in previous steps. There are two resulting datasets one cont</w:t>
      </w:r>
      <w:r>
        <w:rPr>
          <w:rFonts w:cs="Arial"/>
          <w:szCs w:val="20"/>
        </w:rPr>
        <w:t xml:space="preserve">aining data grouped to AN-SNAP </w:t>
      </w:r>
      <w:r w:rsidR="00AB1A29">
        <w:rPr>
          <w:rFonts w:cs="Arial"/>
          <w:szCs w:val="20"/>
        </w:rPr>
        <w:t>v</w:t>
      </w:r>
      <w:r w:rsidR="002E49CC">
        <w:rPr>
          <w:rFonts w:cs="Arial"/>
          <w:szCs w:val="20"/>
        </w:rPr>
        <w:t>4</w:t>
      </w:r>
      <w:r w:rsidRPr="00360A1B">
        <w:rPr>
          <w:rFonts w:cs="Arial"/>
          <w:szCs w:val="20"/>
        </w:rPr>
        <w:t xml:space="preserve"> and the other containing only Care Type information.</w:t>
      </w:r>
    </w:p>
    <w:p w:rsidR="00F51276" w:rsidRDefault="00F51276" w:rsidP="00F51276">
      <w:pPr>
        <w:tabs>
          <w:tab w:val="left" w:pos="1162"/>
        </w:tabs>
        <w:rPr>
          <w:rFonts w:cs="Arial"/>
          <w:szCs w:val="20"/>
        </w:rPr>
      </w:pPr>
      <w:r w:rsidRPr="0038153A">
        <w:rPr>
          <w:rFonts w:cs="Arial"/>
          <w:szCs w:val="20"/>
        </w:rPr>
        <w:t xml:space="preserve">The process requires the </w:t>
      </w:r>
      <w:r w:rsidR="00A95010">
        <w:rPr>
          <w:rFonts w:cs="Arial"/>
          <w:szCs w:val="20"/>
        </w:rPr>
        <w:t>seven</w:t>
      </w:r>
      <w:r w:rsidRPr="0038153A">
        <w:rPr>
          <w:rFonts w:cs="Arial"/>
          <w:szCs w:val="20"/>
        </w:rPr>
        <w:t xml:space="preserve"> input datasets or tables referred to in</w:t>
      </w:r>
      <w:r>
        <w:rPr>
          <w:rFonts w:cs="Arial"/>
          <w:szCs w:val="20"/>
        </w:rPr>
        <w:t xml:space="preserve"> Table 1</w:t>
      </w:r>
      <w:r w:rsidR="00693CC5">
        <w:rPr>
          <w:rFonts w:cs="Arial"/>
          <w:szCs w:val="20"/>
        </w:rPr>
        <w:t>0</w:t>
      </w:r>
      <w:r>
        <w:rPr>
          <w:rFonts w:cs="Arial"/>
          <w:szCs w:val="20"/>
        </w:rPr>
        <w:t>.</w:t>
      </w:r>
    </w:p>
    <w:p w:rsidR="00F51276" w:rsidRPr="0038153A" w:rsidRDefault="00F51276" w:rsidP="00F51276">
      <w:pPr>
        <w:tabs>
          <w:tab w:val="left" w:pos="1162"/>
        </w:tabs>
        <w:rPr>
          <w:rFonts w:cs="Arial"/>
          <w:szCs w:val="20"/>
        </w:rPr>
      </w:pPr>
      <w:r w:rsidRPr="0038153A">
        <w:rPr>
          <w:rFonts w:cs="Arial"/>
          <w:szCs w:val="20"/>
        </w:rPr>
        <w:t xml:space="preserve">Fifteen variables are required to form the input APC dataset. These variables form part of the APC </w:t>
      </w:r>
      <w:r w:rsidR="00A95010">
        <w:rPr>
          <w:rFonts w:cs="Arial"/>
          <w:szCs w:val="20"/>
        </w:rPr>
        <w:t xml:space="preserve">NMDS </w:t>
      </w:r>
      <w:r w:rsidRPr="0038153A">
        <w:rPr>
          <w:rFonts w:cs="Arial"/>
          <w:szCs w:val="20"/>
        </w:rPr>
        <w:t xml:space="preserve">and </w:t>
      </w:r>
      <w:r w:rsidR="00A95010">
        <w:rPr>
          <w:rFonts w:cs="Arial"/>
          <w:szCs w:val="20"/>
        </w:rPr>
        <w:t>the ASNHC DSS</w:t>
      </w:r>
      <w:r w:rsidRPr="0038153A">
        <w:rPr>
          <w:rFonts w:cs="Arial"/>
          <w:szCs w:val="20"/>
        </w:rPr>
        <w:t xml:space="preserve"> on the IHPA website and are listed in</w:t>
      </w:r>
      <w:r>
        <w:rPr>
          <w:rFonts w:cs="Arial"/>
          <w:szCs w:val="20"/>
        </w:rPr>
        <w:t xml:space="preserve"> Table 1</w:t>
      </w:r>
      <w:r w:rsidR="00693CC5">
        <w:rPr>
          <w:rFonts w:cs="Arial"/>
          <w:szCs w:val="20"/>
        </w:rPr>
        <w:t>1</w:t>
      </w:r>
      <w:r>
        <w:rPr>
          <w:rFonts w:cs="Arial"/>
          <w:szCs w:val="20"/>
        </w:rPr>
        <w:t>.</w:t>
      </w:r>
    </w:p>
    <w:p w:rsidR="00C63AD3" w:rsidRPr="00BF0679" w:rsidRDefault="00F51276" w:rsidP="00BF0679">
      <w:pPr>
        <w:tabs>
          <w:tab w:val="left" w:pos="1162"/>
        </w:tabs>
        <w:rPr>
          <w:rFonts w:cs="Arial"/>
          <w:szCs w:val="20"/>
        </w:rPr>
      </w:pPr>
      <w:r w:rsidRPr="00A24619">
        <w:rPr>
          <w:rFonts w:cs="Arial"/>
          <w:szCs w:val="20"/>
        </w:rPr>
        <w:t xml:space="preserve">The variable definitions required to apply the Stage 1 process are given in </w:t>
      </w:r>
      <w:r>
        <w:rPr>
          <w:rFonts w:cs="Arial"/>
          <w:szCs w:val="20"/>
        </w:rPr>
        <w:t>Table 1</w:t>
      </w:r>
      <w:r w:rsidR="00693CC5">
        <w:rPr>
          <w:rFonts w:cs="Arial"/>
          <w:szCs w:val="20"/>
        </w:rPr>
        <w:t>2</w:t>
      </w:r>
      <w:r w:rsidRPr="00A24619">
        <w:rPr>
          <w:rFonts w:cs="Arial"/>
          <w:szCs w:val="20"/>
        </w:rPr>
        <w:t>.</w:t>
      </w:r>
      <w:bookmarkStart w:id="300" w:name="_Ref342308437"/>
      <w:bookmarkStart w:id="301" w:name="_Ref373494117"/>
    </w:p>
    <w:p w:rsidR="00F51276" w:rsidRDefault="00F51276">
      <w:pPr>
        <w:pStyle w:val="table"/>
      </w:pPr>
      <w:r>
        <w:t xml:space="preserve">Table </w:t>
      </w:r>
      <w:bookmarkEnd w:id="300"/>
      <w:bookmarkEnd w:id="301"/>
      <w:r>
        <w:rPr>
          <w:noProof/>
        </w:rPr>
        <w:t>1</w:t>
      </w:r>
      <w:r w:rsidR="00693CC5">
        <w:rPr>
          <w:noProof/>
        </w:rPr>
        <w:t>0</w:t>
      </w:r>
      <w:r>
        <w:t xml:space="preserve">: </w:t>
      </w:r>
      <w:r w:rsidRPr="00722792">
        <w:t>Datasets and tables used for assignment of NWAU to subacute admitted patient data</w:t>
      </w:r>
    </w:p>
    <w:tbl>
      <w:tblPr>
        <w:tblW w:w="9654" w:type="dxa"/>
        <w:tblInd w:w="9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605"/>
        <w:gridCol w:w="7049"/>
      </w:tblGrid>
      <w:tr w:rsidR="00F51276" w:rsidRPr="00212A7B" w:rsidTr="00920356">
        <w:trPr>
          <w:cantSplit/>
          <w:trHeight w:val="225"/>
          <w:tblHeader/>
        </w:trPr>
        <w:tc>
          <w:tcPr>
            <w:tcW w:w="2605" w:type="dxa"/>
            <w:shd w:val="clear" w:color="auto" w:fill="BFBFBF" w:themeFill="background1" w:themeFillShade="BF"/>
            <w:hideMark/>
          </w:tcPr>
          <w:p w:rsidR="00F51276" w:rsidRPr="00212A7B" w:rsidRDefault="00F51276" w:rsidP="00920356">
            <w:pPr>
              <w:tabs>
                <w:tab w:val="left" w:pos="1162"/>
              </w:tabs>
              <w:spacing w:before="80" w:after="80"/>
              <w:rPr>
                <w:rFonts w:cs="Arial"/>
                <w:b/>
                <w:bCs/>
                <w:color w:val="000000"/>
                <w:szCs w:val="20"/>
                <w:lang w:eastAsia="en-AU"/>
              </w:rPr>
            </w:pPr>
            <w:r w:rsidRPr="00212A7B">
              <w:rPr>
                <w:rFonts w:cs="Arial"/>
                <w:b/>
                <w:bCs/>
                <w:color w:val="000000"/>
                <w:szCs w:val="20"/>
                <w:lang w:eastAsia="en-AU"/>
              </w:rPr>
              <w:t>Input dataset or table</w:t>
            </w:r>
          </w:p>
        </w:tc>
        <w:tc>
          <w:tcPr>
            <w:tcW w:w="7049" w:type="dxa"/>
            <w:shd w:val="clear" w:color="auto" w:fill="BFBFBF" w:themeFill="background1" w:themeFillShade="BF"/>
            <w:hideMark/>
          </w:tcPr>
          <w:p w:rsidR="00F51276" w:rsidRPr="00212A7B" w:rsidRDefault="00F51276" w:rsidP="00920356">
            <w:pPr>
              <w:tabs>
                <w:tab w:val="left" w:pos="1162"/>
              </w:tabs>
              <w:spacing w:before="80" w:after="80"/>
              <w:rPr>
                <w:rFonts w:cs="Arial"/>
                <w:b/>
                <w:bCs/>
                <w:color w:val="000000"/>
                <w:szCs w:val="20"/>
                <w:lang w:eastAsia="en-AU"/>
              </w:rPr>
            </w:pPr>
            <w:r w:rsidRPr="00212A7B">
              <w:rPr>
                <w:rFonts w:cs="Arial"/>
                <w:b/>
                <w:bCs/>
                <w:color w:val="000000"/>
                <w:szCs w:val="20"/>
                <w:lang w:eastAsia="en-AU"/>
              </w:rPr>
              <w:t>Description</w:t>
            </w:r>
          </w:p>
        </w:tc>
      </w:tr>
      <w:tr w:rsidR="00F51276" w:rsidRPr="00212A7B" w:rsidTr="00920356">
        <w:trPr>
          <w:cantSplit/>
          <w:trHeight w:val="450"/>
        </w:trPr>
        <w:tc>
          <w:tcPr>
            <w:tcW w:w="2605" w:type="dxa"/>
            <w:shd w:val="clear" w:color="auto" w:fill="auto"/>
            <w:hideMark/>
          </w:tcPr>
          <w:p w:rsidR="00F51276" w:rsidRPr="00E33EAE" w:rsidRDefault="00F51276" w:rsidP="00A95010">
            <w:pPr>
              <w:tabs>
                <w:tab w:val="left" w:pos="1162"/>
              </w:tabs>
              <w:spacing w:before="80" w:after="80"/>
              <w:rPr>
                <w:rFonts w:cs="Arial"/>
                <w:color w:val="000000"/>
                <w:sz w:val="18"/>
                <w:szCs w:val="20"/>
                <w:lang w:eastAsia="en-AU"/>
              </w:rPr>
            </w:pPr>
            <w:r w:rsidRPr="00E33EAE">
              <w:rPr>
                <w:rFonts w:cs="Arial"/>
                <w:color w:val="000000"/>
                <w:sz w:val="18"/>
                <w:szCs w:val="20"/>
                <w:lang w:eastAsia="en-AU"/>
              </w:rPr>
              <w:t xml:space="preserve">APC </w:t>
            </w:r>
            <w:r w:rsidR="007B3797" w:rsidRPr="00E33EAE">
              <w:rPr>
                <w:rFonts w:cs="Arial"/>
                <w:color w:val="000000"/>
                <w:sz w:val="18"/>
                <w:szCs w:val="20"/>
                <w:lang w:eastAsia="en-AU"/>
              </w:rPr>
              <w:t xml:space="preserve">NMDS </w:t>
            </w:r>
            <w:r w:rsidRPr="00E33EAE">
              <w:rPr>
                <w:rFonts w:cs="Arial"/>
                <w:color w:val="000000"/>
                <w:sz w:val="18"/>
                <w:szCs w:val="20"/>
                <w:lang w:eastAsia="en-AU"/>
              </w:rPr>
              <w:t xml:space="preserve">&amp; </w:t>
            </w:r>
            <w:r w:rsidR="00A95010">
              <w:rPr>
                <w:rFonts w:cs="Arial"/>
                <w:color w:val="000000"/>
                <w:sz w:val="18"/>
                <w:szCs w:val="20"/>
                <w:lang w:eastAsia="en-AU"/>
              </w:rPr>
              <w:t>ASNHC DSS</w:t>
            </w:r>
            <w:r w:rsidRPr="00E33EAE">
              <w:rPr>
                <w:rFonts w:cs="Arial"/>
                <w:color w:val="000000"/>
                <w:sz w:val="18"/>
                <w:szCs w:val="20"/>
                <w:lang w:eastAsia="en-AU"/>
              </w:rPr>
              <w:t xml:space="preserve"> </w:t>
            </w:r>
          </w:p>
        </w:tc>
        <w:tc>
          <w:tcPr>
            <w:tcW w:w="7049" w:type="dxa"/>
            <w:shd w:val="clear" w:color="auto" w:fill="auto"/>
            <w:hideMark/>
          </w:tcPr>
          <w:p w:rsidR="00F51276" w:rsidRPr="00E33EAE" w:rsidRDefault="00F51276" w:rsidP="007B3797">
            <w:pPr>
              <w:tabs>
                <w:tab w:val="left" w:pos="1162"/>
              </w:tabs>
              <w:spacing w:before="80" w:after="80"/>
              <w:rPr>
                <w:rFonts w:cs="Arial"/>
                <w:color w:val="000000"/>
                <w:sz w:val="18"/>
                <w:szCs w:val="20"/>
                <w:lang w:eastAsia="en-AU"/>
              </w:rPr>
            </w:pPr>
            <w:r w:rsidRPr="00E33EAE">
              <w:rPr>
                <w:rFonts w:cs="Arial"/>
                <w:color w:val="000000"/>
                <w:sz w:val="18"/>
                <w:szCs w:val="20"/>
                <w:lang w:eastAsia="en-AU"/>
              </w:rPr>
              <w:t xml:space="preserve">Dataset based on the </w:t>
            </w:r>
            <w:r w:rsidR="000C75BC" w:rsidRPr="00E33EAE">
              <w:rPr>
                <w:rFonts w:cs="Arial"/>
                <w:color w:val="000000"/>
                <w:sz w:val="18"/>
                <w:szCs w:val="20"/>
                <w:lang w:eastAsia="en-AU"/>
              </w:rPr>
              <w:t>2016-17</w:t>
            </w:r>
            <w:r w:rsidRPr="00E33EAE">
              <w:rPr>
                <w:rFonts w:cs="Arial"/>
                <w:color w:val="000000"/>
                <w:sz w:val="18"/>
                <w:szCs w:val="20"/>
                <w:lang w:eastAsia="en-AU"/>
              </w:rPr>
              <w:t xml:space="preserve"> Admitted Patient Care </w:t>
            </w:r>
            <w:r w:rsidR="007B3797" w:rsidRPr="00E33EAE">
              <w:rPr>
                <w:rFonts w:cs="Arial"/>
                <w:color w:val="000000"/>
                <w:sz w:val="18"/>
                <w:szCs w:val="20"/>
                <w:lang w:eastAsia="en-AU"/>
              </w:rPr>
              <w:t xml:space="preserve">National Minimum </w:t>
            </w:r>
            <w:r w:rsidRPr="00E33EAE">
              <w:rPr>
                <w:rFonts w:cs="Arial"/>
                <w:color w:val="000000"/>
                <w:sz w:val="18"/>
                <w:szCs w:val="20"/>
                <w:lang w:eastAsia="en-AU"/>
              </w:rPr>
              <w:t>Data Set</w:t>
            </w:r>
            <w:r w:rsidR="007B3797" w:rsidRPr="00E33EAE">
              <w:rPr>
                <w:rFonts w:cs="Arial"/>
                <w:color w:val="000000"/>
                <w:sz w:val="18"/>
                <w:szCs w:val="20"/>
                <w:lang w:eastAsia="en-AU"/>
              </w:rPr>
              <w:t xml:space="preserve"> (APC NMDS)</w:t>
            </w:r>
            <w:r w:rsidRPr="00E33EAE">
              <w:rPr>
                <w:rFonts w:cs="Arial"/>
                <w:color w:val="000000"/>
                <w:sz w:val="18"/>
                <w:szCs w:val="20"/>
                <w:lang w:eastAsia="en-AU"/>
              </w:rPr>
              <w:t>, with extra AN</w:t>
            </w:r>
            <w:r w:rsidRPr="00E33EAE">
              <w:rPr>
                <w:rFonts w:cs="Arial"/>
                <w:color w:val="000000"/>
                <w:sz w:val="18"/>
                <w:szCs w:val="20"/>
                <w:lang w:eastAsia="en-AU"/>
              </w:rPr>
              <w:noBreakHyphen/>
              <w:t>SNAP information from the Admitted Subacute and Non</w:t>
            </w:r>
            <w:r w:rsidR="007B3797" w:rsidRPr="00E33EAE">
              <w:rPr>
                <w:rFonts w:cs="Arial"/>
                <w:color w:val="000000"/>
                <w:sz w:val="18"/>
                <w:szCs w:val="20"/>
                <w:lang w:eastAsia="en-AU"/>
              </w:rPr>
              <w:t>-</w:t>
            </w:r>
            <w:r w:rsidRPr="00E33EAE">
              <w:rPr>
                <w:rFonts w:cs="Arial"/>
                <w:color w:val="000000"/>
                <w:sz w:val="18"/>
                <w:szCs w:val="20"/>
                <w:lang w:eastAsia="en-AU"/>
              </w:rPr>
              <w:t xml:space="preserve">acute </w:t>
            </w:r>
            <w:r w:rsidR="00A95010">
              <w:rPr>
                <w:rFonts w:cs="Arial"/>
                <w:color w:val="000000"/>
                <w:sz w:val="18"/>
                <w:szCs w:val="20"/>
                <w:lang w:eastAsia="en-AU"/>
              </w:rPr>
              <w:t>hospital care DSS (ASN</w:t>
            </w:r>
            <w:r w:rsidR="007B3797" w:rsidRPr="00E33EAE">
              <w:rPr>
                <w:rFonts w:cs="Arial"/>
                <w:color w:val="000000"/>
                <w:sz w:val="18"/>
                <w:szCs w:val="20"/>
                <w:lang w:eastAsia="en-AU"/>
              </w:rPr>
              <w:t>HC DSS)</w:t>
            </w:r>
            <w:r w:rsidRPr="00E33EAE">
              <w:rPr>
                <w:rFonts w:cs="Arial"/>
                <w:color w:val="000000"/>
                <w:sz w:val="18"/>
                <w:szCs w:val="20"/>
                <w:lang w:eastAsia="en-AU"/>
              </w:rPr>
              <w:t>, where available. Dataset specifications are located on the IHPA website.</w:t>
            </w:r>
          </w:p>
        </w:tc>
      </w:tr>
      <w:tr w:rsidR="00F51276" w:rsidRPr="00212A7B" w:rsidTr="00920356">
        <w:trPr>
          <w:cantSplit/>
          <w:trHeight w:val="450"/>
        </w:trPr>
        <w:tc>
          <w:tcPr>
            <w:tcW w:w="2605" w:type="dxa"/>
            <w:shd w:val="clear" w:color="auto" w:fill="auto"/>
            <w:hideMark/>
          </w:tcPr>
          <w:p w:rsidR="00F51276" w:rsidRPr="00E33EAE" w:rsidRDefault="00F51276" w:rsidP="00920356">
            <w:pPr>
              <w:tabs>
                <w:tab w:val="left" w:pos="1162"/>
              </w:tabs>
              <w:spacing w:before="80" w:after="80"/>
              <w:rPr>
                <w:rFonts w:cs="Arial"/>
                <w:color w:val="000000"/>
                <w:sz w:val="18"/>
                <w:szCs w:val="20"/>
                <w:lang w:eastAsia="en-AU"/>
              </w:rPr>
            </w:pPr>
            <w:r w:rsidRPr="00E33EAE">
              <w:rPr>
                <w:rFonts w:cs="Arial"/>
                <w:color w:val="000000"/>
                <w:sz w:val="18"/>
                <w:szCs w:val="20"/>
                <w:lang w:eastAsia="en-AU"/>
              </w:rPr>
              <w:t>Postcode table</w:t>
            </w:r>
          </w:p>
        </w:tc>
        <w:tc>
          <w:tcPr>
            <w:tcW w:w="7049" w:type="dxa"/>
            <w:shd w:val="clear" w:color="auto" w:fill="auto"/>
            <w:hideMark/>
          </w:tcPr>
          <w:p w:rsidR="00F51276" w:rsidRPr="00E33EAE" w:rsidRDefault="00F51276" w:rsidP="00C332C5">
            <w:pPr>
              <w:tabs>
                <w:tab w:val="left" w:pos="1162"/>
              </w:tabs>
              <w:spacing w:before="80" w:after="80"/>
              <w:rPr>
                <w:rFonts w:cs="Arial"/>
                <w:color w:val="000000"/>
                <w:sz w:val="18"/>
                <w:szCs w:val="20"/>
                <w:lang w:eastAsia="en-AU"/>
              </w:rPr>
            </w:pPr>
            <w:r w:rsidRPr="00E33EAE">
              <w:rPr>
                <w:rFonts w:cs="Arial"/>
                <w:color w:val="000000"/>
                <w:sz w:val="18"/>
                <w:szCs w:val="20"/>
                <w:lang w:eastAsia="en-AU"/>
              </w:rPr>
              <w:t xml:space="preserve">Table of postcodes mapped to the </w:t>
            </w:r>
            <w:r w:rsidR="00C332C5" w:rsidRPr="00E33EAE">
              <w:rPr>
                <w:rFonts w:cs="Arial"/>
                <w:color w:val="000000"/>
                <w:sz w:val="18"/>
                <w:szCs w:val="20"/>
                <w:lang w:eastAsia="en-AU"/>
              </w:rPr>
              <w:t xml:space="preserve">2011 </w:t>
            </w:r>
            <w:r w:rsidRPr="00E33EAE">
              <w:rPr>
                <w:rFonts w:cs="Arial"/>
                <w:color w:val="000000"/>
                <w:sz w:val="18"/>
                <w:szCs w:val="20"/>
                <w:lang w:eastAsia="en-AU"/>
              </w:rPr>
              <w:t>ASGS Remoteness Area classification. Each postcode is mapped to the Remoteness Area category within which the majority of the postcode’s population reside. PO Box postcodes are mapped to the Remoteness Area category within which the Post Office is located.</w:t>
            </w:r>
          </w:p>
        </w:tc>
      </w:tr>
      <w:tr w:rsidR="00F51276" w:rsidRPr="00212A7B" w:rsidTr="00920356">
        <w:trPr>
          <w:cantSplit/>
          <w:trHeight w:val="450"/>
        </w:trPr>
        <w:tc>
          <w:tcPr>
            <w:tcW w:w="2605" w:type="dxa"/>
            <w:shd w:val="clear" w:color="auto" w:fill="auto"/>
          </w:tcPr>
          <w:p w:rsidR="00F51276" w:rsidRPr="00E33EAE" w:rsidRDefault="00F51276" w:rsidP="00920356">
            <w:pPr>
              <w:tabs>
                <w:tab w:val="left" w:pos="1162"/>
              </w:tabs>
              <w:spacing w:before="80" w:after="80"/>
              <w:rPr>
                <w:rFonts w:cs="Arial"/>
                <w:sz w:val="18"/>
                <w:szCs w:val="20"/>
              </w:rPr>
            </w:pPr>
            <w:r w:rsidRPr="00E33EAE">
              <w:rPr>
                <w:rFonts w:cs="Arial"/>
                <w:sz w:val="18"/>
                <w:szCs w:val="20"/>
              </w:rPr>
              <w:t>ASGS table</w:t>
            </w:r>
          </w:p>
        </w:tc>
        <w:tc>
          <w:tcPr>
            <w:tcW w:w="7049" w:type="dxa"/>
            <w:shd w:val="clear" w:color="auto" w:fill="auto"/>
          </w:tcPr>
          <w:p w:rsidR="00F51276" w:rsidRPr="00E33EAE" w:rsidRDefault="00F51276" w:rsidP="00956FE6">
            <w:pPr>
              <w:tabs>
                <w:tab w:val="left" w:pos="1162"/>
              </w:tabs>
              <w:spacing w:before="80" w:after="80"/>
              <w:rPr>
                <w:rFonts w:cs="Arial"/>
                <w:sz w:val="18"/>
                <w:szCs w:val="20"/>
              </w:rPr>
            </w:pPr>
            <w:r w:rsidRPr="00E33EAE">
              <w:rPr>
                <w:rFonts w:cs="Arial"/>
                <w:sz w:val="18"/>
                <w:szCs w:val="20"/>
              </w:rPr>
              <w:t xml:space="preserve">Table of </w:t>
            </w:r>
            <w:r w:rsidR="00C332C5" w:rsidRPr="00E33EAE">
              <w:rPr>
                <w:rFonts w:ascii="Arial" w:hAnsi="Arial" w:cs="Arial"/>
                <w:sz w:val="18"/>
                <w:szCs w:val="20"/>
              </w:rPr>
              <w:t>ASGS</w:t>
            </w:r>
            <w:r w:rsidR="00935FD4" w:rsidRPr="00E33EAE">
              <w:rPr>
                <w:rFonts w:cs="Arial"/>
                <w:sz w:val="18"/>
                <w:szCs w:val="20"/>
              </w:rPr>
              <w:t>’</w:t>
            </w:r>
            <w:r w:rsidRPr="00E33EAE">
              <w:rPr>
                <w:rFonts w:cs="Arial"/>
                <w:sz w:val="18"/>
                <w:szCs w:val="20"/>
              </w:rPr>
              <w:t xml:space="preserve"> mapped to the Remoteness Area category within which the majority of the ASGS’s population resides.</w:t>
            </w:r>
          </w:p>
        </w:tc>
      </w:tr>
      <w:tr w:rsidR="00F51276" w:rsidRPr="00212A7B" w:rsidTr="00920356">
        <w:trPr>
          <w:cantSplit/>
          <w:trHeight w:val="450"/>
        </w:trPr>
        <w:tc>
          <w:tcPr>
            <w:tcW w:w="2605" w:type="dxa"/>
            <w:shd w:val="clear" w:color="auto" w:fill="auto"/>
            <w:hideMark/>
          </w:tcPr>
          <w:p w:rsidR="00F51276" w:rsidRPr="00E33EAE" w:rsidRDefault="00F51276" w:rsidP="00920356">
            <w:pPr>
              <w:tabs>
                <w:tab w:val="left" w:pos="1162"/>
              </w:tabs>
              <w:spacing w:before="80" w:after="80"/>
              <w:rPr>
                <w:rFonts w:cs="Arial"/>
                <w:color w:val="000000"/>
                <w:sz w:val="18"/>
                <w:szCs w:val="20"/>
                <w:lang w:eastAsia="en-AU"/>
              </w:rPr>
            </w:pPr>
            <w:r w:rsidRPr="00E33EAE">
              <w:rPr>
                <w:rFonts w:cs="Arial"/>
                <w:color w:val="000000"/>
                <w:sz w:val="18"/>
                <w:szCs w:val="20"/>
                <w:lang w:eastAsia="en-AU"/>
              </w:rPr>
              <w:t>SLA table</w:t>
            </w:r>
          </w:p>
        </w:tc>
        <w:tc>
          <w:tcPr>
            <w:tcW w:w="7049" w:type="dxa"/>
            <w:shd w:val="clear" w:color="auto" w:fill="auto"/>
            <w:hideMark/>
          </w:tcPr>
          <w:p w:rsidR="00F51276" w:rsidRPr="00E33EAE" w:rsidRDefault="00F51276" w:rsidP="00920356">
            <w:pPr>
              <w:tabs>
                <w:tab w:val="left" w:pos="1162"/>
              </w:tabs>
              <w:spacing w:before="80" w:after="80"/>
              <w:rPr>
                <w:rFonts w:cs="Arial"/>
                <w:color w:val="000000"/>
                <w:sz w:val="18"/>
                <w:szCs w:val="20"/>
                <w:lang w:eastAsia="en-AU"/>
              </w:rPr>
            </w:pPr>
            <w:r w:rsidRPr="00E33EAE">
              <w:rPr>
                <w:rFonts w:cs="Arial"/>
                <w:color w:val="000000"/>
                <w:sz w:val="18"/>
                <w:szCs w:val="20"/>
                <w:lang w:eastAsia="en-AU"/>
              </w:rPr>
              <w:t>Table of Statistical Local Areas (SLAs) mapped to the 2011 ASGS Remoteness Area classifications. Each SLA is mapped to the Remoteness Area category within which the majority of the SLA’s population reside.</w:t>
            </w:r>
          </w:p>
        </w:tc>
      </w:tr>
      <w:tr w:rsidR="00F51276" w:rsidRPr="00212A7B" w:rsidTr="00920356">
        <w:trPr>
          <w:cantSplit/>
          <w:trHeight w:val="225"/>
        </w:trPr>
        <w:tc>
          <w:tcPr>
            <w:tcW w:w="2605" w:type="dxa"/>
            <w:shd w:val="clear" w:color="auto" w:fill="auto"/>
            <w:hideMark/>
          </w:tcPr>
          <w:p w:rsidR="00F51276" w:rsidRPr="00E33EAE" w:rsidRDefault="000C75BC" w:rsidP="00920356">
            <w:pPr>
              <w:tabs>
                <w:tab w:val="left" w:pos="1162"/>
              </w:tabs>
              <w:spacing w:before="80" w:after="80"/>
              <w:rPr>
                <w:rFonts w:cs="Arial"/>
                <w:color w:val="000000"/>
                <w:sz w:val="18"/>
                <w:szCs w:val="20"/>
                <w:lang w:eastAsia="en-AU"/>
              </w:rPr>
            </w:pPr>
            <w:r w:rsidRPr="00E33EAE">
              <w:rPr>
                <w:rFonts w:cs="Arial"/>
                <w:color w:val="000000"/>
                <w:sz w:val="18"/>
                <w:szCs w:val="20"/>
                <w:lang w:eastAsia="en-AU"/>
              </w:rPr>
              <w:t>2016-17</w:t>
            </w:r>
            <w:r w:rsidR="00F51276" w:rsidRPr="00E33EAE">
              <w:rPr>
                <w:rFonts w:cs="Arial"/>
                <w:color w:val="000000"/>
                <w:sz w:val="18"/>
                <w:szCs w:val="20"/>
                <w:lang w:eastAsia="en-AU"/>
              </w:rPr>
              <w:t xml:space="preserve"> NWAU Price Weight tables</w:t>
            </w:r>
          </w:p>
        </w:tc>
        <w:tc>
          <w:tcPr>
            <w:tcW w:w="7049" w:type="dxa"/>
            <w:shd w:val="clear" w:color="auto" w:fill="auto"/>
            <w:hideMark/>
          </w:tcPr>
          <w:p w:rsidR="00F51276" w:rsidRPr="00E33EAE" w:rsidRDefault="000C75BC" w:rsidP="002E49CC">
            <w:pPr>
              <w:tabs>
                <w:tab w:val="left" w:pos="1162"/>
              </w:tabs>
              <w:spacing w:before="80" w:after="80"/>
              <w:rPr>
                <w:rFonts w:cs="Arial"/>
                <w:color w:val="000000"/>
                <w:sz w:val="18"/>
                <w:szCs w:val="20"/>
                <w:lang w:eastAsia="en-AU"/>
              </w:rPr>
            </w:pPr>
            <w:r w:rsidRPr="00E33EAE">
              <w:rPr>
                <w:rFonts w:cs="Arial"/>
                <w:color w:val="000000"/>
                <w:sz w:val="18"/>
                <w:szCs w:val="20"/>
                <w:lang w:eastAsia="en-AU"/>
              </w:rPr>
              <w:t>2016-17</w:t>
            </w:r>
            <w:r w:rsidR="00F51276" w:rsidRPr="00E33EAE">
              <w:rPr>
                <w:rFonts w:cs="Arial"/>
                <w:color w:val="000000"/>
                <w:sz w:val="18"/>
                <w:szCs w:val="20"/>
                <w:lang w:eastAsia="en-AU"/>
              </w:rPr>
              <w:t xml:space="preserve"> NWAU </w:t>
            </w:r>
            <w:r w:rsidR="00002CE6">
              <w:rPr>
                <w:rFonts w:cs="Arial"/>
                <w:color w:val="000000"/>
                <w:sz w:val="18"/>
                <w:szCs w:val="20"/>
                <w:lang w:eastAsia="en-AU"/>
              </w:rPr>
              <w:t>Admitted subacute and non-acute</w:t>
            </w:r>
            <w:r w:rsidR="00F51276" w:rsidRPr="00E33EAE">
              <w:rPr>
                <w:rFonts w:cs="Arial"/>
                <w:color w:val="000000"/>
                <w:sz w:val="18"/>
                <w:szCs w:val="20"/>
                <w:lang w:eastAsia="en-AU"/>
              </w:rPr>
              <w:t xml:space="preserve"> AN-SNAP and Care Type Same Day and Overnight Per Diem Price Weight tables, found in the </w:t>
            </w:r>
            <w:r w:rsidR="002E49CC" w:rsidRPr="00E33EAE">
              <w:rPr>
                <w:rFonts w:cs="Arial"/>
                <w:color w:val="000000"/>
                <w:sz w:val="18"/>
                <w:szCs w:val="20"/>
                <w:lang w:eastAsia="en-AU"/>
              </w:rPr>
              <w:t xml:space="preserve">NEP16 </w:t>
            </w:r>
            <w:r w:rsidR="00F51276" w:rsidRPr="00E33EAE">
              <w:rPr>
                <w:rFonts w:cs="Arial"/>
                <w:color w:val="000000"/>
                <w:sz w:val="18"/>
                <w:szCs w:val="20"/>
                <w:lang w:eastAsia="en-AU"/>
              </w:rPr>
              <w:t xml:space="preserve">Determination. </w:t>
            </w:r>
          </w:p>
        </w:tc>
      </w:tr>
      <w:tr w:rsidR="00F51276" w:rsidRPr="00212A7B" w:rsidTr="00920356">
        <w:trPr>
          <w:cantSplit/>
          <w:trHeight w:val="225"/>
        </w:trPr>
        <w:tc>
          <w:tcPr>
            <w:tcW w:w="2605" w:type="dxa"/>
            <w:shd w:val="clear" w:color="auto" w:fill="auto"/>
            <w:hideMark/>
          </w:tcPr>
          <w:p w:rsidR="00F51276" w:rsidRPr="00E33EAE" w:rsidRDefault="000C75BC" w:rsidP="00920356">
            <w:pPr>
              <w:tabs>
                <w:tab w:val="left" w:pos="1162"/>
              </w:tabs>
              <w:spacing w:before="80" w:after="80"/>
              <w:rPr>
                <w:rFonts w:cs="Arial"/>
                <w:color w:val="000000"/>
                <w:sz w:val="18"/>
                <w:szCs w:val="20"/>
                <w:lang w:eastAsia="en-AU"/>
              </w:rPr>
            </w:pPr>
            <w:r w:rsidRPr="00E33EAE">
              <w:rPr>
                <w:rFonts w:cs="Arial"/>
                <w:color w:val="000000"/>
                <w:sz w:val="18"/>
                <w:szCs w:val="20"/>
                <w:lang w:eastAsia="en-AU"/>
              </w:rPr>
              <w:t>2016-17</w:t>
            </w:r>
            <w:r w:rsidR="00F51276" w:rsidRPr="00E33EAE">
              <w:rPr>
                <w:rFonts w:cs="Arial"/>
                <w:color w:val="000000"/>
                <w:sz w:val="18"/>
                <w:szCs w:val="20"/>
                <w:lang w:eastAsia="en-AU"/>
              </w:rPr>
              <w:t xml:space="preserve"> NWAU Adjustments</w:t>
            </w:r>
          </w:p>
        </w:tc>
        <w:tc>
          <w:tcPr>
            <w:tcW w:w="7049" w:type="dxa"/>
            <w:shd w:val="clear" w:color="auto" w:fill="auto"/>
            <w:hideMark/>
          </w:tcPr>
          <w:p w:rsidR="00F51276" w:rsidRPr="00E33EAE" w:rsidRDefault="000C75BC" w:rsidP="002E49CC">
            <w:pPr>
              <w:tabs>
                <w:tab w:val="left" w:pos="1162"/>
              </w:tabs>
              <w:spacing w:before="80" w:after="80"/>
              <w:rPr>
                <w:rFonts w:cs="Arial"/>
                <w:color w:val="000000"/>
                <w:sz w:val="18"/>
                <w:szCs w:val="20"/>
                <w:lang w:eastAsia="en-AU"/>
              </w:rPr>
            </w:pPr>
            <w:r w:rsidRPr="00E33EAE">
              <w:rPr>
                <w:rFonts w:cs="Arial"/>
                <w:color w:val="000000"/>
                <w:sz w:val="18"/>
                <w:szCs w:val="20"/>
                <w:lang w:eastAsia="en-AU"/>
              </w:rPr>
              <w:t>2016-17</w:t>
            </w:r>
            <w:r w:rsidR="00F51276" w:rsidRPr="00E33EAE">
              <w:rPr>
                <w:rFonts w:cs="Arial"/>
                <w:color w:val="000000"/>
                <w:sz w:val="18"/>
                <w:szCs w:val="20"/>
                <w:lang w:eastAsia="en-AU"/>
              </w:rPr>
              <w:t xml:space="preserve"> NWAU </w:t>
            </w:r>
            <w:r w:rsidR="00002CE6">
              <w:rPr>
                <w:rFonts w:cs="Arial"/>
                <w:color w:val="000000"/>
                <w:sz w:val="18"/>
                <w:szCs w:val="20"/>
                <w:lang w:eastAsia="en-AU"/>
              </w:rPr>
              <w:t>Admitted subacute and non-acute</w:t>
            </w:r>
            <w:r w:rsidR="00F51276" w:rsidRPr="00E33EAE">
              <w:rPr>
                <w:rFonts w:cs="Arial"/>
                <w:color w:val="000000"/>
                <w:sz w:val="18"/>
                <w:szCs w:val="20"/>
                <w:lang w:eastAsia="en-AU"/>
              </w:rPr>
              <w:t xml:space="preserve"> Adjustments, found in the </w:t>
            </w:r>
            <w:r w:rsidR="002E49CC" w:rsidRPr="00E33EAE">
              <w:rPr>
                <w:rFonts w:cs="Arial"/>
                <w:color w:val="000000"/>
                <w:sz w:val="18"/>
                <w:szCs w:val="20"/>
                <w:lang w:eastAsia="en-AU"/>
              </w:rPr>
              <w:t xml:space="preserve">NEP16 </w:t>
            </w:r>
            <w:r w:rsidR="00F51276" w:rsidRPr="00E33EAE">
              <w:rPr>
                <w:rFonts w:cs="Arial"/>
                <w:color w:val="000000"/>
                <w:sz w:val="18"/>
                <w:szCs w:val="20"/>
                <w:lang w:eastAsia="en-AU"/>
              </w:rPr>
              <w:t xml:space="preserve">Determination. </w:t>
            </w:r>
          </w:p>
        </w:tc>
      </w:tr>
    </w:tbl>
    <w:p w:rsidR="00BF0679" w:rsidRDefault="00BF0679">
      <w:pPr>
        <w:spacing w:after="200" w:line="276" w:lineRule="auto"/>
        <w:rPr>
          <w:rFonts w:ascii="Arial" w:eastAsia="Times New Roman" w:hAnsi="Arial" w:cstheme="minorHAnsi"/>
          <w:b/>
          <w:color w:val="000000"/>
          <w:sz w:val="20"/>
          <w:szCs w:val="20"/>
          <w:lang w:eastAsia="en-AU"/>
        </w:rPr>
      </w:pPr>
      <w:bookmarkStart w:id="302" w:name="_Ref342308479"/>
      <w:r>
        <w:br w:type="page"/>
      </w:r>
    </w:p>
    <w:p w:rsidR="00F51276" w:rsidRDefault="00F51276">
      <w:pPr>
        <w:pStyle w:val="table"/>
      </w:pPr>
      <w:r>
        <w:t xml:space="preserve">Table </w:t>
      </w:r>
      <w:bookmarkEnd w:id="302"/>
      <w:r>
        <w:t>1</w:t>
      </w:r>
      <w:r w:rsidR="00693CC5">
        <w:t>1</w:t>
      </w:r>
      <w:r>
        <w:t xml:space="preserve">: </w:t>
      </w:r>
      <w:r w:rsidRPr="00A643F6">
        <w:t>APC &amp; ASN</w:t>
      </w:r>
      <w:r w:rsidR="00A95010">
        <w:t>H</w:t>
      </w:r>
      <w:r w:rsidRPr="00A643F6">
        <w:t xml:space="preserve">C DSS variables used to calculate </w:t>
      </w:r>
      <w:r w:rsidR="000C75BC">
        <w:t>2016-17</w:t>
      </w:r>
      <w:r w:rsidRPr="00A643F6">
        <w:t xml:space="preserve"> subacute admitted NWAU</w:t>
      </w:r>
    </w:p>
    <w:tbl>
      <w:tblPr>
        <w:tblW w:w="7636"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701"/>
        <w:gridCol w:w="5935"/>
      </w:tblGrid>
      <w:tr w:rsidR="00F51276" w:rsidRPr="00496274" w:rsidTr="00012558">
        <w:trPr>
          <w:cantSplit/>
          <w:trHeight w:val="259"/>
          <w:tblHeader/>
          <w:jc w:val="center"/>
        </w:trPr>
        <w:tc>
          <w:tcPr>
            <w:tcW w:w="1701" w:type="dxa"/>
            <w:shd w:val="clear" w:color="auto" w:fill="BFBFBF" w:themeFill="background1" w:themeFillShade="BF"/>
          </w:tcPr>
          <w:p w:rsidR="00F51276" w:rsidRPr="00494D73" w:rsidRDefault="00F51276" w:rsidP="00920356">
            <w:pPr>
              <w:tabs>
                <w:tab w:val="left" w:pos="1162"/>
              </w:tabs>
              <w:spacing w:before="80" w:after="80"/>
              <w:rPr>
                <w:rFonts w:cs="Arial"/>
                <w:color w:val="000000"/>
                <w:sz w:val="18"/>
                <w:szCs w:val="18"/>
                <w:lang w:eastAsia="en-AU"/>
              </w:rPr>
            </w:pPr>
            <w:r w:rsidRPr="00667F5B">
              <w:rPr>
                <w:rFonts w:cs="Arial"/>
                <w:b/>
                <w:bCs/>
                <w:color w:val="000000"/>
                <w:szCs w:val="20"/>
                <w:lang w:eastAsia="en-AU"/>
              </w:rPr>
              <w:t>Dataset</w:t>
            </w:r>
          </w:p>
        </w:tc>
        <w:tc>
          <w:tcPr>
            <w:tcW w:w="5935" w:type="dxa"/>
            <w:shd w:val="clear" w:color="auto" w:fill="BFBFBF" w:themeFill="background1" w:themeFillShade="BF"/>
            <w:noWrap/>
          </w:tcPr>
          <w:p w:rsidR="00F51276" w:rsidRPr="00494D73" w:rsidRDefault="00F51276" w:rsidP="00920356">
            <w:pPr>
              <w:tabs>
                <w:tab w:val="left" w:pos="1162"/>
              </w:tabs>
              <w:spacing w:before="80" w:after="80"/>
              <w:rPr>
                <w:rFonts w:cs="Arial"/>
                <w:color w:val="000000"/>
                <w:sz w:val="18"/>
                <w:szCs w:val="18"/>
                <w:lang w:eastAsia="en-AU"/>
              </w:rPr>
            </w:pPr>
            <w:r w:rsidRPr="00667F5B">
              <w:rPr>
                <w:rFonts w:cs="Arial"/>
                <w:b/>
                <w:bCs/>
                <w:color w:val="000000"/>
                <w:szCs w:val="20"/>
                <w:lang w:eastAsia="en-AU"/>
              </w:rPr>
              <w:t>Variable</w:t>
            </w:r>
          </w:p>
        </w:tc>
      </w:tr>
      <w:tr w:rsidR="00F51276" w:rsidRPr="00496274" w:rsidTr="00012558">
        <w:trPr>
          <w:cantSplit/>
          <w:trHeight w:val="259"/>
          <w:jc w:val="center"/>
        </w:trPr>
        <w:tc>
          <w:tcPr>
            <w:tcW w:w="1701" w:type="dxa"/>
            <w:vMerge w:val="restart"/>
            <w:shd w:val="clear" w:color="auto" w:fill="auto"/>
            <w:hideMark/>
          </w:tcPr>
          <w:p w:rsidR="00F51276" w:rsidRPr="00494D73" w:rsidRDefault="00F51276" w:rsidP="00F76672">
            <w:pPr>
              <w:tabs>
                <w:tab w:val="left" w:pos="1162"/>
              </w:tabs>
              <w:spacing w:before="60" w:after="60"/>
              <w:rPr>
                <w:rFonts w:cs="Arial"/>
                <w:color w:val="000000"/>
                <w:sz w:val="18"/>
                <w:szCs w:val="18"/>
                <w:lang w:eastAsia="en-AU"/>
              </w:rPr>
            </w:pPr>
            <w:r w:rsidRPr="00494D73">
              <w:rPr>
                <w:rFonts w:cs="Arial"/>
                <w:color w:val="000000"/>
                <w:sz w:val="18"/>
                <w:szCs w:val="18"/>
                <w:lang w:eastAsia="en-AU"/>
              </w:rPr>
              <w:t xml:space="preserve">APC </w:t>
            </w:r>
            <w:r w:rsidR="00F76672">
              <w:rPr>
                <w:rFonts w:cs="Arial"/>
                <w:color w:val="000000"/>
                <w:sz w:val="18"/>
                <w:szCs w:val="18"/>
                <w:lang w:eastAsia="en-AU"/>
              </w:rPr>
              <w:t>NMDS</w:t>
            </w: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State Identifier</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012558" w:rsidP="00920356">
            <w:pPr>
              <w:tabs>
                <w:tab w:val="left" w:pos="1162"/>
              </w:tabs>
              <w:spacing w:before="60" w:after="60"/>
              <w:rPr>
                <w:rFonts w:cs="Arial"/>
                <w:color w:val="000000"/>
                <w:sz w:val="18"/>
                <w:szCs w:val="18"/>
                <w:lang w:eastAsia="en-AU"/>
              </w:rPr>
            </w:pPr>
            <w:r>
              <w:rPr>
                <w:rFonts w:cs="Arial"/>
                <w:color w:val="000000"/>
                <w:sz w:val="18"/>
                <w:szCs w:val="18"/>
                <w:lang w:eastAsia="en-AU"/>
              </w:rPr>
              <w:t>Hospital G</w:t>
            </w:r>
            <w:r w:rsidR="00F51276" w:rsidRPr="00494D73">
              <w:rPr>
                <w:rFonts w:cs="Arial"/>
                <w:color w:val="000000"/>
                <w:sz w:val="18"/>
                <w:szCs w:val="18"/>
                <w:lang w:eastAsia="en-AU"/>
              </w:rPr>
              <w:t>eographical Indicator</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Date of Birth</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Date of Admission</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Date of Separation</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Care Type</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Indigenous Status</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Funding Source</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Total Leave Days</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Postcode of Patient's Usual Residence</w:t>
            </w:r>
          </w:p>
        </w:tc>
      </w:tr>
      <w:tr w:rsidR="00F51276" w:rsidRPr="00496274" w:rsidTr="00012558">
        <w:trPr>
          <w:cantSplit/>
          <w:trHeight w:val="259"/>
          <w:jc w:val="center"/>
        </w:trPr>
        <w:tc>
          <w:tcPr>
            <w:tcW w:w="1701" w:type="dxa"/>
            <w:vMerge/>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tcPr>
          <w:p w:rsidR="00F51276" w:rsidRPr="00494D73"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Australian Statistical G</w:t>
            </w:r>
            <w:r w:rsidR="00012558">
              <w:rPr>
                <w:rFonts w:cs="Arial"/>
                <w:color w:val="000000"/>
                <w:sz w:val="18"/>
                <w:szCs w:val="18"/>
                <w:lang w:eastAsia="en-AU"/>
              </w:rPr>
              <w:t>eography Standard of Patient’s U</w:t>
            </w:r>
            <w:r>
              <w:rPr>
                <w:rFonts w:cs="Arial"/>
                <w:color w:val="000000"/>
                <w:sz w:val="18"/>
                <w:szCs w:val="18"/>
                <w:lang w:eastAsia="en-AU"/>
              </w:rPr>
              <w:t>sual Residence</w:t>
            </w:r>
          </w:p>
        </w:tc>
      </w:tr>
      <w:tr w:rsidR="00F51276" w:rsidRPr="00496274" w:rsidTr="00012558">
        <w:trPr>
          <w:cantSplit/>
          <w:trHeight w:val="259"/>
          <w:jc w:val="center"/>
        </w:trPr>
        <w:tc>
          <w:tcPr>
            <w:tcW w:w="1701" w:type="dxa"/>
            <w:vMerge/>
            <w:hideMark/>
          </w:tcPr>
          <w:p w:rsidR="00F51276" w:rsidRPr="00494D73" w:rsidRDefault="00F51276" w:rsidP="00920356">
            <w:pPr>
              <w:tabs>
                <w:tab w:val="left" w:pos="1162"/>
              </w:tabs>
              <w:spacing w:before="60" w:after="60"/>
              <w:rPr>
                <w:rFonts w:cs="Arial"/>
                <w:color w:val="000000"/>
                <w:sz w:val="18"/>
                <w:szCs w:val="18"/>
                <w:lang w:eastAsia="en-AU"/>
              </w:rPr>
            </w:pPr>
          </w:p>
        </w:tc>
        <w:tc>
          <w:tcPr>
            <w:tcW w:w="5935" w:type="dxa"/>
            <w:shd w:val="clear" w:color="auto" w:fill="auto"/>
            <w:noWrap/>
            <w:hideMark/>
          </w:tcPr>
          <w:p w:rsidR="00F51276" w:rsidRPr="00494D73" w:rsidRDefault="00F512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Statistical Local Area of Patient's Usual Residence</w:t>
            </w:r>
          </w:p>
        </w:tc>
      </w:tr>
      <w:tr w:rsidR="00714876" w:rsidRPr="00496274" w:rsidTr="00012558">
        <w:trPr>
          <w:cantSplit/>
          <w:trHeight w:val="259"/>
          <w:jc w:val="center"/>
        </w:trPr>
        <w:tc>
          <w:tcPr>
            <w:tcW w:w="1701" w:type="dxa"/>
            <w:vMerge w:val="restart"/>
            <w:shd w:val="clear" w:color="auto" w:fill="auto"/>
          </w:tcPr>
          <w:p w:rsidR="00714876" w:rsidRDefault="00714876" w:rsidP="00A95010">
            <w:pPr>
              <w:tabs>
                <w:tab w:val="left" w:pos="1162"/>
              </w:tabs>
              <w:spacing w:before="60" w:after="60"/>
              <w:rPr>
                <w:rFonts w:cs="Arial"/>
                <w:color w:val="000000"/>
                <w:sz w:val="18"/>
                <w:szCs w:val="18"/>
                <w:lang w:eastAsia="en-AU"/>
              </w:rPr>
            </w:pPr>
            <w:r>
              <w:rPr>
                <w:rFonts w:cs="Arial"/>
                <w:color w:val="000000"/>
                <w:sz w:val="18"/>
                <w:szCs w:val="18"/>
                <w:lang w:eastAsia="en-AU"/>
              </w:rPr>
              <w:t>ASN</w:t>
            </w:r>
            <w:r w:rsidR="00A95010">
              <w:rPr>
                <w:rFonts w:cs="Arial"/>
                <w:color w:val="000000"/>
                <w:sz w:val="18"/>
                <w:szCs w:val="18"/>
                <w:lang w:eastAsia="en-AU"/>
              </w:rPr>
              <w:t>H</w:t>
            </w:r>
            <w:r>
              <w:rPr>
                <w:rFonts w:cs="Arial"/>
                <w:color w:val="000000"/>
                <w:sz w:val="18"/>
                <w:szCs w:val="18"/>
                <w:lang w:eastAsia="en-AU"/>
              </w:rPr>
              <w:t xml:space="preserve">C </w:t>
            </w:r>
            <w:r w:rsidRPr="00494D73">
              <w:rPr>
                <w:rFonts w:cs="Arial"/>
                <w:color w:val="000000"/>
                <w:sz w:val="18"/>
                <w:szCs w:val="18"/>
                <w:lang w:eastAsia="en-AU"/>
              </w:rPr>
              <w:t>DSS</w:t>
            </w:r>
          </w:p>
        </w:tc>
        <w:tc>
          <w:tcPr>
            <w:tcW w:w="5935" w:type="dxa"/>
            <w:shd w:val="clear" w:color="auto" w:fill="auto"/>
            <w:noWrap/>
          </w:tcPr>
          <w:p w:rsidR="00714876" w:rsidRPr="00494D73" w:rsidRDefault="00714876" w:rsidP="00920356">
            <w:pPr>
              <w:tabs>
                <w:tab w:val="left" w:pos="1162"/>
              </w:tabs>
              <w:spacing w:before="60" w:after="60"/>
              <w:rPr>
                <w:rFonts w:cs="Arial"/>
                <w:color w:val="000000"/>
                <w:sz w:val="18"/>
                <w:szCs w:val="18"/>
                <w:lang w:eastAsia="en-AU"/>
              </w:rPr>
            </w:pPr>
            <w:r w:rsidRPr="00494D73">
              <w:rPr>
                <w:rFonts w:cs="Arial"/>
                <w:color w:val="000000"/>
                <w:sz w:val="18"/>
                <w:szCs w:val="18"/>
                <w:lang w:eastAsia="en-AU"/>
              </w:rPr>
              <w:t xml:space="preserve">AN-SNAP Class (Version </w:t>
            </w:r>
            <w:r>
              <w:rPr>
                <w:rFonts w:cs="Arial"/>
                <w:color w:val="000000"/>
                <w:sz w:val="18"/>
                <w:szCs w:val="18"/>
                <w:lang w:eastAsia="en-AU"/>
              </w:rPr>
              <w:t>4</w:t>
            </w:r>
            <w:r w:rsidRPr="00494D73">
              <w:rPr>
                <w:rFonts w:cs="Arial"/>
                <w:color w:val="000000"/>
                <w:sz w:val="18"/>
                <w:szCs w:val="18"/>
                <w:lang w:eastAsia="en-AU"/>
              </w:rPr>
              <w:t>)</w:t>
            </w:r>
          </w:p>
        </w:tc>
      </w:tr>
      <w:tr w:rsidR="00714876" w:rsidRPr="00496274" w:rsidTr="00012558">
        <w:trPr>
          <w:cantSplit/>
          <w:trHeight w:val="259"/>
          <w:jc w:val="center"/>
        </w:trPr>
        <w:tc>
          <w:tcPr>
            <w:tcW w:w="1701" w:type="dxa"/>
            <w:vMerge/>
            <w:shd w:val="clear" w:color="auto" w:fill="auto"/>
          </w:tcPr>
          <w:p w:rsidR="00714876" w:rsidRDefault="00714876" w:rsidP="00F76672">
            <w:pPr>
              <w:tabs>
                <w:tab w:val="left" w:pos="1162"/>
              </w:tabs>
              <w:spacing w:before="60" w:after="60"/>
              <w:rPr>
                <w:rFonts w:cs="Arial"/>
                <w:color w:val="000000"/>
                <w:sz w:val="18"/>
                <w:szCs w:val="18"/>
                <w:lang w:eastAsia="en-AU"/>
              </w:rPr>
            </w:pPr>
          </w:p>
        </w:tc>
        <w:tc>
          <w:tcPr>
            <w:tcW w:w="5935" w:type="dxa"/>
            <w:shd w:val="clear" w:color="auto" w:fill="auto"/>
            <w:noWrap/>
          </w:tcPr>
          <w:p w:rsidR="00714876" w:rsidRPr="00494D73" w:rsidRDefault="00714876" w:rsidP="00012558">
            <w:pPr>
              <w:tabs>
                <w:tab w:val="left" w:pos="1162"/>
              </w:tabs>
              <w:spacing w:before="60" w:after="60"/>
              <w:rPr>
                <w:rFonts w:cs="Arial"/>
                <w:color w:val="000000"/>
                <w:sz w:val="18"/>
                <w:szCs w:val="18"/>
                <w:lang w:eastAsia="en-AU"/>
              </w:rPr>
            </w:pPr>
            <w:r>
              <w:rPr>
                <w:rFonts w:cs="Arial"/>
                <w:color w:val="000000"/>
                <w:sz w:val="18"/>
                <w:szCs w:val="18"/>
                <w:lang w:eastAsia="en-AU"/>
              </w:rPr>
              <w:t xml:space="preserve">Palliative </w:t>
            </w:r>
            <w:r w:rsidR="00012558">
              <w:rPr>
                <w:rFonts w:cs="Arial"/>
                <w:color w:val="000000"/>
                <w:sz w:val="18"/>
                <w:szCs w:val="18"/>
                <w:lang w:eastAsia="en-AU"/>
              </w:rPr>
              <w:t>P</w:t>
            </w:r>
            <w:r>
              <w:rPr>
                <w:rFonts w:cs="Arial"/>
                <w:color w:val="000000"/>
                <w:sz w:val="18"/>
                <w:szCs w:val="18"/>
                <w:lang w:eastAsia="en-AU"/>
              </w:rPr>
              <w:t xml:space="preserve">hase of </w:t>
            </w:r>
            <w:r w:rsidR="00012558">
              <w:rPr>
                <w:rFonts w:cs="Arial"/>
                <w:color w:val="000000"/>
                <w:sz w:val="18"/>
                <w:szCs w:val="18"/>
                <w:lang w:eastAsia="en-AU"/>
              </w:rPr>
              <w:t>C</w:t>
            </w:r>
            <w:r>
              <w:rPr>
                <w:rFonts w:cs="Arial"/>
                <w:color w:val="000000"/>
                <w:sz w:val="18"/>
                <w:szCs w:val="18"/>
                <w:lang w:eastAsia="en-AU"/>
              </w:rPr>
              <w:t xml:space="preserve">are </w:t>
            </w:r>
            <w:r w:rsidR="00012558">
              <w:rPr>
                <w:rFonts w:cs="Arial"/>
                <w:color w:val="000000"/>
                <w:sz w:val="18"/>
                <w:szCs w:val="18"/>
                <w:lang w:eastAsia="en-AU"/>
              </w:rPr>
              <w:t>Start D</w:t>
            </w:r>
            <w:r>
              <w:rPr>
                <w:rFonts w:cs="Arial"/>
                <w:color w:val="000000"/>
                <w:sz w:val="18"/>
                <w:szCs w:val="18"/>
                <w:lang w:eastAsia="en-AU"/>
              </w:rPr>
              <w:t>ate</w:t>
            </w:r>
          </w:p>
        </w:tc>
      </w:tr>
      <w:tr w:rsidR="00714876" w:rsidRPr="00496274" w:rsidTr="00012558">
        <w:trPr>
          <w:cantSplit/>
          <w:trHeight w:val="259"/>
          <w:jc w:val="center"/>
        </w:trPr>
        <w:tc>
          <w:tcPr>
            <w:tcW w:w="1701" w:type="dxa"/>
            <w:vMerge/>
            <w:shd w:val="clear" w:color="auto" w:fill="auto"/>
            <w:hideMark/>
          </w:tcPr>
          <w:p w:rsidR="00714876" w:rsidRPr="00494D73" w:rsidRDefault="00714876" w:rsidP="00F76672">
            <w:pPr>
              <w:tabs>
                <w:tab w:val="left" w:pos="1162"/>
              </w:tabs>
              <w:spacing w:before="60" w:after="60"/>
              <w:rPr>
                <w:rFonts w:cs="Arial"/>
                <w:color w:val="000000"/>
                <w:sz w:val="18"/>
                <w:szCs w:val="18"/>
                <w:lang w:eastAsia="en-AU"/>
              </w:rPr>
            </w:pPr>
          </w:p>
        </w:tc>
        <w:tc>
          <w:tcPr>
            <w:tcW w:w="5935" w:type="dxa"/>
            <w:shd w:val="clear" w:color="auto" w:fill="auto"/>
            <w:noWrap/>
            <w:hideMark/>
          </w:tcPr>
          <w:p w:rsidR="00714876" w:rsidRPr="00494D73" w:rsidRDefault="00714876" w:rsidP="00A95010">
            <w:pPr>
              <w:tabs>
                <w:tab w:val="left" w:pos="1162"/>
              </w:tabs>
              <w:spacing w:before="60" w:after="60"/>
              <w:rPr>
                <w:rFonts w:cs="Arial"/>
                <w:color w:val="000000"/>
                <w:sz w:val="18"/>
                <w:szCs w:val="18"/>
                <w:lang w:eastAsia="en-AU"/>
              </w:rPr>
            </w:pPr>
            <w:r>
              <w:rPr>
                <w:rFonts w:cs="Arial"/>
                <w:color w:val="000000"/>
                <w:sz w:val="18"/>
                <w:szCs w:val="18"/>
                <w:lang w:eastAsia="en-AU"/>
              </w:rPr>
              <w:t xml:space="preserve">Palliative </w:t>
            </w:r>
            <w:r w:rsidR="00012558">
              <w:rPr>
                <w:rFonts w:cs="Arial"/>
                <w:color w:val="000000"/>
                <w:sz w:val="18"/>
                <w:szCs w:val="18"/>
                <w:lang w:eastAsia="en-AU"/>
              </w:rPr>
              <w:t>P</w:t>
            </w:r>
            <w:r>
              <w:rPr>
                <w:rFonts w:cs="Arial"/>
                <w:color w:val="000000"/>
                <w:sz w:val="18"/>
                <w:szCs w:val="18"/>
                <w:lang w:eastAsia="en-AU"/>
              </w:rPr>
              <w:t xml:space="preserve">hase of </w:t>
            </w:r>
            <w:r w:rsidR="00012558">
              <w:rPr>
                <w:rFonts w:cs="Arial"/>
                <w:color w:val="000000"/>
                <w:sz w:val="18"/>
                <w:szCs w:val="18"/>
                <w:lang w:eastAsia="en-AU"/>
              </w:rPr>
              <w:t>C</w:t>
            </w:r>
            <w:r>
              <w:rPr>
                <w:rFonts w:cs="Arial"/>
                <w:color w:val="000000"/>
                <w:sz w:val="18"/>
                <w:szCs w:val="18"/>
                <w:lang w:eastAsia="en-AU"/>
              </w:rPr>
              <w:t xml:space="preserve">are </w:t>
            </w:r>
            <w:r w:rsidR="00A95010">
              <w:rPr>
                <w:rFonts w:cs="Arial"/>
                <w:color w:val="000000"/>
                <w:sz w:val="18"/>
                <w:szCs w:val="18"/>
                <w:lang w:eastAsia="en-AU"/>
              </w:rPr>
              <w:t>E</w:t>
            </w:r>
            <w:r>
              <w:rPr>
                <w:rFonts w:cs="Arial"/>
                <w:color w:val="000000"/>
                <w:sz w:val="18"/>
                <w:szCs w:val="18"/>
                <w:lang w:eastAsia="en-AU"/>
              </w:rPr>
              <w:t xml:space="preserve">nd </w:t>
            </w:r>
            <w:r w:rsidR="00012558">
              <w:rPr>
                <w:rFonts w:cs="Arial"/>
                <w:color w:val="000000"/>
                <w:sz w:val="18"/>
                <w:szCs w:val="18"/>
                <w:lang w:eastAsia="en-AU"/>
              </w:rPr>
              <w:t>D</w:t>
            </w:r>
            <w:r>
              <w:rPr>
                <w:rFonts w:cs="Arial"/>
                <w:color w:val="000000"/>
                <w:sz w:val="18"/>
                <w:szCs w:val="18"/>
                <w:lang w:eastAsia="en-AU"/>
              </w:rPr>
              <w:t>ate</w:t>
            </w:r>
          </w:p>
        </w:tc>
      </w:tr>
    </w:tbl>
    <w:p w:rsidR="00F51276" w:rsidRDefault="00F51276" w:rsidP="00F51276">
      <w:pPr>
        <w:tabs>
          <w:tab w:val="left" w:pos="1162"/>
        </w:tabs>
      </w:pPr>
    </w:p>
    <w:p w:rsidR="00F51276" w:rsidRDefault="00F51276" w:rsidP="00F51276">
      <w:pPr>
        <w:pStyle w:val="Caption"/>
        <w:keepNext/>
        <w:sectPr w:rsidR="00F51276" w:rsidSect="00A64DA2">
          <w:pgSz w:w="11907" w:h="16839" w:code="9"/>
          <w:pgMar w:top="1440" w:right="1440" w:bottom="1440" w:left="1440" w:header="709" w:footer="709" w:gutter="0"/>
          <w:cols w:space="708"/>
          <w:docGrid w:linePitch="360"/>
        </w:sectPr>
      </w:pPr>
      <w:bookmarkStart w:id="303" w:name="_Ref342308623"/>
    </w:p>
    <w:p w:rsidR="00F51276" w:rsidRDefault="00F51276">
      <w:pPr>
        <w:pStyle w:val="table"/>
      </w:pPr>
      <w:bookmarkStart w:id="304" w:name="_Ref373326419"/>
      <w:r>
        <w:t xml:space="preserve">Table </w:t>
      </w:r>
      <w:bookmarkEnd w:id="303"/>
      <w:bookmarkEnd w:id="304"/>
      <w:r>
        <w:t>1</w:t>
      </w:r>
      <w:r w:rsidR="00693CC5">
        <w:t>2</w:t>
      </w:r>
      <w:r>
        <w:t xml:space="preserve">: </w:t>
      </w:r>
      <w:r w:rsidRPr="00967D6C">
        <w:t xml:space="preserve">Assigning NWAU to </w:t>
      </w:r>
      <w:r w:rsidR="00002CE6">
        <w:t>admitted subacute and non-acute</w:t>
      </w:r>
      <w:r w:rsidRPr="00967D6C">
        <w:t xml:space="preserve"> patient data – Stage 1 – Data Preparation – variable definitions</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Table 12 assigns the National Weighted Activity Unit (NWAU) to subacute and non-acute admitted patient data"/>
      </w:tblPr>
      <w:tblGrid>
        <w:gridCol w:w="737"/>
        <w:gridCol w:w="917"/>
        <w:gridCol w:w="4919"/>
        <w:gridCol w:w="2097"/>
        <w:gridCol w:w="5505"/>
      </w:tblGrid>
      <w:tr w:rsidR="00F51276" w:rsidRPr="00496274" w:rsidTr="00920356">
        <w:trPr>
          <w:cantSplit/>
          <w:trHeight w:val="225"/>
          <w:tblHeader/>
          <w:jc w:val="center"/>
        </w:trPr>
        <w:tc>
          <w:tcPr>
            <w:tcW w:w="0" w:type="auto"/>
            <w:shd w:val="clear" w:color="auto" w:fill="BFBFBF" w:themeFill="background1" w:themeFillShade="BF"/>
            <w:noWrap/>
            <w:hideMark/>
          </w:tcPr>
          <w:p w:rsidR="00F51276" w:rsidRPr="001729CF" w:rsidRDefault="00F51276" w:rsidP="00920356">
            <w:pPr>
              <w:tabs>
                <w:tab w:val="left" w:pos="1162"/>
              </w:tabs>
              <w:spacing w:before="80" w:after="80"/>
              <w:rPr>
                <w:rFonts w:cs="Arial"/>
                <w:b/>
                <w:bCs/>
                <w:color w:val="000000"/>
                <w:sz w:val="18"/>
                <w:szCs w:val="18"/>
                <w:lang w:eastAsia="en-AU"/>
              </w:rPr>
            </w:pPr>
            <w:r w:rsidRPr="001729CF">
              <w:rPr>
                <w:rFonts w:cs="Arial"/>
                <w:b/>
                <w:bCs/>
                <w:color w:val="000000"/>
                <w:sz w:val="18"/>
                <w:szCs w:val="18"/>
                <w:lang w:eastAsia="en-AU"/>
              </w:rPr>
              <w:t>Step</w:t>
            </w:r>
          </w:p>
        </w:tc>
        <w:tc>
          <w:tcPr>
            <w:tcW w:w="0" w:type="auto"/>
            <w:shd w:val="clear" w:color="auto" w:fill="BFBFBF" w:themeFill="background1" w:themeFillShade="BF"/>
            <w:noWrap/>
            <w:vAlign w:val="center"/>
            <w:hideMark/>
          </w:tcPr>
          <w:p w:rsidR="00F51276" w:rsidRPr="001729CF" w:rsidRDefault="00F51276" w:rsidP="00920356">
            <w:pPr>
              <w:tabs>
                <w:tab w:val="left" w:pos="1162"/>
              </w:tabs>
              <w:spacing w:before="80" w:after="80"/>
              <w:jc w:val="center"/>
              <w:rPr>
                <w:rFonts w:cs="Arial"/>
                <w:b/>
                <w:bCs/>
                <w:color w:val="000000"/>
                <w:sz w:val="18"/>
                <w:szCs w:val="18"/>
                <w:lang w:eastAsia="en-AU"/>
              </w:rPr>
            </w:pPr>
            <w:r w:rsidRPr="001729CF">
              <w:rPr>
                <w:rFonts w:cs="Arial"/>
                <w:b/>
                <w:bCs/>
                <w:color w:val="000000"/>
                <w:sz w:val="18"/>
                <w:szCs w:val="18"/>
                <w:lang w:eastAsia="en-AU"/>
              </w:rPr>
              <w:t>Variable</w:t>
            </w:r>
          </w:p>
        </w:tc>
        <w:tc>
          <w:tcPr>
            <w:tcW w:w="0" w:type="auto"/>
            <w:shd w:val="clear" w:color="auto" w:fill="BFBFBF" w:themeFill="background1" w:themeFillShade="BF"/>
            <w:noWrap/>
            <w:vAlign w:val="center"/>
            <w:hideMark/>
          </w:tcPr>
          <w:p w:rsidR="00F51276" w:rsidRPr="001729CF" w:rsidRDefault="00F51276" w:rsidP="00920356">
            <w:pPr>
              <w:tabs>
                <w:tab w:val="left" w:pos="1162"/>
              </w:tabs>
              <w:spacing w:before="80" w:after="80"/>
              <w:rPr>
                <w:rFonts w:cs="Arial"/>
                <w:b/>
                <w:bCs/>
                <w:color w:val="000000"/>
                <w:sz w:val="18"/>
                <w:szCs w:val="18"/>
                <w:lang w:eastAsia="en-AU"/>
              </w:rPr>
            </w:pPr>
            <w:r w:rsidRPr="001729CF">
              <w:rPr>
                <w:rFonts w:cs="Arial"/>
                <w:b/>
                <w:bCs/>
                <w:color w:val="000000"/>
                <w:sz w:val="18"/>
                <w:szCs w:val="18"/>
                <w:lang w:eastAsia="en-AU"/>
              </w:rPr>
              <w:t>Name</w:t>
            </w:r>
          </w:p>
        </w:tc>
        <w:tc>
          <w:tcPr>
            <w:tcW w:w="0" w:type="auto"/>
            <w:shd w:val="clear" w:color="auto" w:fill="BFBFBF" w:themeFill="background1" w:themeFillShade="BF"/>
            <w:vAlign w:val="center"/>
            <w:hideMark/>
          </w:tcPr>
          <w:p w:rsidR="00F51276" w:rsidRPr="001729CF" w:rsidRDefault="00F51276" w:rsidP="00920356">
            <w:pPr>
              <w:tabs>
                <w:tab w:val="left" w:pos="1162"/>
              </w:tabs>
              <w:spacing w:before="80" w:after="80"/>
              <w:rPr>
                <w:rFonts w:cs="Arial"/>
                <w:b/>
                <w:bCs/>
                <w:color w:val="000000"/>
                <w:sz w:val="18"/>
                <w:szCs w:val="18"/>
                <w:lang w:eastAsia="en-AU"/>
              </w:rPr>
            </w:pPr>
            <w:r w:rsidRPr="001729CF">
              <w:rPr>
                <w:rFonts w:cs="Arial"/>
                <w:b/>
                <w:bCs/>
                <w:color w:val="000000"/>
                <w:sz w:val="18"/>
                <w:szCs w:val="18"/>
                <w:lang w:eastAsia="en-AU"/>
              </w:rPr>
              <w:t>Description</w:t>
            </w:r>
          </w:p>
        </w:tc>
        <w:tc>
          <w:tcPr>
            <w:tcW w:w="0" w:type="auto"/>
            <w:shd w:val="clear" w:color="auto" w:fill="BFBFBF" w:themeFill="background1" w:themeFillShade="BF"/>
            <w:vAlign w:val="center"/>
            <w:hideMark/>
          </w:tcPr>
          <w:p w:rsidR="00F51276" w:rsidRPr="001729CF" w:rsidRDefault="00F51276" w:rsidP="00920356">
            <w:pPr>
              <w:tabs>
                <w:tab w:val="left" w:pos="1162"/>
              </w:tabs>
              <w:spacing w:before="80" w:after="80"/>
              <w:rPr>
                <w:rFonts w:cs="Arial"/>
                <w:b/>
                <w:bCs/>
                <w:color w:val="000000"/>
                <w:sz w:val="18"/>
                <w:szCs w:val="18"/>
                <w:lang w:eastAsia="en-AU"/>
              </w:rPr>
            </w:pPr>
            <w:r w:rsidRPr="001729CF">
              <w:rPr>
                <w:rFonts w:cs="Arial"/>
                <w:b/>
                <w:bCs/>
                <w:color w:val="000000"/>
                <w:sz w:val="18"/>
                <w:szCs w:val="18"/>
                <w:lang w:eastAsia="en-AU"/>
              </w:rPr>
              <w:t>Definition</w:t>
            </w:r>
          </w:p>
        </w:tc>
      </w:tr>
      <w:tr w:rsidR="00F51276" w:rsidRPr="00496274" w:rsidTr="00920356">
        <w:trPr>
          <w:cantSplit/>
          <w:trHeight w:val="450"/>
          <w:jc w:val="center"/>
        </w:trPr>
        <w:tc>
          <w:tcPr>
            <w:tcW w:w="0" w:type="auto"/>
            <w:tcBorders>
              <w:bottom w:val="single" w:sz="4" w:space="0" w:color="auto"/>
            </w:tcBorders>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Step 1</w:t>
            </w:r>
          </w:p>
        </w:tc>
        <w:tc>
          <w:tcPr>
            <w:tcW w:w="0" w:type="auto"/>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S01</w:t>
            </w:r>
          </w:p>
        </w:tc>
        <w:tc>
          <w:tcPr>
            <w:tcW w:w="0" w:type="auto"/>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w:t>
            </w:r>
            <w:r w:rsidRPr="00822178">
              <w:rPr>
                <w:rFonts w:cs="Arial"/>
                <w:color w:val="000000"/>
                <w:sz w:val="18"/>
                <w:szCs w:val="18"/>
                <w:lang w:eastAsia="en-AU"/>
              </w:rPr>
              <w:t>_remoteness</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Patient</w:t>
            </w:r>
            <w:r w:rsidRPr="00822178">
              <w:rPr>
                <w:rFonts w:cs="Arial"/>
                <w:color w:val="000000"/>
                <w:sz w:val="18"/>
                <w:szCs w:val="18"/>
                <w:lang w:eastAsia="en-AU"/>
              </w:rPr>
              <w:t xml:space="preserve"> Remoteness Area</w:t>
            </w:r>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 xml:space="preserve">2011 ASGS Remoteness Area category of the establishment location taken from </w:t>
            </w:r>
            <w:r>
              <w:rPr>
                <w:rFonts w:cs="Arial"/>
                <w:color w:val="000000"/>
                <w:sz w:val="18"/>
                <w:szCs w:val="18"/>
                <w:lang w:eastAsia="en-AU"/>
              </w:rPr>
              <w:t xml:space="preserve">patient postcode, ASGS, SLA, or </w:t>
            </w:r>
            <w:r w:rsidRPr="00822178">
              <w:rPr>
                <w:rFonts w:cs="Arial"/>
                <w:color w:val="000000"/>
                <w:sz w:val="18"/>
                <w:szCs w:val="18"/>
                <w:lang w:eastAsia="en-AU"/>
              </w:rPr>
              <w:t>the hospital geographical indicator variable, where</w:t>
            </w:r>
            <w:proofErr w:type="gramStart"/>
            <w:r w:rsidRPr="00822178">
              <w:rPr>
                <w:rFonts w:cs="Arial"/>
                <w:color w:val="000000"/>
                <w:sz w:val="18"/>
                <w:szCs w:val="18"/>
                <w:lang w:eastAsia="en-AU"/>
              </w:rPr>
              <w:t>:</w:t>
            </w:r>
            <w:proofErr w:type="gramEnd"/>
            <w:r w:rsidRPr="00822178">
              <w:rPr>
                <w:rFonts w:cs="Arial"/>
                <w:color w:val="000000"/>
                <w:sz w:val="18"/>
                <w:szCs w:val="18"/>
                <w:lang w:eastAsia="en-AU"/>
              </w:rPr>
              <w:br/>
              <w:t>0 = Major City; 1 = Inner Regional; 2 = Outer Regional; 3</w:t>
            </w:r>
            <w:r>
              <w:rPr>
                <w:rFonts w:cs="Arial"/>
                <w:color w:val="000000"/>
                <w:sz w:val="18"/>
                <w:szCs w:val="18"/>
                <w:lang w:eastAsia="en-AU"/>
              </w:rPr>
              <w:t> </w:t>
            </w:r>
            <w:r w:rsidRPr="00822178">
              <w:rPr>
                <w:rFonts w:cs="Arial"/>
                <w:color w:val="000000"/>
                <w:sz w:val="18"/>
                <w:szCs w:val="18"/>
                <w:lang w:eastAsia="en-AU"/>
              </w:rPr>
              <w:t>=</w:t>
            </w:r>
            <w:r>
              <w:rPr>
                <w:rFonts w:cs="Arial"/>
                <w:color w:val="000000"/>
                <w:sz w:val="18"/>
                <w:szCs w:val="18"/>
                <w:lang w:eastAsia="en-AU"/>
              </w:rPr>
              <w:t> </w:t>
            </w:r>
            <w:r w:rsidRPr="00822178">
              <w:rPr>
                <w:rFonts w:cs="Arial"/>
                <w:color w:val="000000"/>
                <w:sz w:val="18"/>
                <w:szCs w:val="18"/>
                <w:lang w:eastAsia="en-AU"/>
              </w:rPr>
              <w:t>Remote; and 4 = Very Remote.</w:t>
            </w:r>
          </w:p>
        </w:tc>
      </w:tr>
      <w:tr w:rsidR="00F51276" w:rsidRPr="00496274" w:rsidTr="00920356">
        <w:trPr>
          <w:cantSplit/>
          <w:trHeight w:val="225"/>
          <w:jc w:val="center"/>
        </w:trPr>
        <w:tc>
          <w:tcPr>
            <w:tcW w:w="0" w:type="auto"/>
            <w:tcBorders>
              <w:top w:val="single" w:sz="4" w:space="0" w:color="auto"/>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Step 2</w:t>
            </w:r>
          </w:p>
        </w:tc>
        <w:tc>
          <w:tcPr>
            <w:tcW w:w="0" w:type="auto"/>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S02</w:t>
            </w:r>
          </w:p>
        </w:tc>
        <w:tc>
          <w:tcPr>
            <w:tcW w:w="0" w:type="auto"/>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1729CF">
              <w:rPr>
                <w:rFonts w:cs="Arial"/>
                <w:color w:val="000000"/>
                <w:sz w:val="18"/>
                <w:szCs w:val="18"/>
                <w:lang w:eastAsia="en-AU"/>
              </w:rPr>
              <w:t>pat_subacute_flag</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Subacute and non-acute patient flag</w:t>
            </w:r>
          </w:p>
        </w:tc>
        <w:tc>
          <w:tcPr>
            <w:tcW w:w="0" w:type="auto"/>
            <w:shd w:val="clear" w:color="auto" w:fill="auto"/>
            <w:hideMark/>
          </w:tcPr>
          <w:p w:rsidR="00F51276" w:rsidRPr="001729CF" w:rsidRDefault="00F51276">
            <w:pPr>
              <w:tabs>
                <w:tab w:val="left" w:pos="1162"/>
              </w:tabs>
              <w:spacing w:after="0"/>
              <w:rPr>
                <w:rFonts w:cs="Arial"/>
                <w:color w:val="000000"/>
                <w:sz w:val="18"/>
                <w:szCs w:val="18"/>
                <w:lang w:eastAsia="en-AU"/>
              </w:rPr>
            </w:pPr>
            <w:r w:rsidRPr="001729CF">
              <w:rPr>
                <w:rFonts w:cs="Arial"/>
                <w:color w:val="000000"/>
                <w:sz w:val="18"/>
                <w:szCs w:val="18"/>
                <w:lang w:eastAsia="en-AU"/>
              </w:rPr>
              <w:t>1 if Care Type = 2, 3, 4, 5, 6 or 8; else</w:t>
            </w:r>
            <w:r w:rsidR="005239E9">
              <w:rPr>
                <w:rFonts w:cs="Arial"/>
                <w:color w:val="000000"/>
                <w:sz w:val="18"/>
                <w:szCs w:val="18"/>
                <w:lang w:eastAsia="en-AU"/>
              </w:rPr>
              <w:t xml:space="preserve"> </w:t>
            </w:r>
            <w:r w:rsidRPr="001729CF">
              <w:rPr>
                <w:rFonts w:cs="Arial"/>
                <w:color w:val="000000"/>
                <w:sz w:val="18"/>
                <w:szCs w:val="18"/>
                <w:lang w:eastAsia="en-AU"/>
              </w:rPr>
              <w:t>0.</w:t>
            </w:r>
          </w:p>
        </w:tc>
      </w:tr>
      <w:tr w:rsidR="00F51276" w:rsidRPr="00496274" w:rsidTr="00920356">
        <w:trPr>
          <w:cantSplit/>
          <w:trHeight w:val="450"/>
          <w:jc w:val="center"/>
        </w:trPr>
        <w:tc>
          <w:tcPr>
            <w:tcW w:w="0" w:type="auto"/>
            <w:tcBorders>
              <w:top w:val="nil"/>
              <w:bottom w:val="nil"/>
            </w:tcBorders>
            <w:shd w:val="clear" w:color="auto" w:fill="auto"/>
            <w:vAlign w:val="center"/>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S03</w:t>
            </w:r>
          </w:p>
        </w:tc>
        <w:tc>
          <w:tcPr>
            <w:tcW w:w="0" w:type="auto"/>
            <w:shd w:val="clear" w:color="auto" w:fill="auto"/>
            <w:noWrap/>
          </w:tcPr>
          <w:p w:rsidR="00F51276"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pat_los</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Length of stay</w:t>
            </w:r>
          </w:p>
        </w:tc>
        <w:tc>
          <w:tcPr>
            <w:tcW w:w="0" w:type="auto"/>
            <w:shd w:val="clear" w:color="auto" w:fill="auto"/>
          </w:tcPr>
          <w:p w:rsidR="00F51276" w:rsidRPr="00822178"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Max</w:t>
            </w:r>
            <w:r>
              <w:rPr>
                <w:rFonts w:cs="Arial"/>
                <w:color w:val="000000"/>
                <w:sz w:val="18"/>
                <w:szCs w:val="18"/>
                <w:lang w:eastAsia="en-AU"/>
              </w:rPr>
              <w:t xml:space="preserve"> (</w:t>
            </w:r>
            <w:r w:rsidRPr="00822178">
              <w:rPr>
                <w:rFonts w:cs="Arial"/>
                <w:color w:val="000000"/>
                <w:sz w:val="18"/>
                <w:szCs w:val="18"/>
                <w:lang w:eastAsia="en-AU"/>
              </w:rPr>
              <w:t xml:space="preserve">1, </w:t>
            </w:r>
            <w:proofErr w:type="gramStart"/>
            <w:r w:rsidRPr="00822178">
              <w:rPr>
                <w:rFonts w:cs="Arial"/>
                <w:color w:val="000000"/>
                <w:sz w:val="18"/>
                <w:szCs w:val="18"/>
                <w:lang w:eastAsia="en-AU"/>
              </w:rPr>
              <w:t>( Date</w:t>
            </w:r>
            <w:proofErr w:type="gramEnd"/>
            <w:r w:rsidRPr="00822178">
              <w:rPr>
                <w:rFonts w:cs="Arial"/>
                <w:color w:val="000000"/>
                <w:sz w:val="18"/>
                <w:szCs w:val="18"/>
                <w:lang w:eastAsia="en-AU"/>
              </w:rPr>
              <w:t xml:space="preserve"> of Separation ) - ( Date of Admissio</w:t>
            </w:r>
            <w:r>
              <w:rPr>
                <w:rFonts w:cs="Arial"/>
                <w:color w:val="000000"/>
                <w:sz w:val="18"/>
                <w:szCs w:val="18"/>
                <w:lang w:eastAsia="en-AU"/>
              </w:rPr>
              <w:t xml:space="preserve">n ) - ( Total Leave Days ) ). </w:t>
            </w:r>
          </w:p>
        </w:tc>
      </w:tr>
      <w:tr w:rsidR="00F51276" w:rsidRPr="00496274" w:rsidTr="00920356">
        <w:trPr>
          <w:cantSplit/>
          <w:trHeight w:val="450"/>
          <w:jc w:val="center"/>
        </w:trPr>
        <w:tc>
          <w:tcPr>
            <w:tcW w:w="0" w:type="auto"/>
            <w:tcBorders>
              <w:top w:val="nil"/>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S0</w:t>
            </w:r>
            <w:r>
              <w:rPr>
                <w:rFonts w:cs="Arial"/>
                <w:color w:val="000000"/>
                <w:sz w:val="18"/>
                <w:szCs w:val="18"/>
                <w:lang w:eastAsia="en-AU"/>
              </w:rPr>
              <w:t>4</w:t>
            </w:r>
          </w:p>
        </w:tc>
        <w:tc>
          <w:tcPr>
            <w:tcW w:w="0" w:type="auto"/>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1729CF">
              <w:rPr>
                <w:rFonts w:cs="Arial"/>
                <w:color w:val="000000"/>
                <w:sz w:val="18"/>
                <w:szCs w:val="18"/>
                <w:lang w:eastAsia="en-AU"/>
              </w:rPr>
              <w:t>pat_sameday_flag</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Patient same-day flag</w:t>
            </w:r>
          </w:p>
        </w:tc>
        <w:tc>
          <w:tcPr>
            <w:tcW w:w="0" w:type="auto"/>
            <w:shd w:val="clear" w:color="auto" w:fill="auto"/>
            <w:hideMark/>
          </w:tcPr>
          <w:p w:rsidR="00F51276" w:rsidRPr="001729CF" w:rsidRDefault="00F51276">
            <w:pPr>
              <w:tabs>
                <w:tab w:val="left" w:pos="1162"/>
              </w:tabs>
              <w:spacing w:after="0"/>
              <w:rPr>
                <w:rFonts w:cs="Arial"/>
                <w:color w:val="000000"/>
                <w:sz w:val="18"/>
                <w:szCs w:val="18"/>
                <w:lang w:eastAsia="en-AU"/>
              </w:rPr>
            </w:pPr>
            <w:r w:rsidRPr="00822178">
              <w:rPr>
                <w:rFonts w:cs="Arial"/>
                <w:color w:val="000000"/>
                <w:sz w:val="18"/>
                <w:szCs w:val="18"/>
                <w:lang w:eastAsia="en-AU"/>
              </w:rPr>
              <w:t>1 if Date of Admission = Date of Separation; else</w:t>
            </w:r>
            <w:r w:rsidR="005239E9">
              <w:rPr>
                <w:rFonts w:cs="Arial"/>
                <w:color w:val="000000"/>
                <w:sz w:val="18"/>
                <w:szCs w:val="18"/>
                <w:lang w:eastAsia="en-AU"/>
              </w:rPr>
              <w:t xml:space="preserve"> </w:t>
            </w:r>
            <w:r w:rsidRPr="00822178">
              <w:rPr>
                <w:rFonts w:cs="Arial"/>
                <w:color w:val="000000"/>
                <w:sz w:val="18"/>
                <w:szCs w:val="18"/>
                <w:lang w:eastAsia="en-AU"/>
              </w:rPr>
              <w:t>0.</w:t>
            </w:r>
          </w:p>
        </w:tc>
      </w:tr>
      <w:tr w:rsidR="00F51276" w:rsidRPr="00496274" w:rsidTr="00920356">
        <w:trPr>
          <w:cantSplit/>
          <w:trHeight w:val="450"/>
          <w:jc w:val="center"/>
        </w:trPr>
        <w:tc>
          <w:tcPr>
            <w:tcW w:w="0" w:type="auto"/>
            <w:tcBorders>
              <w:top w:val="nil"/>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917" w:type="dxa"/>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S0</w:t>
            </w:r>
            <w:r>
              <w:rPr>
                <w:rFonts w:cs="Arial"/>
                <w:color w:val="000000"/>
                <w:sz w:val="18"/>
                <w:szCs w:val="18"/>
                <w:lang w:eastAsia="en-AU"/>
              </w:rPr>
              <w:t>5</w:t>
            </w:r>
          </w:p>
        </w:tc>
        <w:tc>
          <w:tcPr>
            <w:tcW w:w="4919" w:type="dxa"/>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pat_age_years</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Age at admission (in years)</w:t>
            </w:r>
          </w:p>
        </w:tc>
        <w:tc>
          <w:tcPr>
            <w:tcW w:w="0" w:type="auto"/>
            <w:shd w:val="clear" w:color="auto" w:fill="auto"/>
            <w:hideMark/>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T</w:t>
            </w:r>
            <w:r w:rsidR="00F51276" w:rsidRPr="00822178">
              <w:rPr>
                <w:rFonts w:cs="Arial"/>
                <w:color w:val="000000"/>
                <w:sz w:val="18"/>
                <w:szCs w:val="18"/>
                <w:lang w:eastAsia="en-AU"/>
              </w:rPr>
              <w:t>otal whole years from Date of Birth to Date of Admission.</w:t>
            </w:r>
          </w:p>
        </w:tc>
      </w:tr>
      <w:tr w:rsidR="00F51276" w:rsidRPr="00496274" w:rsidTr="00920356">
        <w:trPr>
          <w:cantSplit/>
          <w:trHeight w:val="450"/>
          <w:jc w:val="center"/>
        </w:trPr>
        <w:tc>
          <w:tcPr>
            <w:tcW w:w="0" w:type="auto"/>
            <w:tcBorders>
              <w:top w:val="nil"/>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S0</w:t>
            </w:r>
            <w:r>
              <w:rPr>
                <w:rFonts w:cs="Arial"/>
                <w:color w:val="000000"/>
                <w:sz w:val="18"/>
                <w:szCs w:val="18"/>
                <w:lang w:eastAsia="en-AU"/>
              </w:rPr>
              <w:t>6</w:t>
            </w:r>
          </w:p>
        </w:tc>
        <w:tc>
          <w:tcPr>
            <w:tcW w:w="0" w:type="auto"/>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pat_eligible_paed_flag</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Paediatric Adjustment eligible patient</w:t>
            </w:r>
          </w:p>
        </w:tc>
        <w:tc>
          <w:tcPr>
            <w:tcW w:w="0" w:type="auto"/>
            <w:shd w:val="clear" w:color="auto" w:fill="auto"/>
            <w:hideMark/>
          </w:tcPr>
          <w:p w:rsidR="00F51276" w:rsidRPr="001729CF" w:rsidRDefault="00F51276" w:rsidP="00B35287">
            <w:pPr>
              <w:tabs>
                <w:tab w:val="left" w:pos="1162"/>
              </w:tabs>
              <w:spacing w:after="0"/>
              <w:rPr>
                <w:rFonts w:cs="Arial"/>
                <w:color w:val="000000"/>
                <w:sz w:val="18"/>
                <w:szCs w:val="18"/>
                <w:lang w:eastAsia="en-AU"/>
              </w:rPr>
            </w:pPr>
            <w:r>
              <w:rPr>
                <w:rFonts w:cs="Arial"/>
                <w:color w:val="000000"/>
                <w:sz w:val="18"/>
                <w:szCs w:val="18"/>
                <w:lang w:eastAsia="en-AU"/>
              </w:rPr>
              <w:t xml:space="preserve">Patients </w:t>
            </w:r>
            <w:r w:rsidR="00B35287">
              <w:rPr>
                <w:rFonts w:cs="Arial"/>
                <w:color w:val="000000"/>
                <w:sz w:val="18"/>
                <w:szCs w:val="18"/>
                <w:lang w:eastAsia="en-AU"/>
              </w:rPr>
              <w:t>with age less than or equal to</w:t>
            </w:r>
            <w:r>
              <w:rPr>
                <w:rFonts w:cs="Arial"/>
                <w:color w:val="000000"/>
                <w:sz w:val="18"/>
                <w:szCs w:val="18"/>
                <w:lang w:eastAsia="en-AU"/>
              </w:rPr>
              <w:t xml:space="preserve"> 17 and in a Palliative, Rehabilitation or maintenance care type.</w:t>
            </w:r>
          </w:p>
        </w:tc>
      </w:tr>
      <w:tr w:rsidR="00F51276" w:rsidRPr="00496274" w:rsidTr="00920356">
        <w:trPr>
          <w:cantSplit/>
          <w:trHeight w:val="450"/>
          <w:jc w:val="center"/>
        </w:trPr>
        <w:tc>
          <w:tcPr>
            <w:tcW w:w="0" w:type="auto"/>
            <w:tcBorders>
              <w:top w:val="nil"/>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S0</w:t>
            </w:r>
            <w:r>
              <w:rPr>
                <w:rFonts w:cs="Arial"/>
                <w:color w:val="000000"/>
                <w:sz w:val="18"/>
                <w:szCs w:val="18"/>
                <w:lang w:eastAsia="en-AU"/>
              </w:rPr>
              <w:t>7</w:t>
            </w:r>
          </w:p>
        </w:tc>
        <w:tc>
          <w:tcPr>
            <w:tcW w:w="0" w:type="auto"/>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sidRPr="00822178">
              <w:rPr>
                <w:rFonts w:cs="Arial"/>
                <w:color w:val="000000"/>
                <w:sz w:val="18"/>
                <w:szCs w:val="18"/>
                <w:lang w:eastAsia="en-AU"/>
              </w:rPr>
              <w:t>pat_ind_flag</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Indigenous patient flag</w:t>
            </w:r>
          </w:p>
        </w:tc>
        <w:tc>
          <w:tcPr>
            <w:tcW w:w="0" w:type="auto"/>
            <w:shd w:val="clear" w:color="auto" w:fill="auto"/>
            <w:hideMark/>
          </w:tcPr>
          <w:p w:rsidR="00F51276" w:rsidRPr="001729CF" w:rsidRDefault="00F51276">
            <w:pPr>
              <w:tabs>
                <w:tab w:val="left" w:pos="1162"/>
              </w:tabs>
              <w:spacing w:after="0"/>
              <w:rPr>
                <w:rFonts w:cs="Arial"/>
                <w:color w:val="000000"/>
                <w:sz w:val="18"/>
                <w:szCs w:val="18"/>
                <w:lang w:eastAsia="en-AU"/>
              </w:rPr>
            </w:pPr>
            <w:r w:rsidRPr="00822178">
              <w:rPr>
                <w:rFonts w:cs="Arial"/>
                <w:color w:val="000000"/>
                <w:sz w:val="18"/>
                <w:szCs w:val="18"/>
                <w:lang w:eastAsia="en-AU"/>
              </w:rPr>
              <w:t>1 if Patient Indigenous Status = 1, 2 or 3; else</w:t>
            </w:r>
            <w:r w:rsidR="005239E9">
              <w:rPr>
                <w:rFonts w:cs="Arial"/>
                <w:color w:val="000000"/>
                <w:sz w:val="18"/>
                <w:szCs w:val="18"/>
                <w:lang w:eastAsia="en-AU"/>
              </w:rPr>
              <w:t xml:space="preserve"> </w:t>
            </w:r>
            <w:r w:rsidRPr="00822178">
              <w:rPr>
                <w:rFonts w:cs="Arial"/>
                <w:color w:val="000000"/>
                <w:sz w:val="18"/>
                <w:szCs w:val="18"/>
                <w:lang w:eastAsia="en-AU"/>
              </w:rPr>
              <w:t>0.</w:t>
            </w:r>
          </w:p>
        </w:tc>
      </w:tr>
      <w:tr w:rsidR="00F51276" w:rsidRPr="00496274" w:rsidTr="00920356">
        <w:trPr>
          <w:cantSplit/>
          <w:trHeight w:val="450"/>
          <w:jc w:val="center"/>
        </w:trPr>
        <w:tc>
          <w:tcPr>
            <w:tcW w:w="0" w:type="auto"/>
            <w:vMerge w:val="restart"/>
            <w:tcBorders>
              <w:top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S0</w:t>
            </w:r>
            <w:r>
              <w:rPr>
                <w:rFonts w:cs="Arial"/>
                <w:color w:val="000000"/>
                <w:sz w:val="18"/>
                <w:szCs w:val="18"/>
                <w:lang w:eastAsia="en-AU"/>
              </w:rPr>
              <w:t>8</w:t>
            </w:r>
          </w:p>
        </w:tc>
        <w:tc>
          <w:tcPr>
            <w:tcW w:w="0" w:type="auto"/>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pat_private_flag</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Private patient flag</w:t>
            </w:r>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6E13C4">
              <w:rPr>
                <w:rFonts w:cs="Arial"/>
                <w:color w:val="000000"/>
                <w:sz w:val="18"/>
                <w:szCs w:val="18"/>
                <w:lang w:eastAsia="en-AU"/>
              </w:rPr>
              <w:t>1 if Funding Source = 9 or 13 for 2012-13 data and later.</w:t>
            </w:r>
            <w:r w:rsidRPr="006E13C4">
              <w:rPr>
                <w:rStyle w:val="FootnoteReference"/>
                <w:rFonts w:cs="Arial"/>
                <w:color w:val="000000"/>
                <w:sz w:val="18"/>
                <w:szCs w:val="18"/>
                <w:lang w:eastAsia="en-AU"/>
              </w:rPr>
              <w:footnoteReference w:id="19"/>
            </w:r>
          </w:p>
        </w:tc>
      </w:tr>
      <w:tr w:rsidR="00F51276" w:rsidRPr="00496274" w:rsidTr="00920356">
        <w:trPr>
          <w:cantSplit/>
          <w:trHeight w:val="225"/>
          <w:jc w:val="center"/>
        </w:trPr>
        <w:tc>
          <w:tcPr>
            <w:tcW w:w="0" w:type="auto"/>
            <w:vMerge/>
            <w:tcBorders>
              <w:bottom w:val="single" w:sz="4" w:space="0" w:color="auto"/>
            </w:tcBorders>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S0</w:t>
            </w:r>
            <w:r>
              <w:rPr>
                <w:rFonts w:cs="Arial"/>
                <w:color w:val="000000"/>
                <w:sz w:val="18"/>
                <w:szCs w:val="18"/>
                <w:lang w:eastAsia="en-AU"/>
              </w:rPr>
              <w:t>9</w:t>
            </w:r>
          </w:p>
        </w:tc>
        <w:tc>
          <w:tcPr>
            <w:tcW w:w="0" w:type="auto"/>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proofErr w:type="spellStart"/>
            <w:r w:rsidRPr="00822178">
              <w:rPr>
                <w:rFonts w:cs="Arial"/>
                <w:color w:val="000000"/>
                <w:sz w:val="18"/>
                <w:szCs w:val="18"/>
                <w:lang w:eastAsia="en-AU"/>
              </w:rPr>
              <w:t>pat_public_flag</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Public patient flag</w:t>
            </w:r>
          </w:p>
        </w:tc>
        <w:tc>
          <w:tcPr>
            <w:tcW w:w="0" w:type="auto"/>
            <w:shd w:val="clear" w:color="auto" w:fill="auto"/>
            <w:hideMark/>
          </w:tcPr>
          <w:p w:rsidR="00F51276" w:rsidRDefault="00F51276" w:rsidP="00920356">
            <w:pPr>
              <w:tabs>
                <w:tab w:val="left" w:pos="1162"/>
              </w:tabs>
              <w:spacing w:after="0"/>
              <w:rPr>
                <w:rFonts w:cs="Arial"/>
                <w:color w:val="000000"/>
                <w:sz w:val="18"/>
                <w:szCs w:val="18"/>
                <w:lang w:eastAsia="en-AU"/>
              </w:rPr>
            </w:pPr>
            <w:r w:rsidRPr="006E13C4">
              <w:rPr>
                <w:rFonts w:cs="Arial"/>
                <w:color w:val="000000"/>
                <w:sz w:val="18"/>
                <w:szCs w:val="18"/>
                <w:lang w:eastAsia="en-AU"/>
              </w:rPr>
              <w:t>1 if Funding Source = 1, 2, 3 or 8 for 2012-13 data and later.</w:t>
            </w:r>
            <w:r w:rsidRPr="006E13C4">
              <w:rPr>
                <w:rStyle w:val="FootnoteReference"/>
                <w:rFonts w:cs="Arial"/>
                <w:color w:val="000000"/>
                <w:sz w:val="18"/>
                <w:szCs w:val="18"/>
                <w:lang w:eastAsia="en-AU"/>
              </w:rPr>
              <w:footnoteReference w:id="20"/>
            </w:r>
          </w:p>
          <w:p w:rsidR="00F51276" w:rsidRPr="001729CF" w:rsidRDefault="00F51276" w:rsidP="00920356">
            <w:pPr>
              <w:tabs>
                <w:tab w:val="left" w:pos="1162"/>
              </w:tabs>
              <w:spacing w:after="0"/>
              <w:rPr>
                <w:rFonts w:cs="Arial"/>
                <w:color w:val="000000"/>
                <w:sz w:val="18"/>
                <w:szCs w:val="18"/>
                <w:lang w:eastAsia="en-AU"/>
              </w:rPr>
            </w:pPr>
          </w:p>
        </w:tc>
      </w:tr>
      <w:tr w:rsidR="00F51276" w:rsidRPr="00496274" w:rsidTr="00920356">
        <w:trPr>
          <w:cantSplit/>
          <w:trHeight w:val="450"/>
          <w:jc w:val="center"/>
        </w:trPr>
        <w:tc>
          <w:tcPr>
            <w:tcW w:w="0" w:type="auto"/>
            <w:tcBorders>
              <w:top w:val="single" w:sz="4" w:space="0" w:color="auto"/>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Step 3</w:t>
            </w: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S10</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Pr>
                <w:rFonts w:cs="Arial"/>
                <w:color w:val="000000"/>
                <w:sz w:val="18"/>
                <w:szCs w:val="18"/>
                <w:lang w:eastAsia="en-AU"/>
              </w:rPr>
              <w:t>ansnap_type</w:t>
            </w:r>
            <w:proofErr w:type="spellEnd"/>
          </w:p>
        </w:tc>
        <w:tc>
          <w:tcPr>
            <w:tcW w:w="0" w:type="auto"/>
            <w:shd w:val="clear" w:color="auto" w:fill="auto"/>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S</w:t>
            </w:r>
            <w:r w:rsidR="00F51276">
              <w:rPr>
                <w:rFonts w:cs="Arial"/>
                <w:color w:val="000000"/>
                <w:sz w:val="18"/>
                <w:szCs w:val="18"/>
                <w:lang w:eastAsia="en-AU"/>
              </w:rPr>
              <w:t>ee definition</w:t>
            </w:r>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AN-SNAP class type</w:t>
            </w:r>
            <w:r w:rsidR="00935FD4">
              <w:rPr>
                <w:rFonts w:cs="Arial"/>
                <w:color w:val="000000"/>
                <w:sz w:val="18"/>
                <w:szCs w:val="18"/>
                <w:lang w:eastAsia="en-AU"/>
              </w:rPr>
              <w:t>, as set out in Appendix I of the NEP16 Determination</w:t>
            </w:r>
          </w:p>
        </w:tc>
      </w:tr>
      <w:tr w:rsidR="00F51276" w:rsidRPr="00496274" w:rsidTr="00920356">
        <w:trPr>
          <w:cantSplit/>
          <w:trHeight w:val="450"/>
          <w:jc w:val="center"/>
        </w:trPr>
        <w:tc>
          <w:tcPr>
            <w:tcW w:w="0" w:type="auto"/>
            <w:tcBorders>
              <w:top w:val="nil"/>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S11</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Pr>
                <w:rFonts w:cs="Arial"/>
                <w:color w:val="000000"/>
                <w:sz w:val="18"/>
                <w:szCs w:val="18"/>
                <w:lang w:eastAsia="en-AU"/>
              </w:rPr>
              <w:t>ansnap_samedaylist_flag</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Same-day price list flag</w:t>
            </w:r>
            <w:r w:rsidRPr="00822178" w:rsidDel="00B62E07">
              <w:rPr>
                <w:rFonts w:cs="Arial"/>
                <w:color w:val="000000"/>
                <w:sz w:val="18"/>
                <w:szCs w:val="18"/>
                <w:lang w:eastAsia="en-AU"/>
              </w:rPr>
              <w:t xml:space="preserve"> </w:t>
            </w:r>
          </w:p>
        </w:tc>
        <w:tc>
          <w:tcPr>
            <w:tcW w:w="0" w:type="auto"/>
            <w:shd w:val="clear" w:color="auto" w:fill="auto"/>
          </w:tcPr>
          <w:p w:rsidR="00F51276" w:rsidRPr="001729CF" w:rsidRDefault="00F51276">
            <w:pPr>
              <w:tabs>
                <w:tab w:val="left" w:pos="1162"/>
              </w:tabs>
              <w:spacing w:after="0"/>
              <w:rPr>
                <w:rFonts w:cs="Arial"/>
                <w:color w:val="000000"/>
                <w:sz w:val="18"/>
                <w:szCs w:val="18"/>
                <w:lang w:eastAsia="en-AU"/>
              </w:rPr>
            </w:pPr>
            <w:r w:rsidRPr="00822178">
              <w:rPr>
                <w:rFonts w:cs="Arial"/>
                <w:color w:val="000000"/>
                <w:sz w:val="18"/>
                <w:szCs w:val="18"/>
                <w:lang w:eastAsia="en-AU"/>
              </w:rPr>
              <w:t>1 if Same-Day Price List variable from joined NWAU A</w:t>
            </w:r>
            <w:r>
              <w:rPr>
                <w:rFonts w:cs="Arial"/>
                <w:color w:val="000000"/>
                <w:sz w:val="18"/>
                <w:szCs w:val="18"/>
                <w:lang w:eastAsia="en-AU"/>
              </w:rPr>
              <w:t>N-SNAP</w:t>
            </w:r>
            <w:r w:rsidRPr="00822178">
              <w:rPr>
                <w:rFonts w:cs="Arial"/>
                <w:color w:val="000000"/>
                <w:sz w:val="18"/>
                <w:szCs w:val="18"/>
                <w:lang w:eastAsia="en-AU"/>
              </w:rPr>
              <w:t xml:space="preserve"> Price Weight table equals 'Yes'; else</w:t>
            </w:r>
            <w:r>
              <w:rPr>
                <w:rFonts w:cs="Arial"/>
                <w:color w:val="000000"/>
                <w:sz w:val="18"/>
                <w:szCs w:val="18"/>
                <w:lang w:eastAsia="en-AU"/>
              </w:rPr>
              <w:t xml:space="preserve"> </w:t>
            </w:r>
            <w:r w:rsidRPr="00822178">
              <w:rPr>
                <w:rFonts w:cs="Arial"/>
                <w:color w:val="000000"/>
                <w:sz w:val="18"/>
                <w:szCs w:val="18"/>
                <w:lang w:eastAsia="en-AU"/>
              </w:rPr>
              <w:t>0.</w:t>
            </w:r>
          </w:p>
        </w:tc>
      </w:tr>
      <w:tr w:rsidR="00F51276" w:rsidRPr="00496274" w:rsidTr="00920356">
        <w:trPr>
          <w:cantSplit/>
          <w:trHeight w:val="450"/>
          <w:jc w:val="center"/>
        </w:trPr>
        <w:tc>
          <w:tcPr>
            <w:tcW w:w="0" w:type="auto"/>
            <w:tcBorders>
              <w:top w:val="nil"/>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S12</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Pr>
                <w:rFonts w:cs="Arial"/>
                <w:color w:val="000000"/>
                <w:sz w:val="18"/>
                <w:szCs w:val="18"/>
                <w:lang w:eastAsia="en-AU"/>
              </w:rPr>
              <w:t>ansnap_inlier_lb</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Inlier lower bound</w:t>
            </w:r>
          </w:p>
        </w:tc>
        <w:tc>
          <w:tcPr>
            <w:tcW w:w="0" w:type="auto"/>
            <w:shd w:val="clear" w:color="auto" w:fill="auto"/>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I</w:t>
            </w:r>
            <w:r w:rsidR="00F51276" w:rsidRPr="00822178">
              <w:rPr>
                <w:rFonts w:cs="Arial"/>
                <w:color w:val="000000"/>
                <w:sz w:val="18"/>
                <w:szCs w:val="18"/>
                <w:lang w:eastAsia="en-AU"/>
              </w:rPr>
              <w:t xml:space="preserve">nlier lower bound from NWAU </w:t>
            </w:r>
            <w:r w:rsidR="00F51276">
              <w:rPr>
                <w:rFonts w:cs="Arial"/>
                <w:color w:val="000000"/>
                <w:sz w:val="18"/>
                <w:szCs w:val="18"/>
                <w:lang w:eastAsia="en-AU"/>
              </w:rPr>
              <w:t xml:space="preserve">AN-SNAP </w:t>
            </w:r>
            <w:r w:rsidR="00F51276" w:rsidRPr="00822178">
              <w:rPr>
                <w:rFonts w:cs="Arial"/>
                <w:color w:val="000000"/>
                <w:sz w:val="18"/>
                <w:szCs w:val="18"/>
                <w:lang w:eastAsia="en-AU"/>
              </w:rPr>
              <w:t>Price Weight table.</w:t>
            </w:r>
          </w:p>
        </w:tc>
      </w:tr>
      <w:tr w:rsidR="00F51276" w:rsidRPr="00496274" w:rsidTr="00920356">
        <w:trPr>
          <w:cantSplit/>
          <w:trHeight w:val="450"/>
          <w:jc w:val="center"/>
        </w:trPr>
        <w:tc>
          <w:tcPr>
            <w:tcW w:w="0" w:type="auto"/>
            <w:vMerge w:val="restart"/>
            <w:tcBorders>
              <w:top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S13</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Pr>
                <w:rFonts w:cs="Arial"/>
                <w:color w:val="000000"/>
                <w:sz w:val="18"/>
                <w:szCs w:val="18"/>
                <w:lang w:eastAsia="en-AU"/>
              </w:rPr>
              <w:t>ansnap_inlier_ub</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822178">
              <w:rPr>
                <w:rFonts w:cs="Arial"/>
                <w:color w:val="000000"/>
                <w:sz w:val="18"/>
                <w:szCs w:val="18"/>
                <w:lang w:eastAsia="en-AU"/>
              </w:rPr>
              <w:t>Inlier upper bound</w:t>
            </w:r>
          </w:p>
        </w:tc>
        <w:tc>
          <w:tcPr>
            <w:tcW w:w="0" w:type="auto"/>
            <w:shd w:val="clear" w:color="auto" w:fill="auto"/>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I</w:t>
            </w:r>
            <w:r w:rsidR="00F51276">
              <w:rPr>
                <w:rFonts w:cs="Arial"/>
                <w:color w:val="000000"/>
                <w:sz w:val="18"/>
                <w:szCs w:val="18"/>
                <w:lang w:eastAsia="en-AU"/>
              </w:rPr>
              <w:t>nlier upper bound from NWAU AN-SNAP</w:t>
            </w:r>
            <w:r w:rsidR="00F51276" w:rsidRPr="00822178">
              <w:rPr>
                <w:rFonts w:cs="Arial"/>
                <w:color w:val="000000"/>
                <w:sz w:val="18"/>
                <w:szCs w:val="18"/>
                <w:lang w:eastAsia="en-AU"/>
              </w:rPr>
              <w:t xml:space="preserve"> Price Weight table.</w:t>
            </w:r>
          </w:p>
        </w:tc>
      </w:tr>
      <w:tr w:rsidR="00F51276" w:rsidRPr="00496274" w:rsidTr="00920356">
        <w:trPr>
          <w:cantSplit/>
          <w:trHeight w:val="675"/>
          <w:jc w:val="center"/>
        </w:trPr>
        <w:tc>
          <w:tcPr>
            <w:tcW w:w="0" w:type="auto"/>
            <w:vMerge/>
            <w:shd w:val="clear" w:color="auto" w:fill="auto"/>
            <w:noWrap/>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S14</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sidRPr="001729CF">
              <w:rPr>
                <w:rFonts w:cs="Arial"/>
                <w:color w:val="000000"/>
                <w:sz w:val="18"/>
                <w:szCs w:val="18"/>
                <w:lang w:eastAsia="en-AU"/>
              </w:rPr>
              <w:t>ansnap_pw_sd</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Same Day Price Weight</w:t>
            </w:r>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w:t>
            </w:r>
            <w:proofErr w:type="gramStart"/>
            <w:r w:rsidRPr="001729CF">
              <w:rPr>
                <w:rFonts w:cs="Arial"/>
                <w:color w:val="000000"/>
                <w:sz w:val="18"/>
                <w:szCs w:val="18"/>
                <w:lang w:eastAsia="en-AU"/>
              </w:rPr>
              <w:t>same</w:t>
            </w:r>
            <w:proofErr w:type="gramEnd"/>
            <w:r w:rsidRPr="001729CF">
              <w:rPr>
                <w:rFonts w:cs="Arial"/>
                <w:color w:val="000000"/>
                <w:sz w:val="18"/>
                <w:szCs w:val="18"/>
                <w:lang w:eastAsia="en-AU"/>
              </w:rPr>
              <w:t xml:space="preserve"> day price weight from joined NWAU AN-SNAP Price Weight table) if not missing; else</w:t>
            </w:r>
            <w:r>
              <w:rPr>
                <w:rFonts w:cs="Arial"/>
                <w:color w:val="000000"/>
                <w:sz w:val="18"/>
                <w:szCs w:val="18"/>
                <w:lang w:eastAsia="en-AU"/>
              </w:rPr>
              <w:t xml:space="preserve"> missing. </w:t>
            </w:r>
          </w:p>
        </w:tc>
      </w:tr>
      <w:tr w:rsidR="00F51276" w:rsidRPr="00496274" w:rsidTr="00920356">
        <w:trPr>
          <w:cantSplit/>
          <w:trHeight w:val="450"/>
          <w:jc w:val="center"/>
        </w:trPr>
        <w:tc>
          <w:tcPr>
            <w:tcW w:w="0" w:type="auto"/>
            <w:vMerge/>
            <w:tcBorders>
              <w:bottom w:val="nil"/>
            </w:tcBorders>
            <w:shd w:val="clear" w:color="auto" w:fill="auto"/>
            <w:noWrap/>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S15</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sidRPr="001729CF">
              <w:rPr>
                <w:rFonts w:cs="Arial"/>
                <w:color w:val="000000"/>
                <w:sz w:val="18"/>
                <w:szCs w:val="18"/>
                <w:lang w:eastAsia="en-AU"/>
              </w:rPr>
              <w:t>ansnap_</w:t>
            </w:r>
            <w:r>
              <w:rPr>
                <w:rFonts w:cs="Arial"/>
                <w:color w:val="000000"/>
                <w:sz w:val="18"/>
                <w:szCs w:val="18"/>
                <w:lang w:eastAsia="en-AU"/>
              </w:rPr>
              <w:t>sso</w:t>
            </w:r>
            <w:r w:rsidRPr="001729CF">
              <w:rPr>
                <w:rFonts w:cs="Arial"/>
                <w:color w:val="000000"/>
                <w:sz w:val="18"/>
                <w:szCs w:val="18"/>
                <w:lang w:eastAsia="en-AU"/>
              </w:rPr>
              <w:t>_</w:t>
            </w:r>
            <w:r>
              <w:rPr>
                <w:rFonts w:cs="Arial"/>
                <w:color w:val="000000"/>
                <w:sz w:val="18"/>
                <w:szCs w:val="18"/>
                <w:lang w:eastAsia="en-AU"/>
              </w:rPr>
              <w:t>perdiem</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Short Stay Outlier Per Diem Price Weight</w:t>
            </w:r>
          </w:p>
        </w:tc>
        <w:tc>
          <w:tcPr>
            <w:tcW w:w="0" w:type="auto"/>
            <w:shd w:val="clear" w:color="auto" w:fill="auto"/>
          </w:tcPr>
          <w:p w:rsidR="00F51276" w:rsidRPr="001729CF" w:rsidRDefault="00C92D56" w:rsidP="00920356">
            <w:pPr>
              <w:tabs>
                <w:tab w:val="left" w:pos="1162"/>
              </w:tabs>
              <w:spacing w:after="0"/>
              <w:rPr>
                <w:rFonts w:cs="Arial"/>
                <w:color w:val="000000"/>
                <w:sz w:val="18"/>
                <w:szCs w:val="18"/>
                <w:lang w:eastAsia="en-AU"/>
              </w:rPr>
            </w:pPr>
            <w:r>
              <w:rPr>
                <w:rFonts w:cs="Arial"/>
                <w:color w:val="000000"/>
                <w:sz w:val="18"/>
                <w:szCs w:val="18"/>
                <w:lang w:eastAsia="en-AU"/>
              </w:rPr>
              <w:t>(</w:t>
            </w:r>
            <w:proofErr w:type="gramStart"/>
            <w:r w:rsidR="00F51276">
              <w:rPr>
                <w:rFonts w:cs="Arial"/>
                <w:color w:val="000000"/>
                <w:sz w:val="18"/>
                <w:szCs w:val="18"/>
                <w:lang w:eastAsia="en-AU"/>
              </w:rPr>
              <w:t>short</w:t>
            </w:r>
            <w:proofErr w:type="gramEnd"/>
            <w:r w:rsidR="00F51276">
              <w:rPr>
                <w:rFonts w:cs="Arial"/>
                <w:color w:val="000000"/>
                <w:sz w:val="18"/>
                <w:szCs w:val="18"/>
                <w:lang w:eastAsia="en-AU"/>
              </w:rPr>
              <w:t xml:space="preserve"> stay outlier</w:t>
            </w:r>
            <w:r w:rsidR="00F51276" w:rsidRPr="001729CF">
              <w:rPr>
                <w:rFonts w:cs="Arial"/>
                <w:color w:val="000000"/>
                <w:sz w:val="18"/>
                <w:szCs w:val="18"/>
                <w:lang w:eastAsia="en-AU"/>
              </w:rPr>
              <w:t xml:space="preserve"> price weight from joined NWAU AN-SNAP Price Weight table ) if not missing; else</w:t>
            </w:r>
            <w:r w:rsidR="00F51276">
              <w:rPr>
                <w:rFonts w:cs="Arial"/>
                <w:color w:val="000000"/>
                <w:sz w:val="18"/>
                <w:szCs w:val="18"/>
                <w:lang w:eastAsia="en-AU"/>
              </w:rPr>
              <w:t xml:space="preserve"> missing</w:t>
            </w:r>
            <w:r w:rsidR="00F51276" w:rsidRPr="001729CF">
              <w:rPr>
                <w:rFonts w:cs="Arial"/>
                <w:color w:val="000000"/>
                <w:sz w:val="18"/>
                <w:szCs w:val="18"/>
                <w:lang w:eastAsia="en-AU"/>
              </w:rPr>
              <w:t>.</w:t>
            </w:r>
          </w:p>
        </w:tc>
      </w:tr>
      <w:tr w:rsidR="00F51276" w:rsidRPr="00496274" w:rsidTr="00920356">
        <w:trPr>
          <w:cantSplit/>
          <w:trHeight w:val="450"/>
          <w:jc w:val="center"/>
        </w:trPr>
        <w:tc>
          <w:tcPr>
            <w:tcW w:w="0" w:type="auto"/>
            <w:tcBorders>
              <w:top w:val="nil"/>
              <w:bottom w:val="nil"/>
            </w:tcBorders>
            <w:shd w:val="clear" w:color="auto" w:fill="auto"/>
            <w:vAlign w:val="center"/>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S16</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sidRPr="001729CF">
              <w:rPr>
                <w:rFonts w:cs="Arial"/>
                <w:color w:val="000000"/>
                <w:sz w:val="18"/>
                <w:szCs w:val="18"/>
                <w:lang w:eastAsia="en-AU"/>
              </w:rPr>
              <w:t>ansnap_pw_inlier</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Inlier Price Weight</w:t>
            </w:r>
          </w:p>
        </w:tc>
        <w:tc>
          <w:tcPr>
            <w:tcW w:w="0" w:type="auto"/>
            <w:shd w:val="clear" w:color="auto" w:fill="auto"/>
          </w:tcPr>
          <w:p w:rsidR="00F51276" w:rsidRPr="001729CF" w:rsidRDefault="00C92D56" w:rsidP="00920356">
            <w:pPr>
              <w:tabs>
                <w:tab w:val="left" w:pos="1162"/>
              </w:tabs>
              <w:spacing w:after="0"/>
              <w:rPr>
                <w:rFonts w:cs="Arial"/>
                <w:color w:val="000000"/>
                <w:sz w:val="18"/>
                <w:szCs w:val="18"/>
                <w:lang w:eastAsia="en-AU"/>
              </w:rPr>
            </w:pPr>
            <w:r>
              <w:rPr>
                <w:rFonts w:cs="Arial"/>
                <w:color w:val="000000"/>
                <w:sz w:val="18"/>
                <w:szCs w:val="18"/>
                <w:lang w:eastAsia="en-AU"/>
              </w:rPr>
              <w:t>(</w:t>
            </w:r>
            <w:proofErr w:type="gramStart"/>
            <w:r w:rsidR="00F51276" w:rsidRPr="001729CF">
              <w:rPr>
                <w:rFonts w:cs="Arial"/>
                <w:color w:val="000000"/>
                <w:sz w:val="18"/>
                <w:szCs w:val="18"/>
                <w:lang w:eastAsia="en-AU"/>
              </w:rPr>
              <w:t>inlier</w:t>
            </w:r>
            <w:proofErr w:type="gramEnd"/>
            <w:r w:rsidR="00F51276" w:rsidRPr="001729CF">
              <w:rPr>
                <w:rFonts w:cs="Arial"/>
                <w:color w:val="000000"/>
                <w:sz w:val="18"/>
                <w:szCs w:val="18"/>
                <w:lang w:eastAsia="en-AU"/>
              </w:rPr>
              <w:t xml:space="preserve"> price weight from joined NWAU AN-SNAP Price Weight table ) if not missing; else</w:t>
            </w:r>
            <w:r w:rsidR="00F51276">
              <w:rPr>
                <w:rFonts w:cs="Arial"/>
                <w:color w:val="000000"/>
                <w:sz w:val="18"/>
                <w:szCs w:val="18"/>
                <w:lang w:eastAsia="en-AU"/>
              </w:rPr>
              <w:t xml:space="preserve"> missing</w:t>
            </w:r>
            <w:r w:rsidR="00F51276" w:rsidRPr="001729CF">
              <w:rPr>
                <w:rFonts w:cs="Arial"/>
                <w:color w:val="000000"/>
                <w:sz w:val="18"/>
                <w:szCs w:val="18"/>
                <w:lang w:eastAsia="en-AU"/>
              </w:rPr>
              <w:t>.</w:t>
            </w:r>
          </w:p>
        </w:tc>
      </w:tr>
      <w:tr w:rsidR="00F51276" w:rsidRPr="00496274" w:rsidTr="00920356">
        <w:trPr>
          <w:cantSplit/>
          <w:trHeight w:val="450"/>
          <w:jc w:val="center"/>
        </w:trPr>
        <w:tc>
          <w:tcPr>
            <w:tcW w:w="0" w:type="auto"/>
            <w:tcBorders>
              <w:top w:val="nil"/>
            </w:tcBorders>
            <w:shd w:val="clear" w:color="auto" w:fill="auto"/>
            <w:vAlign w:val="center"/>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S17</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Pr>
                <w:rFonts w:cs="Arial"/>
                <w:color w:val="000000"/>
                <w:sz w:val="18"/>
                <w:szCs w:val="18"/>
                <w:lang w:eastAsia="en-AU"/>
              </w:rPr>
              <w:t>ansnap_pw_lso_perdiem</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Long Stay Outlier Per Diem Price Weight</w:t>
            </w:r>
          </w:p>
        </w:tc>
        <w:tc>
          <w:tcPr>
            <w:tcW w:w="0" w:type="auto"/>
            <w:shd w:val="clear" w:color="auto" w:fill="auto"/>
          </w:tcPr>
          <w:p w:rsidR="00F51276" w:rsidRPr="001729CF" w:rsidRDefault="00C92D56" w:rsidP="00920356">
            <w:pPr>
              <w:tabs>
                <w:tab w:val="left" w:pos="1162"/>
              </w:tabs>
              <w:spacing w:after="0"/>
              <w:rPr>
                <w:rFonts w:cs="Arial"/>
                <w:color w:val="000000"/>
                <w:sz w:val="18"/>
                <w:szCs w:val="18"/>
                <w:lang w:eastAsia="en-AU"/>
              </w:rPr>
            </w:pPr>
            <w:r>
              <w:rPr>
                <w:rFonts w:cs="Arial"/>
                <w:color w:val="000000"/>
                <w:sz w:val="18"/>
                <w:szCs w:val="18"/>
                <w:lang w:eastAsia="en-AU"/>
              </w:rPr>
              <w:t>(</w:t>
            </w:r>
            <w:proofErr w:type="gramStart"/>
            <w:r w:rsidR="00F51276">
              <w:rPr>
                <w:rFonts w:cs="Arial"/>
                <w:color w:val="000000"/>
                <w:sz w:val="18"/>
                <w:szCs w:val="18"/>
                <w:lang w:eastAsia="en-AU"/>
              </w:rPr>
              <w:t>long</w:t>
            </w:r>
            <w:proofErr w:type="gramEnd"/>
            <w:r w:rsidR="00F51276">
              <w:rPr>
                <w:rFonts w:cs="Arial"/>
                <w:color w:val="000000"/>
                <w:sz w:val="18"/>
                <w:szCs w:val="18"/>
                <w:lang w:eastAsia="en-AU"/>
              </w:rPr>
              <w:t xml:space="preserve"> stay outlier</w:t>
            </w:r>
            <w:r w:rsidR="00F51276" w:rsidRPr="001729CF">
              <w:rPr>
                <w:rFonts w:cs="Arial"/>
                <w:color w:val="000000"/>
                <w:sz w:val="18"/>
                <w:szCs w:val="18"/>
                <w:lang w:eastAsia="en-AU"/>
              </w:rPr>
              <w:t xml:space="preserve"> price weight from joined NWAU AN-SNAP Price Weight table</w:t>
            </w:r>
            <w:r w:rsidR="00F51276">
              <w:rPr>
                <w:rFonts w:cs="Arial"/>
                <w:color w:val="000000"/>
                <w:sz w:val="18"/>
                <w:szCs w:val="18"/>
                <w:lang w:eastAsia="en-AU"/>
              </w:rPr>
              <w:t xml:space="preserve"> ) if not missing; </w:t>
            </w:r>
            <w:r w:rsidR="00935FD4">
              <w:rPr>
                <w:rFonts w:cs="Arial"/>
                <w:color w:val="000000"/>
                <w:sz w:val="18"/>
                <w:szCs w:val="18"/>
                <w:lang w:eastAsia="en-AU"/>
              </w:rPr>
              <w:t xml:space="preserve">else </w:t>
            </w:r>
            <w:r w:rsidR="00F51276">
              <w:rPr>
                <w:rFonts w:cs="Arial"/>
                <w:color w:val="000000"/>
                <w:sz w:val="18"/>
                <w:szCs w:val="18"/>
                <w:lang w:eastAsia="en-AU"/>
              </w:rPr>
              <w:t>missing</w:t>
            </w:r>
            <w:r w:rsidR="00F51276" w:rsidRPr="001729CF">
              <w:rPr>
                <w:rFonts w:cs="Arial"/>
                <w:color w:val="000000"/>
                <w:sz w:val="18"/>
                <w:szCs w:val="18"/>
                <w:lang w:eastAsia="en-AU"/>
              </w:rPr>
              <w:t>.</w:t>
            </w:r>
          </w:p>
        </w:tc>
      </w:tr>
      <w:tr w:rsidR="00F51276" w:rsidRPr="00496274" w:rsidTr="00920356">
        <w:trPr>
          <w:cantSplit/>
          <w:trHeight w:val="450"/>
          <w:jc w:val="center"/>
        </w:trPr>
        <w:tc>
          <w:tcPr>
            <w:tcW w:w="0" w:type="auto"/>
            <w:tcBorders>
              <w:bottom w:val="nil"/>
            </w:tcBorders>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S18</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Pr>
                <w:rFonts w:cs="Arial"/>
                <w:color w:val="000000"/>
                <w:sz w:val="18"/>
                <w:szCs w:val="18"/>
                <w:lang w:eastAsia="en-AU"/>
              </w:rPr>
              <w:t>paed_pw_sameday</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Same day price weight for paediatric patients</w:t>
            </w:r>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w:t>
            </w:r>
            <w:proofErr w:type="gramStart"/>
            <w:r>
              <w:rPr>
                <w:rFonts w:cs="Arial"/>
                <w:color w:val="000000"/>
                <w:sz w:val="18"/>
                <w:szCs w:val="18"/>
                <w:lang w:eastAsia="en-AU"/>
              </w:rPr>
              <w:t>paediatric</w:t>
            </w:r>
            <w:proofErr w:type="gramEnd"/>
            <w:r>
              <w:rPr>
                <w:rFonts w:cs="Arial"/>
                <w:color w:val="000000"/>
                <w:sz w:val="18"/>
                <w:szCs w:val="18"/>
                <w:lang w:eastAsia="en-AU"/>
              </w:rPr>
              <w:t xml:space="preserve"> same day </w:t>
            </w:r>
            <w:r w:rsidRPr="001729CF">
              <w:rPr>
                <w:rFonts w:cs="Arial"/>
                <w:color w:val="000000"/>
                <w:sz w:val="18"/>
                <w:szCs w:val="18"/>
                <w:lang w:eastAsia="en-AU"/>
              </w:rPr>
              <w:t xml:space="preserve">price weight from joined </w:t>
            </w:r>
            <w:r>
              <w:rPr>
                <w:rFonts w:cs="Arial"/>
                <w:color w:val="000000"/>
                <w:sz w:val="18"/>
                <w:szCs w:val="18"/>
                <w:lang w:eastAsia="en-AU"/>
              </w:rPr>
              <w:t>care type</w:t>
            </w:r>
            <w:r w:rsidRPr="001729CF">
              <w:rPr>
                <w:rFonts w:cs="Arial"/>
                <w:color w:val="000000"/>
                <w:sz w:val="18"/>
                <w:szCs w:val="18"/>
                <w:lang w:eastAsia="en-AU"/>
              </w:rPr>
              <w:t xml:space="preserve"> Price Wei</w:t>
            </w:r>
            <w:r>
              <w:rPr>
                <w:rFonts w:cs="Arial"/>
                <w:color w:val="000000"/>
                <w:sz w:val="18"/>
                <w:szCs w:val="18"/>
                <w:lang w:eastAsia="en-AU"/>
              </w:rPr>
              <w:t>ght table ) if not missing; else missing</w:t>
            </w:r>
            <w:r w:rsidRPr="001729CF">
              <w:rPr>
                <w:rFonts w:cs="Arial"/>
                <w:color w:val="000000"/>
                <w:sz w:val="18"/>
                <w:szCs w:val="18"/>
                <w:lang w:eastAsia="en-AU"/>
              </w:rPr>
              <w:t>.</w:t>
            </w:r>
            <w:r w:rsidRPr="001729CF" w:rsidDel="00EB5229">
              <w:rPr>
                <w:rFonts w:cs="Arial"/>
                <w:color w:val="000000"/>
                <w:sz w:val="18"/>
                <w:szCs w:val="18"/>
                <w:lang w:eastAsia="en-AU"/>
              </w:rPr>
              <w:t xml:space="preserve"> </w:t>
            </w:r>
          </w:p>
        </w:tc>
      </w:tr>
      <w:tr w:rsidR="00F51276" w:rsidRPr="00496274" w:rsidTr="00920356">
        <w:trPr>
          <w:cantSplit/>
          <w:trHeight w:val="450"/>
          <w:jc w:val="center"/>
        </w:trPr>
        <w:tc>
          <w:tcPr>
            <w:tcW w:w="0" w:type="auto"/>
            <w:vMerge w:val="restart"/>
            <w:tcBorders>
              <w:top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S19</w:t>
            </w:r>
          </w:p>
        </w:tc>
        <w:tc>
          <w:tcPr>
            <w:tcW w:w="0" w:type="auto"/>
            <w:shd w:val="clear" w:color="auto" w:fill="auto"/>
            <w:noWrap/>
          </w:tcPr>
          <w:p w:rsidR="00F51276" w:rsidRPr="001729CF" w:rsidRDefault="00F51276" w:rsidP="00501235">
            <w:pPr>
              <w:tabs>
                <w:tab w:val="left" w:pos="1162"/>
              </w:tabs>
              <w:spacing w:after="0"/>
              <w:rPr>
                <w:rFonts w:cs="Arial"/>
                <w:color w:val="000000"/>
                <w:sz w:val="18"/>
                <w:szCs w:val="18"/>
                <w:lang w:eastAsia="en-AU"/>
              </w:rPr>
            </w:pPr>
            <w:proofErr w:type="spellStart"/>
            <w:r>
              <w:rPr>
                <w:rFonts w:cs="Arial"/>
                <w:color w:val="000000"/>
                <w:sz w:val="18"/>
                <w:szCs w:val="18"/>
                <w:lang w:eastAsia="en-AU"/>
              </w:rPr>
              <w:t>paed_</w:t>
            </w:r>
            <w:r w:rsidR="00501235">
              <w:rPr>
                <w:rFonts w:cs="Arial"/>
                <w:color w:val="000000"/>
                <w:sz w:val="18"/>
                <w:szCs w:val="18"/>
                <w:lang w:eastAsia="en-AU"/>
              </w:rPr>
              <w:t>overnight_perdiem</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Overnight price weight for paediatric patients</w:t>
            </w:r>
          </w:p>
        </w:tc>
        <w:tc>
          <w:tcPr>
            <w:tcW w:w="0" w:type="auto"/>
            <w:shd w:val="clear" w:color="auto" w:fill="auto"/>
          </w:tcPr>
          <w:p w:rsidR="00F51276" w:rsidRPr="001729CF" w:rsidRDefault="00F51276" w:rsidP="00F46BD4">
            <w:pPr>
              <w:tabs>
                <w:tab w:val="left" w:pos="1162"/>
              </w:tabs>
              <w:spacing w:after="0"/>
              <w:rPr>
                <w:rFonts w:cs="Arial"/>
                <w:color w:val="000000"/>
                <w:sz w:val="18"/>
                <w:szCs w:val="18"/>
                <w:lang w:eastAsia="en-AU"/>
              </w:rPr>
            </w:pPr>
            <w:r w:rsidRPr="001729CF">
              <w:rPr>
                <w:rFonts w:cs="Arial"/>
                <w:color w:val="000000"/>
                <w:sz w:val="18"/>
                <w:szCs w:val="18"/>
                <w:lang w:eastAsia="en-AU"/>
              </w:rPr>
              <w:t>(</w:t>
            </w:r>
            <w:proofErr w:type="gramStart"/>
            <w:r>
              <w:rPr>
                <w:rFonts w:cs="Arial"/>
                <w:color w:val="000000"/>
                <w:sz w:val="18"/>
                <w:szCs w:val="18"/>
                <w:lang w:eastAsia="en-AU"/>
              </w:rPr>
              <w:t>paediatric</w:t>
            </w:r>
            <w:proofErr w:type="gramEnd"/>
            <w:r>
              <w:rPr>
                <w:rFonts w:cs="Arial"/>
                <w:color w:val="000000"/>
                <w:sz w:val="18"/>
                <w:szCs w:val="18"/>
                <w:lang w:eastAsia="en-AU"/>
              </w:rPr>
              <w:t xml:space="preserve"> overnight </w:t>
            </w:r>
            <w:r w:rsidRPr="001729CF">
              <w:rPr>
                <w:rFonts w:cs="Arial"/>
                <w:color w:val="000000"/>
                <w:sz w:val="18"/>
                <w:szCs w:val="18"/>
                <w:lang w:eastAsia="en-AU"/>
              </w:rPr>
              <w:t xml:space="preserve">price weight from joined </w:t>
            </w:r>
            <w:r>
              <w:rPr>
                <w:rFonts w:cs="Arial"/>
                <w:color w:val="000000"/>
                <w:sz w:val="18"/>
                <w:szCs w:val="18"/>
                <w:lang w:eastAsia="en-AU"/>
              </w:rPr>
              <w:t>care type</w:t>
            </w:r>
            <w:r w:rsidRPr="001729CF">
              <w:rPr>
                <w:rFonts w:cs="Arial"/>
                <w:color w:val="000000"/>
                <w:sz w:val="18"/>
                <w:szCs w:val="18"/>
                <w:lang w:eastAsia="en-AU"/>
              </w:rPr>
              <w:t xml:space="preserve"> Price Weight table ) if not missing; else</w:t>
            </w:r>
            <w:r>
              <w:rPr>
                <w:rFonts w:cs="Arial"/>
                <w:color w:val="000000"/>
                <w:sz w:val="18"/>
                <w:szCs w:val="18"/>
                <w:lang w:eastAsia="en-AU"/>
              </w:rPr>
              <w:t xml:space="preserve"> </w:t>
            </w:r>
            <w:r w:rsidRPr="001729CF">
              <w:rPr>
                <w:rFonts w:cs="Arial"/>
                <w:color w:val="000000"/>
                <w:sz w:val="18"/>
                <w:szCs w:val="18"/>
                <w:lang w:eastAsia="en-AU"/>
              </w:rPr>
              <w:t>0.</w:t>
            </w:r>
            <w:r w:rsidRPr="001729CF" w:rsidDel="00EB5229">
              <w:rPr>
                <w:rFonts w:cs="Arial"/>
                <w:color w:val="000000"/>
                <w:sz w:val="18"/>
                <w:szCs w:val="18"/>
                <w:lang w:eastAsia="en-AU"/>
              </w:rPr>
              <w:t xml:space="preserve"> </w:t>
            </w:r>
          </w:p>
        </w:tc>
      </w:tr>
      <w:tr w:rsidR="00F51276" w:rsidRPr="00496274" w:rsidTr="00920356">
        <w:trPr>
          <w:cantSplit/>
          <w:trHeight w:val="450"/>
          <w:jc w:val="center"/>
        </w:trPr>
        <w:tc>
          <w:tcPr>
            <w:tcW w:w="0" w:type="auto"/>
            <w:vMerge/>
            <w:tcBorders>
              <w:bottom w:val="nil"/>
            </w:tcBorders>
            <w:shd w:val="clear" w:color="auto" w:fill="auto"/>
            <w:vAlign w:val="center"/>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S20</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sidRPr="001729CF">
              <w:rPr>
                <w:rFonts w:cs="Arial"/>
                <w:color w:val="000000"/>
                <w:sz w:val="18"/>
                <w:szCs w:val="18"/>
                <w:lang w:eastAsia="en-AU"/>
              </w:rPr>
              <w:t>adj_indigenous</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See definition</w:t>
            </w:r>
          </w:p>
        </w:tc>
        <w:tc>
          <w:tcPr>
            <w:tcW w:w="0" w:type="auto"/>
            <w:shd w:val="clear" w:color="auto" w:fill="auto"/>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I</w:t>
            </w:r>
            <w:r w:rsidR="00F51276" w:rsidRPr="001729CF">
              <w:rPr>
                <w:rFonts w:cs="Arial"/>
                <w:color w:val="000000"/>
                <w:sz w:val="18"/>
                <w:szCs w:val="18"/>
                <w:lang w:eastAsia="en-AU"/>
              </w:rPr>
              <w:t>ndigenous adjustment.</w:t>
            </w:r>
          </w:p>
        </w:tc>
      </w:tr>
      <w:tr w:rsidR="00F51276" w:rsidRPr="00496274" w:rsidTr="00920356">
        <w:trPr>
          <w:cantSplit/>
          <w:trHeight w:val="450"/>
          <w:jc w:val="center"/>
        </w:trPr>
        <w:tc>
          <w:tcPr>
            <w:tcW w:w="0" w:type="auto"/>
            <w:tcBorders>
              <w:top w:val="nil"/>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S21</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Pr>
                <w:rFonts w:cs="Arial"/>
                <w:color w:val="000000"/>
                <w:sz w:val="18"/>
                <w:szCs w:val="18"/>
                <w:lang w:eastAsia="en-AU"/>
              </w:rPr>
              <w:t>adj_remoteness</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See definition</w:t>
            </w:r>
          </w:p>
        </w:tc>
        <w:tc>
          <w:tcPr>
            <w:tcW w:w="0" w:type="auto"/>
            <w:shd w:val="clear" w:color="auto" w:fill="auto"/>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R</w:t>
            </w:r>
            <w:r w:rsidR="00F51276">
              <w:rPr>
                <w:rFonts w:cs="Arial"/>
                <w:color w:val="000000"/>
                <w:sz w:val="18"/>
                <w:szCs w:val="18"/>
                <w:lang w:eastAsia="en-AU"/>
              </w:rPr>
              <w:t>emoteness adjustment.</w:t>
            </w:r>
          </w:p>
        </w:tc>
      </w:tr>
      <w:tr w:rsidR="00F51276" w:rsidRPr="00496274" w:rsidTr="00920356">
        <w:trPr>
          <w:cantSplit/>
          <w:trHeight w:val="450"/>
          <w:jc w:val="center"/>
        </w:trPr>
        <w:tc>
          <w:tcPr>
            <w:tcW w:w="0" w:type="auto"/>
            <w:tcBorders>
              <w:top w:val="nil"/>
              <w:bottom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S22</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sidRPr="001729CF">
              <w:rPr>
                <w:rFonts w:cs="Arial"/>
                <w:color w:val="000000"/>
                <w:sz w:val="18"/>
                <w:szCs w:val="18"/>
                <w:lang w:eastAsia="en-AU"/>
              </w:rPr>
              <w:t>caretype_adj_privpat_serv</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See definition</w:t>
            </w:r>
          </w:p>
        </w:tc>
        <w:tc>
          <w:tcPr>
            <w:tcW w:w="0" w:type="auto"/>
            <w:shd w:val="clear" w:color="auto" w:fill="auto"/>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P</w:t>
            </w:r>
            <w:r w:rsidR="00F51276" w:rsidRPr="001729CF">
              <w:rPr>
                <w:rFonts w:cs="Arial"/>
                <w:color w:val="000000"/>
                <w:sz w:val="18"/>
                <w:szCs w:val="18"/>
                <w:lang w:eastAsia="en-AU"/>
              </w:rPr>
              <w:t>rivate patient service adjustment (care type specific adjustment).</w:t>
            </w:r>
          </w:p>
        </w:tc>
      </w:tr>
      <w:tr w:rsidR="00F51276" w:rsidRPr="00496274" w:rsidTr="00920356">
        <w:trPr>
          <w:cantSplit/>
          <w:trHeight w:val="450"/>
          <w:jc w:val="center"/>
        </w:trPr>
        <w:tc>
          <w:tcPr>
            <w:tcW w:w="0" w:type="auto"/>
            <w:vMerge w:val="restart"/>
            <w:tcBorders>
              <w:top w:val="nil"/>
            </w:tcBorders>
            <w:shd w:val="clear" w:color="auto" w:fill="auto"/>
            <w:vAlign w:val="center"/>
            <w:hideMark/>
          </w:tcPr>
          <w:p w:rsidR="00F51276" w:rsidRPr="001729CF" w:rsidRDefault="00F51276" w:rsidP="00920356">
            <w:pPr>
              <w:tabs>
                <w:tab w:val="left" w:pos="1162"/>
              </w:tabs>
              <w:spacing w:after="0"/>
              <w:rPr>
                <w:rFonts w:cs="Arial"/>
                <w:color w:val="000000"/>
                <w:sz w:val="18"/>
                <w:szCs w:val="18"/>
                <w:lang w:eastAsia="en-AU"/>
              </w:rPr>
            </w:pPr>
          </w:p>
        </w:tc>
        <w:tc>
          <w:tcPr>
            <w:tcW w:w="0" w:type="auto"/>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S23</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sidRPr="001729CF">
              <w:rPr>
                <w:rFonts w:cs="Arial"/>
                <w:color w:val="000000"/>
                <w:sz w:val="18"/>
                <w:szCs w:val="18"/>
                <w:lang w:eastAsia="en-AU"/>
              </w:rPr>
              <w:t>state_adj_privpat_accomm_sd</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See definition</w:t>
            </w:r>
          </w:p>
        </w:tc>
        <w:tc>
          <w:tcPr>
            <w:tcW w:w="0" w:type="auto"/>
            <w:shd w:val="clear" w:color="auto" w:fill="auto"/>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P</w:t>
            </w:r>
            <w:r w:rsidR="00F51276" w:rsidRPr="001729CF">
              <w:rPr>
                <w:rFonts w:cs="Arial"/>
                <w:color w:val="000000"/>
                <w:sz w:val="18"/>
                <w:szCs w:val="18"/>
                <w:lang w:eastAsia="en-AU"/>
              </w:rPr>
              <w:t>rivate patient accommodation adjustment: same-day rate (state-specific adjustment).</w:t>
            </w:r>
          </w:p>
        </w:tc>
      </w:tr>
      <w:tr w:rsidR="00F51276" w:rsidRPr="00496274" w:rsidTr="00920356">
        <w:trPr>
          <w:cantSplit/>
          <w:trHeight w:val="450"/>
          <w:jc w:val="center"/>
        </w:trPr>
        <w:tc>
          <w:tcPr>
            <w:tcW w:w="0" w:type="auto"/>
            <w:vMerge/>
            <w:tcBorders>
              <w:bottom w:val="single" w:sz="4" w:space="0" w:color="auto"/>
            </w:tcBorders>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p>
        </w:tc>
        <w:tc>
          <w:tcPr>
            <w:tcW w:w="0" w:type="auto"/>
            <w:tcBorders>
              <w:bottom w:val="single" w:sz="4" w:space="0" w:color="auto"/>
            </w:tcBorders>
            <w:shd w:val="clear" w:color="auto" w:fill="auto"/>
            <w:noWrap/>
            <w:hideMark/>
          </w:tcPr>
          <w:p w:rsidR="00F51276" w:rsidRPr="001729CF" w:rsidRDefault="00F51276" w:rsidP="00920356">
            <w:pPr>
              <w:tabs>
                <w:tab w:val="left" w:pos="1162"/>
              </w:tabs>
              <w:spacing w:after="0"/>
              <w:jc w:val="center"/>
              <w:rPr>
                <w:rFonts w:cs="Arial"/>
                <w:color w:val="000000"/>
                <w:sz w:val="18"/>
                <w:szCs w:val="18"/>
                <w:lang w:eastAsia="en-AU"/>
              </w:rPr>
            </w:pPr>
            <w:r w:rsidRPr="001729CF">
              <w:rPr>
                <w:rFonts w:cs="Arial"/>
                <w:color w:val="000000"/>
                <w:sz w:val="18"/>
                <w:szCs w:val="18"/>
                <w:lang w:eastAsia="en-AU"/>
              </w:rPr>
              <w:t>S2</w:t>
            </w:r>
            <w:r>
              <w:rPr>
                <w:rFonts w:cs="Arial"/>
                <w:color w:val="000000"/>
                <w:sz w:val="18"/>
                <w:szCs w:val="18"/>
                <w:lang w:eastAsia="en-AU"/>
              </w:rPr>
              <w:t>4</w:t>
            </w:r>
          </w:p>
        </w:tc>
        <w:tc>
          <w:tcPr>
            <w:tcW w:w="0" w:type="auto"/>
            <w:shd w:val="clear" w:color="auto" w:fill="auto"/>
            <w:noWrap/>
            <w:hideMark/>
          </w:tcPr>
          <w:p w:rsidR="00F51276" w:rsidRPr="001729CF" w:rsidRDefault="00F51276" w:rsidP="00920356">
            <w:pPr>
              <w:tabs>
                <w:tab w:val="left" w:pos="1162"/>
              </w:tabs>
              <w:spacing w:after="0"/>
              <w:rPr>
                <w:rFonts w:cs="Arial"/>
                <w:color w:val="000000"/>
                <w:sz w:val="18"/>
                <w:szCs w:val="18"/>
                <w:lang w:eastAsia="en-AU"/>
              </w:rPr>
            </w:pPr>
            <w:proofErr w:type="spellStart"/>
            <w:r w:rsidRPr="001729CF">
              <w:rPr>
                <w:rFonts w:cs="Arial"/>
                <w:color w:val="000000"/>
                <w:sz w:val="18"/>
                <w:szCs w:val="18"/>
                <w:lang w:eastAsia="en-AU"/>
              </w:rPr>
              <w:t>state_adj_privpat_accomm_on</w:t>
            </w:r>
            <w:proofErr w:type="spellEnd"/>
          </w:p>
        </w:tc>
        <w:tc>
          <w:tcPr>
            <w:tcW w:w="0" w:type="auto"/>
            <w:shd w:val="clear" w:color="auto" w:fill="auto"/>
            <w:hideMark/>
          </w:tcPr>
          <w:p w:rsidR="00F51276" w:rsidRPr="001729CF" w:rsidRDefault="00F51276" w:rsidP="00920356">
            <w:pPr>
              <w:tabs>
                <w:tab w:val="left" w:pos="1162"/>
              </w:tabs>
              <w:spacing w:after="0"/>
              <w:rPr>
                <w:rFonts w:cs="Arial"/>
                <w:color w:val="000000"/>
                <w:sz w:val="18"/>
                <w:szCs w:val="18"/>
                <w:lang w:eastAsia="en-AU"/>
              </w:rPr>
            </w:pPr>
            <w:r w:rsidRPr="001729CF">
              <w:rPr>
                <w:rFonts w:cs="Arial"/>
                <w:color w:val="000000"/>
                <w:sz w:val="18"/>
                <w:szCs w:val="18"/>
                <w:lang w:eastAsia="en-AU"/>
              </w:rPr>
              <w:t>See definition</w:t>
            </w:r>
          </w:p>
        </w:tc>
        <w:tc>
          <w:tcPr>
            <w:tcW w:w="0" w:type="auto"/>
            <w:shd w:val="clear" w:color="auto" w:fill="auto"/>
            <w:hideMark/>
          </w:tcPr>
          <w:p w:rsidR="00F51276" w:rsidRPr="001729CF" w:rsidRDefault="00935FD4" w:rsidP="00920356">
            <w:pPr>
              <w:tabs>
                <w:tab w:val="left" w:pos="1162"/>
              </w:tabs>
              <w:spacing w:after="0"/>
              <w:rPr>
                <w:rFonts w:cs="Arial"/>
                <w:color w:val="000000"/>
                <w:sz w:val="18"/>
                <w:szCs w:val="18"/>
                <w:lang w:eastAsia="en-AU"/>
              </w:rPr>
            </w:pPr>
            <w:r>
              <w:rPr>
                <w:rFonts w:cs="Arial"/>
                <w:color w:val="000000"/>
                <w:sz w:val="18"/>
                <w:szCs w:val="18"/>
                <w:lang w:eastAsia="en-AU"/>
              </w:rPr>
              <w:t>P</w:t>
            </w:r>
            <w:r w:rsidR="00F51276" w:rsidRPr="001729CF">
              <w:rPr>
                <w:rFonts w:cs="Arial"/>
                <w:color w:val="000000"/>
                <w:sz w:val="18"/>
                <w:szCs w:val="18"/>
                <w:lang w:eastAsia="en-AU"/>
              </w:rPr>
              <w:t>rivate patient accommodation adjustment: overnight per diem rate (state-specific adjustment).</w:t>
            </w:r>
          </w:p>
        </w:tc>
      </w:tr>
      <w:tr w:rsidR="00F51276" w:rsidRPr="00496274" w:rsidTr="00920356">
        <w:trPr>
          <w:cantSplit/>
          <w:trHeight w:val="450"/>
          <w:jc w:val="center"/>
        </w:trPr>
        <w:tc>
          <w:tcPr>
            <w:tcW w:w="0" w:type="auto"/>
            <w:tcBorders>
              <w:top w:val="single" w:sz="4" w:space="0" w:color="auto"/>
              <w:bottom w:val="single" w:sz="4" w:space="0" w:color="auto"/>
            </w:tcBorders>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Step 4</w:t>
            </w:r>
          </w:p>
        </w:tc>
        <w:tc>
          <w:tcPr>
            <w:tcW w:w="0" w:type="auto"/>
            <w:tcBorders>
              <w:top w:val="single" w:sz="4" w:space="0" w:color="auto"/>
              <w:bottom w:val="single" w:sz="4" w:space="0" w:color="auto"/>
            </w:tcBorders>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S25</w:t>
            </w:r>
          </w:p>
        </w:tc>
        <w:tc>
          <w:tcPr>
            <w:tcW w:w="0" w:type="auto"/>
            <w:shd w:val="clear" w:color="auto" w:fill="auto"/>
            <w:noWrap/>
          </w:tcPr>
          <w:p w:rsidR="00F51276" w:rsidRPr="001729CF" w:rsidRDefault="00F51276" w:rsidP="00920356">
            <w:pPr>
              <w:tabs>
                <w:tab w:val="left" w:pos="1162"/>
              </w:tabs>
              <w:spacing w:after="0"/>
              <w:rPr>
                <w:rFonts w:cs="Arial"/>
                <w:color w:val="000000"/>
                <w:sz w:val="18"/>
                <w:szCs w:val="18"/>
                <w:lang w:eastAsia="en-AU"/>
              </w:rPr>
            </w:pPr>
            <w:proofErr w:type="spellStart"/>
            <w:r>
              <w:rPr>
                <w:rFonts w:cs="Arial"/>
                <w:color w:val="000000"/>
                <w:sz w:val="18"/>
                <w:szCs w:val="18"/>
                <w:lang w:eastAsia="en-AU"/>
              </w:rPr>
              <w:t>Error_code</w:t>
            </w:r>
            <w:proofErr w:type="spellEnd"/>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See definition</w:t>
            </w:r>
          </w:p>
        </w:tc>
        <w:tc>
          <w:tcPr>
            <w:tcW w:w="0" w:type="auto"/>
            <w:shd w:val="clear" w:color="auto" w:fill="auto"/>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Outlines Errors in calculations</w:t>
            </w:r>
          </w:p>
        </w:tc>
      </w:tr>
      <w:tr w:rsidR="00F51276" w:rsidRPr="00496274" w:rsidTr="00920356">
        <w:trPr>
          <w:cantSplit/>
          <w:trHeight w:val="450"/>
          <w:jc w:val="center"/>
        </w:trPr>
        <w:tc>
          <w:tcPr>
            <w:tcW w:w="0" w:type="auto"/>
            <w:tcBorders>
              <w:top w:val="single" w:sz="4" w:space="0" w:color="auto"/>
              <w:bottom w:val="single" w:sz="4" w:space="0" w:color="auto"/>
            </w:tcBorders>
            <w:hideMark/>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Step 5</w:t>
            </w:r>
          </w:p>
        </w:tc>
        <w:tc>
          <w:tcPr>
            <w:tcW w:w="0" w:type="auto"/>
            <w:tcBorders>
              <w:top w:val="single" w:sz="4" w:space="0" w:color="auto"/>
              <w:bottom w:val="single" w:sz="4" w:space="0" w:color="auto"/>
            </w:tcBorders>
            <w:shd w:val="clear" w:color="auto" w:fill="auto"/>
            <w:noWrap/>
          </w:tcPr>
          <w:p w:rsidR="00F51276" w:rsidRPr="001729CF" w:rsidRDefault="00F51276" w:rsidP="00920356">
            <w:pPr>
              <w:tabs>
                <w:tab w:val="left" w:pos="1162"/>
              </w:tabs>
              <w:spacing w:after="0"/>
              <w:jc w:val="center"/>
              <w:rPr>
                <w:rFonts w:cs="Arial"/>
                <w:color w:val="000000"/>
                <w:sz w:val="18"/>
                <w:szCs w:val="18"/>
                <w:lang w:eastAsia="en-AU"/>
              </w:rPr>
            </w:pPr>
            <w:r>
              <w:rPr>
                <w:rFonts w:cs="Arial"/>
                <w:color w:val="000000"/>
                <w:sz w:val="18"/>
                <w:szCs w:val="18"/>
                <w:lang w:eastAsia="en-AU"/>
              </w:rPr>
              <w:t>S26</w:t>
            </w:r>
          </w:p>
        </w:tc>
        <w:tc>
          <w:tcPr>
            <w:tcW w:w="0" w:type="auto"/>
            <w:tcBorders>
              <w:bottom w:val="single" w:sz="4" w:space="0" w:color="auto"/>
            </w:tcBorders>
            <w:shd w:val="clear" w:color="auto" w:fill="auto"/>
            <w:noWrap/>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pat_separation_category</w:t>
            </w:r>
            <w:proofErr w:type="spellEnd"/>
          </w:p>
        </w:tc>
        <w:tc>
          <w:tcPr>
            <w:tcW w:w="0" w:type="auto"/>
            <w:tcBorders>
              <w:bottom w:val="single" w:sz="4" w:space="0" w:color="auto"/>
            </w:tcBorders>
            <w:shd w:val="clear" w:color="auto" w:fill="auto"/>
          </w:tcPr>
          <w:p w:rsidR="00F51276" w:rsidRPr="001729CF"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See definition</w:t>
            </w:r>
          </w:p>
        </w:tc>
        <w:tc>
          <w:tcPr>
            <w:tcW w:w="0" w:type="auto"/>
            <w:tcBorders>
              <w:bottom w:val="single" w:sz="4" w:space="0" w:color="auto"/>
            </w:tcBorders>
            <w:shd w:val="clear" w:color="auto" w:fill="auto"/>
          </w:tcPr>
          <w:p w:rsidR="00F51276"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 xml:space="preserve">Patient separation category: </w:t>
            </w:r>
          </w:p>
          <w:p w:rsidR="00F51276"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0:</w:t>
            </w:r>
            <w:r w:rsidRPr="00F60424">
              <w:rPr>
                <w:rFonts w:cs="Arial"/>
                <w:color w:val="000000"/>
                <w:sz w:val="18"/>
                <w:szCs w:val="18"/>
                <w:lang w:eastAsia="en-AU"/>
              </w:rPr>
              <w:t xml:space="preserve"> </w:t>
            </w:r>
            <w:r>
              <w:rPr>
                <w:rFonts w:cs="Arial"/>
                <w:color w:val="000000"/>
                <w:sz w:val="18"/>
                <w:szCs w:val="18"/>
                <w:lang w:eastAsia="en-AU"/>
              </w:rPr>
              <w:t>Valid Paediatric patients</w:t>
            </w:r>
          </w:p>
          <w:p w:rsidR="00F51276" w:rsidRPr="00F60424" w:rsidRDefault="00F51276" w:rsidP="00920356">
            <w:pPr>
              <w:tabs>
                <w:tab w:val="left" w:pos="1162"/>
              </w:tabs>
              <w:spacing w:after="0"/>
              <w:rPr>
                <w:rFonts w:cs="Arial"/>
                <w:color w:val="000000"/>
                <w:sz w:val="18"/>
                <w:szCs w:val="18"/>
                <w:lang w:eastAsia="en-AU"/>
              </w:rPr>
            </w:pPr>
            <w:r>
              <w:rPr>
                <w:rFonts w:cs="Arial"/>
                <w:color w:val="000000"/>
                <w:sz w:val="18"/>
                <w:szCs w:val="18"/>
                <w:lang w:eastAsia="en-AU"/>
              </w:rPr>
              <w:t>1: Same day patients</w:t>
            </w:r>
          </w:p>
          <w:p w:rsidR="00F51276" w:rsidRDefault="00F51276" w:rsidP="00920356">
            <w:pPr>
              <w:tabs>
                <w:tab w:val="left" w:pos="1162"/>
              </w:tabs>
              <w:spacing w:after="0"/>
              <w:rPr>
                <w:rFonts w:cs="Arial"/>
                <w:color w:val="000000"/>
                <w:sz w:val="18"/>
                <w:szCs w:val="18"/>
                <w:lang w:eastAsia="en-AU"/>
              </w:rPr>
            </w:pPr>
            <w:r w:rsidRPr="00F60424">
              <w:rPr>
                <w:rFonts w:cs="Arial"/>
                <w:color w:val="000000"/>
                <w:sz w:val="18"/>
                <w:szCs w:val="18"/>
                <w:lang w:eastAsia="en-AU"/>
              </w:rPr>
              <w:t>2</w:t>
            </w:r>
            <w:r>
              <w:rPr>
                <w:rFonts w:cs="Arial"/>
                <w:color w:val="000000"/>
                <w:sz w:val="18"/>
                <w:szCs w:val="18"/>
                <w:lang w:eastAsia="en-AU"/>
              </w:rPr>
              <w:t>:</w:t>
            </w:r>
            <w:r w:rsidRPr="00F60424">
              <w:rPr>
                <w:rFonts w:cs="Arial"/>
                <w:color w:val="000000"/>
                <w:sz w:val="18"/>
                <w:szCs w:val="18"/>
                <w:lang w:eastAsia="en-AU"/>
              </w:rPr>
              <w:t xml:space="preserve"> </w:t>
            </w:r>
            <w:r>
              <w:rPr>
                <w:rFonts w:cs="Arial"/>
                <w:color w:val="000000"/>
                <w:sz w:val="18"/>
                <w:szCs w:val="18"/>
                <w:lang w:eastAsia="en-AU"/>
              </w:rPr>
              <w:t xml:space="preserve">Short Stay outlier patients </w:t>
            </w:r>
          </w:p>
          <w:p w:rsidR="00F51276" w:rsidRPr="00F60424" w:rsidRDefault="00F51276" w:rsidP="00920356">
            <w:pPr>
              <w:tabs>
                <w:tab w:val="left" w:pos="1162"/>
              </w:tabs>
              <w:spacing w:after="0"/>
              <w:rPr>
                <w:rFonts w:cs="Arial"/>
                <w:color w:val="000000"/>
                <w:sz w:val="18"/>
                <w:szCs w:val="18"/>
                <w:lang w:eastAsia="en-AU"/>
              </w:rPr>
            </w:pPr>
            <w:r w:rsidRPr="00F60424">
              <w:rPr>
                <w:rFonts w:cs="Arial"/>
                <w:color w:val="000000"/>
                <w:sz w:val="18"/>
                <w:szCs w:val="18"/>
                <w:lang w:eastAsia="en-AU"/>
              </w:rPr>
              <w:t>3</w:t>
            </w:r>
            <w:r>
              <w:rPr>
                <w:rFonts w:cs="Arial"/>
                <w:color w:val="000000"/>
                <w:sz w:val="18"/>
                <w:szCs w:val="18"/>
                <w:lang w:eastAsia="en-AU"/>
              </w:rPr>
              <w:t>:</w:t>
            </w:r>
            <w:r w:rsidRPr="00F60424">
              <w:rPr>
                <w:rFonts w:cs="Arial"/>
                <w:color w:val="000000"/>
                <w:sz w:val="18"/>
                <w:szCs w:val="18"/>
                <w:lang w:eastAsia="en-AU"/>
              </w:rPr>
              <w:t xml:space="preserve"> Inlier patients</w:t>
            </w:r>
          </w:p>
          <w:p w:rsidR="00F51276" w:rsidRPr="001729CF" w:rsidRDefault="00F51276" w:rsidP="00920356">
            <w:pPr>
              <w:tabs>
                <w:tab w:val="left" w:pos="1162"/>
              </w:tabs>
              <w:spacing w:after="0"/>
              <w:rPr>
                <w:rFonts w:cs="Arial"/>
                <w:color w:val="000000"/>
                <w:sz w:val="18"/>
                <w:szCs w:val="18"/>
                <w:lang w:eastAsia="en-AU"/>
              </w:rPr>
            </w:pPr>
            <w:r w:rsidRPr="00F60424">
              <w:rPr>
                <w:rFonts w:cs="Arial"/>
                <w:color w:val="000000"/>
                <w:sz w:val="18"/>
                <w:szCs w:val="18"/>
                <w:lang w:eastAsia="en-AU"/>
              </w:rPr>
              <w:t>4</w:t>
            </w:r>
            <w:r>
              <w:rPr>
                <w:rFonts w:cs="Arial"/>
                <w:color w:val="000000"/>
                <w:sz w:val="18"/>
                <w:szCs w:val="18"/>
                <w:lang w:eastAsia="en-AU"/>
              </w:rPr>
              <w:t>:</w:t>
            </w:r>
            <w:r w:rsidRPr="00F60424">
              <w:rPr>
                <w:rFonts w:cs="Arial"/>
                <w:color w:val="000000"/>
                <w:sz w:val="18"/>
                <w:szCs w:val="18"/>
                <w:lang w:eastAsia="en-AU"/>
              </w:rPr>
              <w:t xml:space="preserve"> Long stay outlier patients </w:t>
            </w:r>
          </w:p>
        </w:tc>
      </w:tr>
    </w:tbl>
    <w:p w:rsidR="00F51276" w:rsidRDefault="00F51276" w:rsidP="00F51276">
      <w:pPr>
        <w:tabs>
          <w:tab w:val="left" w:pos="1162"/>
        </w:tabs>
        <w:rPr>
          <w:szCs w:val="20"/>
        </w:rPr>
        <w:sectPr w:rsidR="00F51276" w:rsidSect="002049EC">
          <w:pgSz w:w="16839" w:h="11907" w:orient="landscape" w:code="9"/>
          <w:pgMar w:top="851" w:right="1440" w:bottom="1135" w:left="1440" w:header="709" w:footer="709" w:gutter="0"/>
          <w:cols w:space="708"/>
          <w:docGrid w:linePitch="360"/>
        </w:sectPr>
      </w:pPr>
    </w:p>
    <w:p w:rsidR="00F51276" w:rsidRPr="0038153A" w:rsidRDefault="00F51276" w:rsidP="00F51276">
      <w:pPr>
        <w:pStyle w:val="Heading3"/>
        <w:keepLines w:val="0"/>
        <w:numPr>
          <w:ilvl w:val="2"/>
          <w:numId w:val="35"/>
        </w:numPr>
        <w:tabs>
          <w:tab w:val="left" w:pos="1162"/>
        </w:tabs>
        <w:spacing w:before="240" w:after="120"/>
      </w:pPr>
      <w:bookmarkStart w:id="305" w:name="_Toc380754749"/>
      <w:bookmarkStart w:id="306" w:name="_Toc444528619"/>
      <w:r w:rsidRPr="0038153A">
        <w:t>Calculation of NWAU</w:t>
      </w:r>
      <w:bookmarkEnd w:id="305"/>
      <w:bookmarkEnd w:id="306"/>
    </w:p>
    <w:p w:rsidR="00F51276" w:rsidRPr="0038153A" w:rsidRDefault="00F51276" w:rsidP="00F51276">
      <w:pPr>
        <w:tabs>
          <w:tab w:val="left" w:pos="1162"/>
        </w:tabs>
        <w:rPr>
          <w:rFonts w:cs="Arial"/>
          <w:szCs w:val="20"/>
        </w:rPr>
      </w:pPr>
      <w:r w:rsidRPr="0038153A">
        <w:rPr>
          <w:rFonts w:cs="Arial"/>
          <w:szCs w:val="20"/>
        </w:rPr>
        <w:t>The NWAU calculation stage is illustrated in</w:t>
      </w:r>
      <w:r>
        <w:rPr>
          <w:rFonts w:cs="Arial"/>
          <w:szCs w:val="20"/>
        </w:rPr>
        <w:t xml:space="preserve"> Figure </w:t>
      </w:r>
      <w:r w:rsidR="006D7C24">
        <w:rPr>
          <w:rFonts w:cs="Arial"/>
          <w:szCs w:val="20"/>
        </w:rPr>
        <w:t>8</w:t>
      </w:r>
      <w:r>
        <w:rPr>
          <w:rFonts w:cs="Arial"/>
          <w:szCs w:val="20"/>
        </w:rPr>
        <w:t xml:space="preserve"> and is performed in Step 6.</w:t>
      </w:r>
      <w:r w:rsidRPr="0038153A">
        <w:rPr>
          <w:rFonts w:cs="Arial"/>
          <w:szCs w:val="20"/>
        </w:rPr>
        <w:t xml:space="preserve"> </w:t>
      </w:r>
    </w:p>
    <w:p w:rsidR="00F51276" w:rsidRDefault="00F51276" w:rsidP="00F51276">
      <w:pPr>
        <w:tabs>
          <w:tab w:val="left" w:pos="1162"/>
        </w:tabs>
        <w:spacing w:after="360"/>
        <w:rPr>
          <w:rFonts w:cs="Arial"/>
          <w:szCs w:val="20"/>
        </w:rPr>
      </w:pPr>
      <w:r>
        <w:rPr>
          <w:rFonts w:cs="Arial"/>
          <w:szCs w:val="20"/>
        </w:rPr>
        <w:t xml:space="preserve">Table </w:t>
      </w:r>
      <w:r w:rsidR="00693CC5">
        <w:rPr>
          <w:rFonts w:cs="Arial"/>
          <w:szCs w:val="20"/>
        </w:rPr>
        <w:t xml:space="preserve">13 </w:t>
      </w:r>
      <w:r w:rsidRPr="0038153A">
        <w:rPr>
          <w:rFonts w:cs="Arial"/>
          <w:szCs w:val="20"/>
        </w:rPr>
        <w:t xml:space="preserve">details the variables created </w:t>
      </w:r>
      <w:r w:rsidR="00A95010">
        <w:rPr>
          <w:rFonts w:cs="Arial"/>
          <w:szCs w:val="20"/>
        </w:rPr>
        <w:t>in S</w:t>
      </w:r>
      <w:r w:rsidR="000A1246">
        <w:rPr>
          <w:rFonts w:cs="Arial"/>
          <w:szCs w:val="20"/>
        </w:rPr>
        <w:t>tep 6</w:t>
      </w:r>
      <w:r w:rsidR="00347801">
        <w:rPr>
          <w:rFonts w:cs="Arial"/>
          <w:szCs w:val="20"/>
        </w:rPr>
        <w:t xml:space="preserve"> and results in the creation of the </w:t>
      </w:r>
      <w:r w:rsidR="000C75BC">
        <w:rPr>
          <w:rFonts w:cs="Arial"/>
          <w:szCs w:val="20"/>
        </w:rPr>
        <w:t>2016-17</w:t>
      </w:r>
      <w:r w:rsidRPr="0038153A">
        <w:rPr>
          <w:rFonts w:cs="Arial"/>
          <w:szCs w:val="20"/>
        </w:rPr>
        <w:t xml:space="preserve"> NWAU.</w:t>
      </w:r>
    </w:p>
    <w:p w:rsidR="00F51276" w:rsidRDefault="00F51276">
      <w:pPr>
        <w:pStyle w:val="table"/>
      </w:pPr>
      <w:bookmarkStart w:id="307" w:name="_Ref342309131"/>
      <w:r>
        <w:t>Figure</w:t>
      </w:r>
      <w:bookmarkEnd w:id="307"/>
      <w:r>
        <w:t xml:space="preserve"> </w:t>
      </w:r>
      <w:r w:rsidR="006D7C24">
        <w:t>8</w:t>
      </w:r>
      <w:r>
        <w:t xml:space="preserve">: </w:t>
      </w:r>
      <w:r w:rsidRPr="00FB4FC8">
        <w:t xml:space="preserve">Assigning NWAU to </w:t>
      </w:r>
      <w:r w:rsidR="00002CE6">
        <w:t>admitted subacute and non-acute</w:t>
      </w:r>
      <w:r w:rsidRPr="00FB4FC8">
        <w:t xml:space="preserve"> patient data – </w:t>
      </w:r>
      <w:r>
        <w:t xml:space="preserve">Stage 2 </w:t>
      </w:r>
      <w:r>
        <w:noBreakHyphen/>
      </w:r>
      <w:r w:rsidRPr="00FB4FC8">
        <w:t xml:space="preserve"> NWAU calculation</w:t>
      </w:r>
    </w:p>
    <w:p w:rsidR="00F51276" w:rsidRDefault="00F51276" w:rsidP="00F51276">
      <w:pPr>
        <w:tabs>
          <w:tab w:val="left" w:pos="1162"/>
        </w:tabs>
        <w:jc w:val="center"/>
      </w:pPr>
    </w:p>
    <w:p w:rsidR="00F51276" w:rsidRDefault="000A1246" w:rsidP="000A1246">
      <w:pPr>
        <w:tabs>
          <w:tab w:val="left" w:pos="1162"/>
        </w:tabs>
        <w:jc w:val="center"/>
      </w:pPr>
      <w:r>
        <w:rPr>
          <w:noProof/>
          <w:lang w:eastAsia="en-AU"/>
        </w:rPr>
        <w:drawing>
          <wp:inline distT="0" distB="0" distL="0" distR="0" wp14:anchorId="0D96F4FA" wp14:editId="7340C899">
            <wp:extent cx="4430862" cy="2689761"/>
            <wp:effectExtent l="19050" t="19050" r="27305"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435373" cy="2692500"/>
                    </a:xfrm>
                    <a:prstGeom prst="rect">
                      <a:avLst/>
                    </a:prstGeom>
                    <a:ln>
                      <a:solidFill>
                        <a:schemeClr val="accent1"/>
                      </a:solidFill>
                    </a:ln>
                  </pic:spPr>
                </pic:pic>
              </a:graphicData>
            </a:graphic>
          </wp:inline>
        </w:drawing>
      </w:r>
    </w:p>
    <w:p w:rsidR="00F51276" w:rsidRDefault="00F51276" w:rsidP="001F2FA2">
      <w:pPr>
        <w:tabs>
          <w:tab w:val="left" w:pos="1162"/>
        </w:tabs>
        <w:jc w:val="center"/>
        <w:sectPr w:rsidR="00F51276" w:rsidSect="002049EC">
          <w:type w:val="continuous"/>
          <w:pgSz w:w="11907" w:h="16839" w:code="9"/>
          <w:pgMar w:top="1440" w:right="1440" w:bottom="1440" w:left="1440" w:header="709" w:footer="709" w:gutter="0"/>
          <w:cols w:space="708"/>
          <w:docGrid w:linePitch="360"/>
        </w:sectPr>
      </w:pPr>
    </w:p>
    <w:p w:rsidR="00F51276" w:rsidRDefault="00F51276">
      <w:pPr>
        <w:pStyle w:val="table"/>
      </w:pPr>
      <w:bookmarkStart w:id="308" w:name="_Ref342308624"/>
      <w:r>
        <w:t xml:space="preserve">Table </w:t>
      </w:r>
      <w:bookmarkEnd w:id="308"/>
      <w:r>
        <w:t>1</w:t>
      </w:r>
      <w:r w:rsidR="00693CC5">
        <w:t>3</w:t>
      </w:r>
      <w:r>
        <w:t xml:space="preserve">: </w:t>
      </w:r>
      <w:r w:rsidRPr="00596E4A">
        <w:t xml:space="preserve">Assigning NWAU to </w:t>
      </w:r>
      <w:r w:rsidR="00002CE6">
        <w:t>admitted subacute and non-acute</w:t>
      </w:r>
      <w:r w:rsidRPr="00596E4A">
        <w:t xml:space="preserve"> patient data – Stage 2 – NWAU calculation – variable definitions</w:t>
      </w: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Description w:val="Table 16 outlines how stage 2 National Weighted Activity Unit (NWAU) calculation is assigned to NWAU to subacute and non-acute admitted patient data. "/>
      </w:tblPr>
      <w:tblGrid>
        <w:gridCol w:w="776"/>
        <w:gridCol w:w="1033"/>
        <w:gridCol w:w="1843"/>
        <w:gridCol w:w="4253"/>
        <w:gridCol w:w="6270"/>
      </w:tblGrid>
      <w:tr w:rsidR="00F51276" w:rsidRPr="00A13645" w:rsidTr="000A1246">
        <w:trPr>
          <w:cantSplit/>
          <w:trHeight w:val="225"/>
          <w:tblHeader/>
        </w:trPr>
        <w:tc>
          <w:tcPr>
            <w:tcW w:w="776" w:type="dxa"/>
            <w:tcBorders>
              <w:bottom w:val="single" w:sz="4" w:space="0" w:color="595959" w:themeColor="text1" w:themeTint="A6"/>
            </w:tcBorders>
            <w:shd w:val="clear" w:color="auto" w:fill="BFBFBF" w:themeFill="background1" w:themeFillShade="BF"/>
            <w:noWrap/>
            <w:hideMark/>
          </w:tcPr>
          <w:p w:rsidR="00F51276" w:rsidRPr="00D873B6" w:rsidRDefault="00F51276" w:rsidP="00920356">
            <w:pPr>
              <w:tabs>
                <w:tab w:val="left" w:pos="1162"/>
              </w:tabs>
              <w:spacing w:before="80" w:after="80"/>
              <w:rPr>
                <w:rFonts w:cs="Arial"/>
                <w:b/>
                <w:bCs/>
                <w:color w:val="000000"/>
                <w:sz w:val="18"/>
                <w:szCs w:val="18"/>
                <w:lang w:eastAsia="en-AU"/>
              </w:rPr>
            </w:pPr>
            <w:r w:rsidRPr="00D873B6">
              <w:rPr>
                <w:rFonts w:cs="Arial"/>
                <w:b/>
                <w:bCs/>
                <w:color w:val="000000"/>
                <w:sz w:val="18"/>
                <w:szCs w:val="18"/>
                <w:lang w:eastAsia="en-AU"/>
              </w:rPr>
              <w:t>Step</w:t>
            </w:r>
          </w:p>
        </w:tc>
        <w:tc>
          <w:tcPr>
            <w:tcW w:w="1033" w:type="dxa"/>
            <w:shd w:val="clear" w:color="auto" w:fill="BFBFBF" w:themeFill="background1" w:themeFillShade="BF"/>
            <w:noWrap/>
            <w:vAlign w:val="center"/>
            <w:hideMark/>
          </w:tcPr>
          <w:p w:rsidR="00F51276" w:rsidRPr="00D873B6" w:rsidRDefault="00F51276" w:rsidP="00920356">
            <w:pPr>
              <w:tabs>
                <w:tab w:val="left" w:pos="1162"/>
              </w:tabs>
              <w:spacing w:before="80" w:after="80"/>
              <w:jc w:val="center"/>
              <w:rPr>
                <w:rFonts w:cs="Arial"/>
                <w:b/>
                <w:bCs/>
                <w:color w:val="000000"/>
                <w:sz w:val="18"/>
                <w:szCs w:val="18"/>
                <w:lang w:eastAsia="en-AU"/>
              </w:rPr>
            </w:pPr>
            <w:r w:rsidRPr="00D873B6">
              <w:rPr>
                <w:rFonts w:cs="Arial"/>
                <w:b/>
                <w:bCs/>
                <w:color w:val="000000"/>
                <w:sz w:val="18"/>
                <w:szCs w:val="18"/>
                <w:lang w:eastAsia="en-AU"/>
              </w:rPr>
              <w:t>Variable</w:t>
            </w:r>
          </w:p>
        </w:tc>
        <w:tc>
          <w:tcPr>
            <w:tcW w:w="1843" w:type="dxa"/>
            <w:shd w:val="clear" w:color="auto" w:fill="BFBFBF" w:themeFill="background1" w:themeFillShade="BF"/>
            <w:noWrap/>
            <w:vAlign w:val="center"/>
            <w:hideMark/>
          </w:tcPr>
          <w:p w:rsidR="00F51276" w:rsidRPr="00D873B6" w:rsidRDefault="00F51276" w:rsidP="00920356">
            <w:pPr>
              <w:tabs>
                <w:tab w:val="left" w:pos="1162"/>
              </w:tabs>
              <w:spacing w:before="80" w:after="80"/>
              <w:rPr>
                <w:rFonts w:cs="Arial"/>
                <w:b/>
                <w:bCs/>
                <w:color w:val="000000"/>
                <w:sz w:val="18"/>
                <w:szCs w:val="18"/>
                <w:lang w:eastAsia="en-AU"/>
              </w:rPr>
            </w:pPr>
            <w:r w:rsidRPr="00D873B6">
              <w:rPr>
                <w:rFonts w:cs="Arial"/>
                <w:b/>
                <w:bCs/>
                <w:color w:val="000000"/>
                <w:sz w:val="18"/>
                <w:szCs w:val="18"/>
                <w:lang w:eastAsia="en-AU"/>
              </w:rPr>
              <w:t>Name</w:t>
            </w:r>
          </w:p>
        </w:tc>
        <w:tc>
          <w:tcPr>
            <w:tcW w:w="4253" w:type="dxa"/>
            <w:shd w:val="clear" w:color="auto" w:fill="BFBFBF" w:themeFill="background1" w:themeFillShade="BF"/>
            <w:vAlign w:val="center"/>
            <w:hideMark/>
          </w:tcPr>
          <w:p w:rsidR="00F51276" w:rsidRPr="00D873B6" w:rsidRDefault="00F51276" w:rsidP="00920356">
            <w:pPr>
              <w:tabs>
                <w:tab w:val="left" w:pos="1162"/>
              </w:tabs>
              <w:spacing w:before="80" w:after="80"/>
              <w:rPr>
                <w:rFonts w:cs="Arial"/>
                <w:b/>
                <w:bCs/>
                <w:color w:val="000000"/>
                <w:sz w:val="18"/>
                <w:szCs w:val="18"/>
                <w:lang w:eastAsia="en-AU"/>
              </w:rPr>
            </w:pPr>
            <w:r w:rsidRPr="00D873B6">
              <w:rPr>
                <w:rFonts w:cs="Arial"/>
                <w:b/>
                <w:bCs/>
                <w:color w:val="000000"/>
                <w:sz w:val="18"/>
                <w:szCs w:val="18"/>
                <w:lang w:eastAsia="en-AU"/>
              </w:rPr>
              <w:t>Description</w:t>
            </w:r>
          </w:p>
        </w:tc>
        <w:tc>
          <w:tcPr>
            <w:tcW w:w="6270" w:type="dxa"/>
            <w:shd w:val="clear" w:color="auto" w:fill="BFBFBF" w:themeFill="background1" w:themeFillShade="BF"/>
            <w:vAlign w:val="center"/>
            <w:hideMark/>
          </w:tcPr>
          <w:p w:rsidR="00F51276" w:rsidRPr="00D873B6" w:rsidRDefault="00F51276" w:rsidP="00920356">
            <w:pPr>
              <w:tabs>
                <w:tab w:val="left" w:pos="1162"/>
              </w:tabs>
              <w:spacing w:before="80" w:after="80"/>
              <w:rPr>
                <w:rFonts w:cs="Arial"/>
                <w:b/>
                <w:bCs/>
                <w:color w:val="000000"/>
                <w:sz w:val="18"/>
                <w:szCs w:val="18"/>
                <w:lang w:eastAsia="en-AU"/>
              </w:rPr>
            </w:pPr>
            <w:r w:rsidRPr="00D873B6">
              <w:rPr>
                <w:rFonts w:cs="Arial"/>
                <w:b/>
                <w:bCs/>
                <w:color w:val="000000"/>
                <w:sz w:val="18"/>
                <w:szCs w:val="18"/>
                <w:lang w:eastAsia="en-AU"/>
              </w:rPr>
              <w:t>Definition</w:t>
            </w:r>
          </w:p>
        </w:tc>
      </w:tr>
      <w:tr w:rsidR="00F51276" w:rsidRPr="00A13645" w:rsidTr="000A1246">
        <w:trPr>
          <w:cantSplit/>
          <w:trHeight w:val="1350"/>
        </w:trPr>
        <w:tc>
          <w:tcPr>
            <w:tcW w:w="776" w:type="dxa"/>
            <w:tcBorders>
              <w:bottom w:val="nil"/>
            </w:tcBorders>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sidRPr="00D873B6">
              <w:rPr>
                <w:rFonts w:cs="Arial"/>
                <w:color w:val="000000"/>
                <w:sz w:val="18"/>
                <w:szCs w:val="18"/>
                <w:lang w:eastAsia="en-AU"/>
              </w:rPr>
              <w:t xml:space="preserve">Step </w:t>
            </w:r>
            <w:r>
              <w:rPr>
                <w:rFonts w:cs="Arial"/>
                <w:color w:val="000000"/>
                <w:sz w:val="18"/>
                <w:szCs w:val="18"/>
                <w:lang w:eastAsia="en-AU"/>
              </w:rPr>
              <w:t>6</w:t>
            </w:r>
          </w:p>
        </w:tc>
        <w:tc>
          <w:tcPr>
            <w:tcW w:w="1033" w:type="dxa"/>
            <w:shd w:val="clear" w:color="auto" w:fill="auto"/>
            <w:noWrap/>
            <w:hideMark/>
          </w:tcPr>
          <w:p w:rsidR="00F51276" w:rsidRPr="00D873B6" w:rsidRDefault="00F51276" w:rsidP="00920356">
            <w:pPr>
              <w:tabs>
                <w:tab w:val="left" w:pos="1162"/>
              </w:tabs>
              <w:spacing w:before="80" w:after="80"/>
              <w:jc w:val="center"/>
              <w:rPr>
                <w:rFonts w:cs="Arial"/>
                <w:color w:val="000000"/>
                <w:sz w:val="18"/>
                <w:szCs w:val="18"/>
                <w:lang w:eastAsia="en-AU"/>
              </w:rPr>
            </w:pPr>
            <w:r w:rsidRPr="00D873B6">
              <w:rPr>
                <w:rFonts w:cs="Arial"/>
                <w:color w:val="000000"/>
                <w:sz w:val="18"/>
                <w:szCs w:val="18"/>
                <w:lang w:eastAsia="en-AU"/>
              </w:rPr>
              <w:t>S</w:t>
            </w:r>
            <w:r>
              <w:rPr>
                <w:rFonts w:cs="Arial"/>
                <w:color w:val="000000"/>
                <w:sz w:val="18"/>
                <w:szCs w:val="18"/>
                <w:lang w:eastAsia="en-AU"/>
              </w:rPr>
              <w:t>27</w:t>
            </w:r>
          </w:p>
        </w:tc>
        <w:tc>
          <w:tcPr>
            <w:tcW w:w="1843" w:type="dxa"/>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Pr>
                <w:rFonts w:cs="Arial"/>
                <w:color w:val="000000"/>
                <w:sz w:val="18"/>
                <w:szCs w:val="18"/>
                <w:lang w:eastAsia="en-AU"/>
              </w:rPr>
              <w:t>_</w:t>
            </w:r>
            <w:r w:rsidRPr="00D873B6">
              <w:rPr>
                <w:rFonts w:cs="Arial"/>
                <w:color w:val="000000"/>
                <w:sz w:val="18"/>
                <w:szCs w:val="18"/>
                <w:lang w:eastAsia="en-AU"/>
              </w:rPr>
              <w:t>w01</w:t>
            </w:r>
          </w:p>
        </w:tc>
        <w:tc>
          <w:tcPr>
            <w:tcW w:w="4253" w:type="dxa"/>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sidRPr="00D873B6">
              <w:rPr>
                <w:rFonts w:cs="Arial"/>
                <w:color w:val="000000"/>
                <w:sz w:val="18"/>
                <w:szCs w:val="18"/>
                <w:lang w:eastAsia="en-AU"/>
              </w:rPr>
              <w:t>AN-SNAP inlier/outlier weight</w:t>
            </w:r>
          </w:p>
        </w:tc>
        <w:tc>
          <w:tcPr>
            <w:tcW w:w="6270" w:type="dxa"/>
            <w:shd w:val="clear" w:color="auto" w:fill="auto"/>
            <w:hideMark/>
          </w:tcPr>
          <w:p w:rsidR="00F51276" w:rsidRPr="00FA3851"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Based off _</w:t>
            </w:r>
            <w:proofErr w:type="spellStart"/>
            <w:r w:rsidRPr="00FA3851">
              <w:rPr>
                <w:rFonts w:cs="Arial"/>
                <w:color w:val="000000"/>
                <w:sz w:val="18"/>
                <w:szCs w:val="18"/>
                <w:lang w:eastAsia="en-AU"/>
              </w:rPr>
              <w:t>pat_separation_category</w:t>
            </w:r>
            <w:proofErr w:type="spellEnd"/>
            <w:r w:rsidRPr="00FA3851">
              <w:rPr>
                <w:rFonts w:cs="Arial"/>
                <w:color w:val="000000"/>
                <w:sz w:val="18"/>
                <w:szCs w:val="18"/>
                <w:lang w:eastAsia="en-AU"/>
              </w:rPr>
              <w:t>:</w:t>
            </w:r>
          </w:p>
          <w:p w:rsidR="00F51276" w:rsidRPr="00FA3851"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0: _pat_sameday_flag*paed_pw_sameday+(1-_pat_sameday_flag)*_pat_los*paed_</w:t>
            </w:r>
            <w:r w:rsidR="00501235" w:rsidRPr="00FA3851" w:rsidDel="00501235">
              <w:rPr>
                <w:rFonts w:cs="Arial"/>
                <w:color w:val="000000"/>
                <w:sz w:val="18"/>
                <w:szCs w:val="18"/>
                <w:lang w:eastAsia="en-AU"/>
              </w:rPr>
              <w:t xml:space="preserve"> </w:t>
            </w:r>
            <w:proofErr w:type="spellStart"/>
            <w:r w:rsidRPr="00FA3851">
              <w:rPr>
                <w:rFonts w:cs="Arial"/>
                <w:color w:val="000000"/>
                <w:sz w:val="18"/>
                <w:szCs w:val="18"/>
                <w:lang w:eastAsia="en-AU"/>
              </w:rPr>
              <w:t>overnight</w:t>
            </w:r>
            <w:r w:rsidR="00501235">
              <w:rPr>
                <w:rFonts w:cs="Arial"/>
                <w:color w:val="000000"/>
                <w:sz w:val="18"/>
                <w:szCs w:val="18"/>
                <w:lang w:eastAsia="en-AU"/>
              </w:rPr>
              <w:t>_perdiem</w:t>
            </w:r>
            <w:proofErr w:type="spellEnd"/>
          </w:p>
          <w:p w:rsidR="00F51276" w:rsidRPr="00FA3851"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1: </w:t>
            </w:r>
            <w:proofErr w:type="spellStart"/>
            <w:r w:rsidRPr="00FA3851">
              <w:rPr>
                <w:rFonts w:cs="Arial"/>
                <w:color w:val="000000"/>
                <w:sz w:val="18"/>
                <w:szCs w:val="18"/>
                <w:lang w:eastAsia="en-AU"/>
              </w:rPr>
              <w:t>ansnap_pw_sd</w:t>
            </w:r>
            <w:proofErr w:type="spellEnd"/>
          </w:p>
          <w:p w:rsidR="00F51276" w:rsidRPr="00FA3851"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2: </w:t>
            </w:r>
            <w:proofErr w:type="spellStart"/>
            <w:r w:rsidRPr="00FA3851">
              <w:rPr>
                <w:rFonts w:cs="Arial"/>
                <w:color w:val="000000"/>
                <w:sz w:val="18"/>
                <w:szCs w:val="18"/>
                <w:lang w:eastAsia="en-AU"/>
              </w:rPr>
              <w:t>ansnap_pw_sso_perdiem</w:t>
            </w:r>
            <w:proofErr w:type="spellEnd"/>
            <w:r w:rsidRPr="00FA3851">
              <w:rPr>
                <w:rFonts w:cs="Arial"/>
                <w:color w:val="000000"/>
                <w:sz w:val="18"/>
                <w:szCs w:val="18"/>
                <w:lang w:eastAsia="en-AU"/>
              </w:rPr>
              <w:t xml:space="preserve"> * </w:t>
            </w:r>
            <w:proofErr w:type="spellStart"/>
            <w:r w:rsidRPr="00FA3851">
              <w:rPr>
                <w:rFonts w:cs="Arial"/>
                <w:color w:val="000000"/>
                <w:sz w:val="18"/>
                <w:szCs w:val="18"/>
                <w:lang w:eastAsia="en-AU"/>
              </w:rPr>
              <w:t>pat_los</w:t>
            </w:r>
            <w:proofErr w:type="spellEnd"/>
            <w:r w:rsidRPr="00FA3851">
              <w:rPr>
                <w:rFonts w:cs="Arial"/>
                <w:color w:val="000000"/>
                <w:sz w:val="18"/>
                <w:szCs w:val="18"/>
                <w:lang w:eastAsia="en-AU"/>
              </w:rPr>
              <w:t xml:space="preserve"> </w:t>
            </w:r>
          </w:p>
          <w:p w:rsidR="00F51276" w:rsidRPr="00FA3851"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3: </w:t>
            </w:r>
            <w:proofErr w:type="spellStart"/>
            <w:r w:rsidRPr="00FA3851">
              <w:rPr>
                <w:rFonts w:cs="Arial"/>
                <w:color w:val="000000"/>
                <w:sz w:val="18"/>
                <w:szCs w:val="18"/>
                <w:lang w:eastAsia="en-AU"/>
              </w:rPr>
              <w:t>ansnap_pw_inlier</w:t>
            </w:r>
            <w:proofErr w:type="spellEnd"/>
          </w:p>
          <w:p w:rsidR="00F51276" w:rsidRPr="00D873B6"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 xml:space="preserve">4: </w:t>
            </w:r>
            <w:proofErr w:type="spellStart"/>
            <w:r w:rsidRPr="00FA3851">
              <w:rPr>
                <w:rFonts w:cs="Arial"/>
                <w:color w:val="000000"/>
                <w:sz w:val="18"/>
                <w:szCs w:val="18"/>
                <w:lang w:eastAsia="en-AU"/>
              </w:rPr>
              <w:t>ansnap_pw_inlier</w:t>
            </w:r>
            <w:proofErr w:type="spellEnd"/>
            <w:r w:rsidRPr="00FA3851">
              <w:rPr>
                <w:rFonts w:cs="Arial"/>
                <w:color w:val="000000"/>
                <w:sz w:val="18"/>
                <w:szCs w:val="18"/>
                <w:lang w:eastAsia="en-AU"/>
              </w:rPr>
              <w:t xml:space="preserve"> + ( </w:t>
            </w:r>
            <w:proofErr w:type="spellStart"/>
            <w:r w:rsidRPr="00FA3851">
              <w:rPr>
                <w:rFonts w:cs="Arial"/>
                <w:color w:val="000000"/>
                <w:sz w:val="18"/>
                <w:szCs w:val="18"/>
                <w:lang w:eastAsia="en-AU"/>
              </w:rPr>
              <w:t>pat_los</w:t>
            </w:r>
            <w:proofErr w:type="spellEnd"/>
            <w:r w:rsidRPr="00FA3851">
              <w:rPr>
                <w:rFonts w:cs="Arial"/>
                <w:color w:val="000000"/>
                <w:sz w:val="18"/>
                <w:szCs w:val="18"/>
                <w:lang w:eastAsia="en-AU"/>
              </w:rPr>
              <w:t xml:space="preserve"> - </w:t>
            </w:r>
            <w:proofErr w:type="spellStart"/>
            <w:r w:rsidRPr="00FA3851">
              <w:rPr>
                <w:rFonts w:cs="Arial"/>
                <w:color w:val="000000"/>
                <w:sz w:val="18"/>
                <w:szCs w:val="18"/>
                <w:lang w:eastAsia="en-AU"/>
              </w:rPr>
              <w:t>ansnap_inlier_ub</w:t>
            </w:r>
            <w:proofErr w:type="spellEnd"/>
            <w:r w:rsidRPr="00FA3851">
              <w:rPr>
                <w:rFonts w:cs="Arial"/>
                <w:color w:val="000000"/>
                <w:sz w:val="18"/>
                <w:szCs w:val="18"/>
                <w:lang w:eastAsia="en-AU"/>
              </w:rPr>
              <w:t xml:space="preserve"> ) * </w:t>
            </w:r>
            <w:proofErr w:type="spellStart"/>
            <w:r w:rsidRPr="00FA3851">
              <w:rPr>
                <w:rFonts w:cs="Arial"/>
                <w:color w:val="000000"/>
                <w:sz w:val="18"/>
                <w:szCs w:val="18"/>
                <w:lang w:eastAsia="en-AU"/>
              </w:rPr>
              <w:t>ansnap_pw_lso_perdiem</w:t>
            </w:r>
            <w:proofErr w:type="spellEnd"/>
          </w:p>
        </w:tc>
      </w:tr>
      <w:tr w:rsidR="00F51276" w:rsidRPr="00A13645" w:rsidTr="000A1246">
        <w:trPr>
          <w:cantSplit/>
          <w:trHeight w:val="225"/>
        </w:trPr>
        <w:tc>
          <w:tcPr>
            <w:tcW w:w="776" w:type="dxa"/>
            <w:tcBorders>
              <w:top w:val="nil"/>
              <w:bottom w:val="nil"/>
            </w:tcBorders>
            <w:shd w:val="clear" w:color="auto" w:fill="auto"/>
            <w:noWrap/>
          </w:tcPr>
          <w:p w:rsidR="00F51276" w:rsidRPr="00D873B6" w:rsidRDefault="00F51276" w:rsidP="00920356">
            <w:pPr>
              <w:tabs>
                <w:tab w:val="left" w:pos="1162"/>
              </w:tabs>
              <w:spacing w:before="80" w:after="80"/>
              <w:rPr>
                <w:rFonts w:cs="Arial"/>
                <w:color w:val="000000"/>
                <w:sz w:val="18"/>
                <w:szCs w:val="18"/>
                <w:lang w:eastAsia="en-AU"/>
              </w:rPr>
            </w:pPr>
          </w:p>
        </w:tc>
        <w:tc>
          <w:tcPr>
            <w:tcW w:w="1033" w:type="dxa"/>
            <w:shd w:val="clear" w:color="auto" w:fill="auto"/>
            <w:noWrap/>
            <w:hideMark/>
          </w:tcPr>
          <w:p w:rsidR="00F51276" w:rsidRPr="00D873B6" w:rsidRDefault="00F51276" w:rsidP="00920356">
            <w:pPr>
              <w:tabs>
                <w:tab w:val="left" w:pos="1162"/>
              </w:tabs>
              <w:spacing w:before="80" w:after="80"/>
              <w:jc w:val="center"/>
              <w:rPr>
                <w:rFonts w:cs="Arial"/>
                <w:color w:val="000000"/>
                <w:sz w:val="18"/>
                <w:szCs w:val="18"/>
                <w:lang w:eastAsia="en-AU"/>
              </w:rPr>
            </w:pPr>
            <w:r>
              <w:rPr>
                <w:rFonts w:cs="Arial"/>
                <w:color w:val="000000"/>
                <w:sz w:val="18"/>
                <w:szCs w:val="18"/>
                <w:lang w:eastAsia="en-AU"/>
              </w:rPr>
              <w:t>S28</w:t>
            </w:r>
          </w:p>
        </w:tc>
        <w:tc>
          <w:tcPr>
            <w:tcW w:w="1843" w:type="dxa"/>
            <w:shd w:val="clear" w:color="auto" w:fill="auto"/>
            <w:noWrap/>
            <w:hideMark/>
          </w:tcPr>
          <w:p w:rsidR="00F51276" w:rsidRPr="00D873B6" w:rsidRDefault="001F2FA2" w:rsidP="001F2FA2">
            <w:pPr>
              <w:tabs>
                <w:tab w:val="left" w:pos="1162"/>
              </w:tabs>
              <w:spacing w:before="80" w:after="80"/>
              <w:rPr>
                <w:rFonts w:cs="Arial"/>
                <w:color w:val="000000"/>
                <w:sz w:val="18"/>
                <w:szCs w:val="18"/>
                <w:lang w:eastAsia="en-AU"/>
              </w:rPr>
            </w:pPr>
            <w:r>
              <w:rPr>
                <w:rFonts w:cs="Arial"/>
                <w:color w:val="000000"/>
                <w:sz w:val="18"/>
                <w:szCs w:val="18"/>
                <w:lang w:eastAsia="en-AU"/>
              </w:rPr>
              <w:t>GWAU16</w:t>
            </w:r>
          </w:p>
        </w:tc>
        <w:tc>
          <w:tcPr>
            <w:tcW w:w="4253" w:type="dxa"/>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Pr>
                <w:rFonts w:cs="Arial"/>
                <w:color w:val="000000"/>
                <w:sz w:val="18"/>
                <w:szCs w:val="18"/>
                <w:lang w:eastAsia="en-AU"/>
              </w:rPr>
              <w:t>Gross weighted activity Unit</w:t>
            </w:r>
          </w:p>
        </w:tc>
        <w:tc>
          <w:tcPr>
            <w:tcW w:w="6270" w:type="dxa"/>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Pr>
                <w:rFonts w:cs="Arial"/>
                <w:color w:val="000000"/>
                <w:sz w:val="18"/>
                <w:szCs w:val="18"/>
                <w:lang w:eastAsia="en-AU"/>
              </w:rPr>
              <w:t>_w01*(1+adj_indigenous+adj_remoteness)</w:t>
            </w:r>
          </w:p>
        </w:tc>
      </w:tr>
      <w:tr w:rsidR="00F51276" w:rsidRPr="00A13645" w:rsidTr="000A1246">
        <w:trPr>
          <w:cantSplit/>
          <w:trHeight w:val="450"/>
        </w:trPr>
        <w:tc>
          <w:tcPr>
            <w:tcW w:w="776" w:type="dxa"/>
            <w:tcBorders>
              <w:top w:val="nil"/>
              <w:bottom w:val="nil"/>
            </w:tcBorders>
            <w:shd w:val="clear" w:color="auto" w:fill="auto"/>
            <w:noWrap/>
          </w:tcPr>
          <w:p w:rsidR="00F51276" w:rsidRPr="00D873B6" w:rsidRDefault="00F51276" w:rsidP="00920356">
            <w:pPr>
              <w:tabs>
                <w:tab w:val="left" w:pos="1162"/>
              </w:tabs>
              <w:spacing w:before="80" w:after="80"/>
              <w:rPr>
                <w:rFonts w:cs="Arial"/>
                <w:color w:val="000000"/>
                <w:sz w:val="18"/>
                <w:szCs w:val="18"/>
                <w:lang w:eastAsia="en-AU"/>
              </w:rPr>
            </w:pPr>
          </w:p>
        </w:tc>
        <w:tc>
          <w:tcPr>
            <w:tcW w:w="1033" w:type="dxa"/>
            <w:shd w:val="clear" w:color="auto" w:fill="auto"/>
            <w:noWrap/>
            <w:hideMark/>
          </w:tcPr>
          <w:p w:rsidR="00F51276" w:rsidRPr="00D873B6" w:rsidRDefault="00F51276" w:rsidP="00920356">
            <w:pPr>
              <w:tabs>
                <w:tab w:val="left" w:pos="1162"/>
              </w:tabs>
              <w:spacing w:before="80" w:after="80"/>
              <w:jc w:val="center"/>
              <w:rPr>
                <w:rFonts w:cs="Arial"/>
                <w:color w:val="000000"/>
                <w:sz w:val="18"/>
                <w:szCs w:val="18"/>
                <w:lang w:eastAsia="en-AU"/>
              </w:rPr>
            </w:pPr>
            <w:r w:rsidRPr="00D873B6">
              <w:rPr>
                <w:rFonts w:cs="Arial"/>
                <w:color w:val="000000"/>
                <w:sz w:val="18"/>
                <w:szCs w:val="18"/>
                <w:lang w:eastAsia="en-AU"/>
              </w:rPr>
              <w:t>S</w:t>
            </w:r>
            <w:r>
              <w:rPr>
                <w:rFonts w:cs="Arial"/>
                <w:color w:val="000000"/>
                <w:sz w:val="18"/>
                <w:szCs w:val="18"/>
                <w:lang w:eastAsia="en-AU"/>
              </w:rPr>
              <w:t>29</w:t>
            </w:r>
          </w:p>
        </w:tc>
        <w:tc>
          <w:tcPr>
            <w:tcW w:w="1843" w:type="dxa"/>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adj_privpat_serv</w:t>
            </w:r>
            <w:proofErr w:type="spellEnd"/>
          </w:p>
        </w:tc>
        <w:tc>
          <w:tcPr>
            <w:tcW w:w="4253" w:type="dxa"/>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Private Patient Service adjustment</w:t>
            </w:r>
          </w:p>
        </w:tc>
        <w:tc>
          <w:tcPr>
            <w:tcW w:w="6270" w:type="dxa"/>
            <w:shd w:val="clear" w:color="auto" w:fill="auto"/>
            <w:hideMark/>
          </w:tcPr>
          <w:p w:rsidR="00F51276" w:rsidRPr="00D873B6"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pat_private_flag</w:t>
            </w:r>
            <w:proofErr w:type="spellEnd"/>
            <w:r w:rsidRPr="00FA3851">
              <w:rPr>
                <w:rFonts w:cs="Arial"/>
                <w:color w:val="000000"/>
                <w:sz w:val="18"/>
                <w:szCs w:val="18"/>
                <w:lang w:eastAsia="en-AU"/>
              </w:rPr>
              <w:t xml:space="preserve"> *</w:t>
            </w:r>
            <w:proofErr w:type="spellStart"/>
            <w:r w:rsidRPr="001729CF">
              <w:rPr>
                <w:rFonts w:cs="Arial"/>
                <w:color w:val="000000"/>
                <w:sz w:val="18"/>
                <w:szCs w:val="18"/>
                <w:lang w:eastAsia="en-AU"/>
              </w:rPr>
              <w:t>caretype_adj_privpat_serv</w:t>
            </w:r>
            <w:proofErr w:type="spellEnd"/>
            <w:r w:rsidRPr="00FA3851">
              <w:rPr>
                <w:rFonts w:cs="Arial"/>
                <w:color w:val="000000"/>
                <w:sz w:val="18"/>
                <w:szCs w:val="18"/>
                <w:lang w:eastAsia="en-AU"/>
              </w:rPr>
              <w:t>*(_w01)</w:t>
            </w:r>
            <w:r w:rsidRPr="00FA3851" w:rsidDel="00712BAD">
              <w:rPr>
                <w:rFonts w:cs="Arial"/>
                <w:color w:val="000000"/>
                <w:sz w:val="18"/>
                <w:szCs w:val="18"/>
                <w:lang w:eastAsia="en-AU"/>
              </w:rPr>
              <w:t xml:space="preserve"> </w:t>
            </w:r>
          </w:p>
        </w:tc>
      </w:tr>
      <w:tr w:rsidR="00F51276" w:rsidRPr="00A13645" w:rsidTr="000A1246">
        <w:trPr>
          <w:cantSplit/>
          <w:trHeight w:val="225"/>
        </w:trPr>
        <w:tc>
          <w:tcPr>
            <w:tcW w:w="776" w:type="dxa"/>
            <w:tcBorders>
              <w:top w:val="nil"/>
              <w:bottom w:val="nil"/>
            </w:tcBorders>
            <w:shd w:val="clear" w:color="auto" w:fill="auto"/>
            <w:noWrap/>
          </w:tcPr>
          <w:p w:rsidR="00F51276" w:rsidRPr="00D873B6" w:rsidRDefault="00F51276" w:rsidP="00920356">
            <w:pPr>
              <w:tabs>
                <w:tab w:val="left" w:pos="1162"/>
              </w:tabs>
              <w:spacing w:before="80" w:after="80"/>
              <w:rPr>
                <w:rFonts w:cs="Arial"/>
                <w:color w:val="000000"/>
                <w:sz w:val="18"/>
                <w:szCs w:val="18"/>
                <w:lang w:eastAsia="en-AU"/>
              </w:rPr>
            </w:pPr>
          </w:p>
        </w:tc>
        <w:tc>
          <w:tcPr>
            <w:tcW w:w="1033" w:type="dxa"/>
            <w:shd w:val="clear" w:color="auto" w:fill="auto"/>
            <w:noWrap/>
            <w:hideMark/>
          </w:tcPr>
          <w:p w:rsidR="00F51276" w:rsidRPr="00D873B6" w:rsidRDefault="00F51276" w:rsidP="00920356">
            <w:pPr>
              <w:tabs>
                <w:tab w:val="left" w:pos="1162"/>
              </w:tabs>
              <w:spacing w:before="80" w:after="80"/>
              <w:jc w:val="center"/>
              <w:rPr>
                <w:rFonts w:cs="Arial"/>
                <w:color w:val="000000"/>
                <w:sz w:val="18"/>
                <w:szCs w:val="18"/>
                <w:lang w:eastAsia="en-AU"/>
              </w:rPr>
            </w:pPr>
            <w:r w:rsidRPr="00D873B6">
              <w:rPr>
                <w:rFonts w:cs="Arial"/>
                <w:color w:val="000000"/>
                <w:sz w:val="18"/>
                <w:szCs w:val="18"/>
                <w:lang w:eastAsia="en-AU"/>
              </w:rPr>
              <w:t>S</w:t>
            </w:r>
            <w:r>
              <w:rPr>
                <w:rFonts w:cs="Arial"/>
                <w:color w:val="000000"/>
                <w:sz w:val="18"/>
                <w:szCs w:val="18"/>
                <w:lang w:eastAsia="en-AU"/>
              </w:rPr>
              <w:t>30</w:t>
            </w:r>
          </w:p>
        </w:tc>
        <w:tc>
          <w:tcPr>
            <w:tcW w:w="1843" w:type="dxa"/>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adj_privpat_accom</w:t>
            </w:r>
            <w:proofErr w:type="spellEnd"/>
          </w:p>
        </w:tc>
        <w:tc>
          <w:tcPr>
            <w:tcW w:w="4253" w:type="dxa"/>
            <w:shd w:val="clear" w:color="auto" w:fill="auto"/>
            <w:noWrap/>
            <w:hideMark/>
          </w:tcPr>
          <w:p w:rsidR="00F51276" w:rsidRPr="00D873B6"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Private Patient Accommodation adjustment</w:t>
            </w:r>
          </w:p>
        </w:tc>
        <w:tc>
          <w:tcPr>
            <w:tcW w:w="6270" w:type="dxa"/>
            <w:shd w:val="clear" w:color="auto" w:fill="auto"/>
            <w:noWrap/>
            <w:hideMark/>
          </w:tcPr>
          <w:p w:rsidR="00F51276" w:rsidRPr="00FA3851"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_</w:t>
            </w:r>
            <w:proofErr w:type="spellStart"/>
            <w:r w:rsidRPr="00FA3851">
              <w:rPr>
                <w:rFonts w:cs="Arial"/>
                <w:color w:val="000000"/>
                <w:sz w:val="18"/>
                <w:szCs w:val="18"/>
                <w:lang w:eastAsia="en-AU"/>
              </w:rPr>
              <w:t>pat_private_flag</w:t>
            </w:r>
            <w:proofErr w:type="spellEnd"/>
            <w:r w:rsidRPr="00FA3851">
              <w:rPr>
                <w:rFonts w:cs="Arial"/>
                <w:color w:val="000000"/>
                <w:sz w:val="18"/>
                <w:szCs w:val="18"/>
                <w:lang w:eastAsia="en-AU"/>
              </w:rPr>
              <w:t>*(_</w:t>
            </w:r>
            <w:proofErr w:type="spellStart"/>
            <w:r w:rsidRPr="00FA3851">
              <w:rPr>
                <w:rFonts w:cs="Arial"/>
                <w:color w:val="000000"/>
                <w:sz w:val="18"/>
                <w:szCs w:val="18"/>
                <w:lang w:eastAsia="en-AU"/>
              </w:rPr>
              <w:t>pat_sameday_flag</w:t>
            </w:r>
            <w:proofErr w:type="spellEnd"/>
            <w:r w:rsidRPr="00FA3851">
              <w:rPr>
                <w:rFonts w:cs="Arial"/>
                <w:color w:val="000000"/>
                <w:sz w:val="18"/>
                <w:szCs w:val="18"/>
                <w:lang w:eastAsia="en-AU"/>
              </w:rPr>
              <w:t>*</w:t>
            </w:r>
            <w:proofErr w:type="spellStart"/>
            <w:r w:rsidRPr="00FA3851">
              <w:rPr>
                <w:rFonts w:cs="Arial"/>
                <w:color w:val="000000"/>
                <w:sz w:val="18"/>
                <w:szCs w:val="18"/>
                <w:lang w:eastAsia="en-AU"/>
              </w:rPr>
              <w:t>state_adj_private_accom_sd</w:t>
            </w:r>
            <w:proofErr w:type="spellEnd"/>
            <w:r w:rsidRPr="00FA3851">
              <w:rPr>
                <w:rFonts w:cs="Arial"/>
                <w:color w:val="000000"/>
                <w:sz w:val="18"/>
                <w:szCs w:val="18"/>
                <w:lang w:eastAsia="en-AU"/>
              </w:rPr>
              <w:t>+</w:t>
            </w:r>
          </w:p>
          <w:p w:rsidR="00F51276" w:rsidRPr="00D873B6" w:rsidRDefault="00F51276" w:rsidP="00920356">
            <w:pPr>
              <w:tabs>
                <w:tab w:val="left" w:pos="1162"/>
              </w:tabs>
              <w:spacing w:before="80" w:after="80"/>
              <w:rPr>
                <w:rFonts w:cs="Arial"/>
                <w:color w:val="000000"/>
                <w:sz w:val="18"/>
                <w:szCs w:val="18"/>
                <w:lang w:eastAsia="en-AU"/>
              </w:rPr>
            </w:pPr>
            <w:r w:rsidRPr="00FA3851">
              <w:rPr>
                <w:rFonts w:cs="Arial"/>
                <w:color w:val="000000"/>
                <w:sz w:val="18"/>
                <w:szCs w:val="18"/>
                <w:lang w:eastAsia="en-AU"/>
              </w:rPr>
              <w:t>(1-_pat_sameday_flag)*_</w:t>
            </w:r>
            <w:proofErr w:type="spellStart"/>
            <w:r w:rsidRPr="00FA3851">
              <w:rPr>
                <w:rFonts w:cs="Arial"/>
                <w:color w:val="000000"/>
                <w:sz w:val="18"/>
                <w:szCs w:val="18"/>
                <w:lang w:eastAsia="en-AU"/>
              </w:rPr>
              <w:t>pat_los</w:t>
            </w:r>
            <w:proofErr w:type="spellEnd"/>
            <w:r w:rsidRPr="00FA3851">
              <w:rPr>
                <w:rFonts w:cs="Arial"/>
                <w:color w:val="000000"/>
                <w:sz w:val="18"/>
                <w:szCs w:val="18"/>
                <w:lang w:eastAsia="en-AU"/>
              </w:rPr>
              <w:t>*</w:t>
            </w:r>
            <w:proofErr w:type="spellStart"/>
            <w:r w:rsidRPr="00FA3851">
              <w:rPr>
                <w:rFonts w:cs="Arial"/>
                <w:color w:val="000000"/>
                <w:sz w:val="18"/>
                <w:szCs w:val="18"/>
                <w:lang w:eastAsia="en-AU"/>
              </w:rPr>
              <w:t>state_adj_privpat_accomm_on</w:t>
            </w:r>
            <w:proofErr w:type="spellEnd"/>
            <w:r w:rsidRPr="00FA3851">
              <w:rPr>
                <w:rFonts w:cs="Arial"/>
                <w:color w:val="000000"/>
                <w:sz w:val="18"/>
                <w:szCs w:val="18"/>
                <w:lang w:eastAsia="en-AU"/>
              </w:rPr>
              <w:t>)</w:t>
            </w:r>
          </w:p>
        </w:tc>
      </w:tr>
      <w:tr w:rsidR="00F51276" w:rsidRPr="00A13645" w:rsidTr="000A1246">
        <w:trPr>
          <w:cantSplit/>
          <w:trHeight w:val="450"/>
        </w:trPr>
        <w:tc>
          <w:tcPr>
            <w:tcW w:w="776" w:type="dxa"/>
            <w:tcBorders>
              <w:top w:val="nil"/>
            </w:tcBorders>
            <w:shd w:val="clear" w:color="auto" w:fill="auto"/>
            <w:noWrap/>
          </w:tcPr>
          <w:p w:rsidR="00F51276" w:rsidRPr="00D873B6" w:rsidRDefault="00F51276" w:rsidP="00920356">
            <w:pPr>
              <w:tabs>
                <w:tab w:val="left" w:pos="1162"/>
              </w:tabs>
              <w:spacing w:before="80" w:after="80"/>
              <w:rPr>
                <w:rFonts w:cs="Arial"/>
                <w:color w:val="000000"/>
                <w:sz w:val="18"/>
                <w:szCs w:val="18"/>
                <w:lang w:eastAsia="en-AU"/>
              </w:rPr>
            </w:pPr>
          </w:p>
        </w:tc>
        <w:tc>
          <w:tcPr>
            <w:tcW w:w="1033" w:type="dxa"/>
            <w:shd w:val="clear" w:color="auto" w:fill="auto"/>
            <w:noWrap/>
            <w:hideMark/>
          </w:tcPr>
          <w:p w:rsidR="00F51276" w:rsidRPr="00D873B6" w:rsidRDefault="00F51276" w:rsidP="00920356">
            <w:pPr>
              <w:tabs>
                <w:tab w:val="left" w:pos="1162"/>
              </w:tabs>
              <w:spacing w:before="80" w:after="80"/>
              <w:jc w:val="center"/>
              <w:rPr>
                <w:rFonts w:cs="Arial"/>
                <w:color w:val="000000"/>
                <w:sz w:val="18"/>
                <w:szCs w:val="18"/>
                <w:lang w:eastAsia="en-AU"/>
              </w:rPr>
            </w:pPr>
            <w:r w:rsidRPr="00D873B6">
              <w:rPr>
                <w:rFonts w:cs="Arial"/>
                <w:color w:val="000000"/>
                <w:sz w:val="18"/>
                <w:szCs w:val="18"/>
                <w:lang w:eastAsia="en-AU"/>
              </w:rPr>
              <w:t>S</w:t>
            </w:r>
            <w:r>
              <w:rPr>
                <w:rFonts w:cs="Arial"/>
                <w:color w:val="000000"/>
                <w:sz w:val="18"/>
                <w:szCs w:val="18"/>
                <w:lang w:eastAsia="en-AU"/>
              </w:rPr>
              <w:t>31</w:t>
            </w:r>
          </w:p>
        </w:tc>
        <w:tc>
          <w:tcPr>
            <w:tcW w:w="1843" w:type="dxa"/>
            <w:shd w:val="clear" w:color="auto" w:fill="auto"/>
            <w:noWrap/>
            <w:hideMark/>
          </w:tcPr>
          <w:p w:rsidR="00F51276" w:rsidRPr="00D873B6" w:rsidRDefault="001F2FA2" w:rsidP="001F2FA2">
            <w:pPr>
              <w:tabs>
                <w:tab w:val="left" w:pos="1162"/>
              </w:tabs>
              <w:spacing w:before="80" w:after="80"/>
              <w:rPr>
                <w:rFonts w:cs="Arial"/>
                <w:color w:val="000000"/>
                <w:sz w:val="18"/>
                <w:szCs w:val="18"/>
                <w:lang w:eastAsia="en-AU"/>
              </w:rPr>
            </w:pPr>
            <w:r>
              <w:rPr>
                <w:rFonts w:cs="Arial"/>
                <w:color w:val="000000"/>
                <w:sz w:val="18"/>
                <w:szCs w:val="18"/>
                <w:lang w:eastAsia="en-AU"/>
              </w:rPr>
              <w:t>NWAU16</w:t>
            </w:r>
          </w:p>
        </w:tc>
        <w:tc>
          <w:tcPr>
            <w:tcW w:w="4253" w:type="dxa"/>
            <w:shd w:val="clear" w:color="auto" w:fill="auto"/>
            <w:hideMark/>
          </w:tcPr>
          <w:p w:rsidR="00F51276" w:rsidRPr="00D873B6" w:rsidRDefault="00F51276" w:rsidP="00920356">
            <w:pPr>
              <w:tabs>
                <w:tab w:val="left" w:pos="1162"/>
              </w:tabs>
              <w:spacing w:before="80" w:after="80"/>
              <w:rPr>
                <w:rFonts w:cs="Arial"/>
                <w:color w:val="000000"/>
                <w:sz w:val="18"/>
                <w:szCs w:val="18"/>
                <w:lang w:eastAsia="en-AU"/>
              </w:rPr>
            </w:pPr>
            <w:r>
              <w:rPr>
                <w:rFonts w:cs="Arial"/>
                <w:color w:val="000000"/>
                <w:sz w:val="18"/>
                <w:szCs w:val="18"/>
                <w:lang w:eastAsia="en-AU"/>
              </w:rPr>
              <w:t>National weighted activity unit</w:t>
            </w:r>
          </w:p>
        </w:tc>
        <w:tc>
          <w:tcPr>
            <w:tcW w:w="6270" w:type="dxa"/>
            <w:shd w:val="clear" w:color="auto" w:fill="auto"/>
            <w:hideMark/>
          </w:tcPr>
          <w:p w:rsidR="00F51276" w:rsidRPr="00D873B6" w:rsidRDefault="00F85E47" w:rsidP="001F2FA2">
            <w:pPr>
              <w:tabs>
                <w:tab w:val="left" w:pos="1162"/>
              </w:tabs>
              <w:spacing w:before="80" w:after="80"/>
              <w:rPr>
                <w:rFonts w:cs="Arial"/>
                <w:color w:val="000000"/>
                <w:sz w:val="18"/>
                <w:szCs w:val="18"/>
                <w:lang w:eastAsia="en-AU"/>
              </w:rPr>
            </w:pPr>
            <w:r>
              <w:rPr>
                <w:rFonts w:cs="Arial"/>
                <w:color w:val="000000"/>
                <w:sz w:val="18"/>
                <w:szCs w:val="18"/>
                <w:lang w:eastAsia="en-AU"/>
              </w:rPr>
              <w:t>M</w:t>
            </w:r>
            <w:r w:rsidR="00F51276" w:rsidRPr="00D873B6">
              <w:rPr>
                <w:rFonts w:cs="Arial"/>
                <w:color w:val="000000"/>
                <w:sz w:val="18"/>
                <w:szCs w:val="18"/>
                <w:lang w:eastAsia="en-AU"/>
              </w:rPr>
              <w:t xml:space="preserve">ax( 0, </w:t>
            </w:r>
            <w:r w:rsidR="001F2FA2">
              <w:rPr>
                <w:rFonts w:cs="Arial"/>
                <w:color w:val="000000"/>
                <w:sz w:val="18"/>
                <w:szCs w:val="18"/>
                <w:lang w:eastAsia="en-AU"/>
              </w:rPr>
              <w:t xml:space="preserve">GWAU16 </w:t>
            </w:r>
            <w:r w:rsidR="00F51276">
              <w:rPr>
                <w:rFonts w:cs="Arial"/>
                <w:color w:val="000000"/>
                <w:sz w:val="18"/>
                <w:szCs w:val="18"/>
                <w:lang w:eastAsia="en-AU"/>
              </w:rPr>
              <w:t>- _adj_privpat_</w:t>
            </w:r>
            <w:proofErr w:type="spellStart"/>
            <w:r w:rsidR="00F51276">
              <w:rPr>
                <w:rFonts w:cs="Arial"/>
                <w:color w:val="000000"/>
                <w:sz w:val="18"/>
                <w:szCs w:val="18"/>
                <w:lang w:eastAsia="en-AU"/>
              </w:rPr>
              <w:t>serv</w:t>
            </w:r>
            <w:proofErr w:type="spellEnd"/>
            <w:r w:rsidR="00F51276">
              <w:rPr>
                <w:rFonts w:cs="Arial"/>
                <w:color w:val="000000"/>
                <w:sz w:val="18"/>
                <w:szCs w:val="18"/>
                <w:lang w:eastAsia="en-AU"/>
              </w:rPr>
              <w:t>-_</w:t>
            </w:r>
            <w:proofErr w:type="spellStart"/>
            <w:r w:rsidR="00F51276">
              <w:rPr>
                <w:rFonts w:cs="Arial"/>
                <w:color w:val="000000"/>
                <w:sz w:val="18"/>
                <w:szCs w:val="18"/>
                <w:lang w:eastAsia="en-AU"/>
              </w:rPr>
              <w:t>adj_privpat_accomm</w:t>
            </w:r>
            <w:proofErr w:type="spellEnd"/>
            <w:r w:rsidR="00F51276">
              <w:rPr>
                <w:rFonts w:cs="Arial"/>
                <w:color w:val="000000"/>
                <w:sz w:val="18"/>
                <w:szCs w:val="18"/>
                <w:lang w:eastAsia="en-AU"/>
              </w:rPr>
              <w:t xml:space="preserve">) for only </w:t>
            </w:r>
            <w:r w:rsidR="00347801">
              <w:rPr>
                <w:rFonts w:cs="Arial"/>
                <w:color w:val="000000"/>
                <w:sz w:val="18"/>
                <w:szCs w:val="18"/>
                <w:lang w:eastAsia="en-AU"/>
              </w:rPr>
              <w:t>in-scope</w:t>
            </w:r>
            <w:r w:rsidR="00F51276">
              <w:rPr>
                <w:rFonts w:cs="Arial"/>
                <w:color w:val="000000"/>
                <w:sz w:val="18"/>
                <w:szCs w:val="18"/>
                <w:lang w:eastAsia="en-AU"/>
              </w:rPr>
              <w:t xml:space="preserve"> funding sources</w:t>
            </w:r>
          </w:p>
        </w:tc>
      </w:tr>
    </w:tbl>
    <w:p w:rsidR="00F51276" w:rsidRDefault="00F51276" w:rsidP="00F51276">
      <w:pPr>
        <w:tabs>
          <w:tab w:val="left" w:pos="1162"/>
        </w:tabs>
        <w:rPr>
          <w:szCs w:val="20"/>
        </w:rPr>
      </w:pPr>
    </w:p>
    <w:p w:rsidR="00F51276" w:rsidRDefault="00F51276" w:rsidP="00F51276">
      <w:pPr>
        <w:tabs>
          <w:tab w:val="left" w:pos="1162"/>
        </w:tabs>
        <w:rPr>
          <w:szCs w:val="20"/>
        </w:rPr>
        <w:sectPr w:rsidR="00F51276" w:rsidSect="002049EC">
          <w:pgSz w:w="16839" w:h="11907" w:orient="landscape" w:code="9"/>
          <w:pgMar w:top="1440" w:right="1440" w:bottom="1440" w:left="1440" w:header="709" w:footer="709" w:gutter="0"/>
          <w:cols w:space="708"/>
          <w:docGrid w:linePitch="360"/>
        </w:sectPr>
      </w:pPr>
    </w:p>
    <w:p w:rsidR="00460371" w:rsidRDefault="00460371" w:rsidP="00AD4FFC">
      <w:pPr>
        <w:pStyle w:val="Heading1"/>
        <w:pageBreakBefore/>
        <w:numPr>
          <w:ilvl w:val="0"/>
          <w:numId w:val="35"/>
        </w:numPr>
        <w:spacing w:before="100" w:beforeAutospacing="1" w:after="100" w:afterAutospacing="1"/>
      </w:pPr>
      <w:bookmarkStart w:id="309" w:name="_Toc444528620"/>
      <w:r w:rsidRPr="009E7816">
        <w:t>Emergency care cost model</w:t>
      </w:r>
      <w:bookmarkEnd w:id="232"/>
      <w:bookmarkEnd w:id="233"/>
      <w:bookmarkEnd w:id="309"/>
    </w:p>
    <w:p w:rsidR="00460371" w:rsidRDefault="00460371" w:rsidP="00AD4FFC">
      <w:pPr>
        <w:pStyle w:val="Heading2"/>
        <w:keepLines w:val="0"/>
        <w:numPr>
          <w:ilvl w:val="1"/>
          <w:numId w:val="35"/>
        </w:numPr>
        <w:tabs>
          <w:tab w:val="left" w:pos="1162"/>
        </w:tabs>
        <w:spacing w:after="60"/>
      </w:pPr>
      <w:bookmarkStart w:id="310" w:name="_Toc380754712"/>
      <w:bookmarkStart w:id="311" w:name="_Toc444528621"/>
      <w:r w:rsidRPr="009225AC">
        <w:t>General issues</w:t>
      </w:r>
      <w:bookmarkEnd w:id="310"/>
      <w:bookmarkEnd w:id="311"/>
    </w:p>
    <w:p w:rsidR="00460371" w:rsidRPr="00831C09" w:rsidRDefault="00460371" w:rsidP="00AD4FFC">
      <w:pPr>
        <w:pStyle w:val="Heading3"/>
        <w:keepLines w:val="0"/>
        <w:numPr>
          <w:ilvl w:val="2"/>
          <w:numId w:val="35"/>
        </w:numPr>
        <w:tabs>
          <w:tab w:val="left" w:pos="1162"/>
        </w:tabs>
        <w:spacing w:before="240" w:after="120"/>
      </w:pPr>
      <w:bookmarkStart w:id="312" w:name="_Toc380754713"/>
      <w:bookmarkStart w:id="313" w:name="_Toc444528622"/>
      <w:r>
        <w:t>Cost unit</w:t>
      </w:r>
      <w:bookmarkEnd w:id="312"/>
      <w:bookmarkEnd w:id="313"/>
    </w:p>
    <w:p w:rsidR="00460371" w:rsidRDefault="00460371" w:rsidP="00AD4FFC">
      <w:pPr>
        <w:tabs>
          <w:tab w:val="left" w:pos="1162"/>
        </w:tabs>
        <w:rPr>
          <w:rFonts w:cs="Arial"/>
          <w:szCs w:val="20"/>
        </w:rPr>
      </w:pPr>
      <w:r w:rsidRPr="002909DA">
        <w:rPr>
          <w:rFonts w:cs="Arial"/>
          <w:szCs w:val="20"/>
        </w:rPr>
        <w:t xml:space="preserve">The </w:t>
      </w:r>
      <w:r>
        <w:rPr>
          <w:rFonts w:cs="Arial"/>
          <w:szCs w:val="20"/>
        </w:rPr>
        <w:t xml:space="preserve">cost </w:t>
      </w:r>
      <w:r w:rsidRPr="002909DA">
        <w:rPr>
          <w:rFonts w:cs="Arial"/>
          <w:szCs w:val="20"/>
        </w:rPr>
        <w:t>unit for ABF for emergency care is an ‘emergency department stay’</w:t>
      </w:r>
      <w:r w:rsidRPr="002909DA">
        <w:rPr>
          <w:rStyle w:val="FootnoteReference"/>
          <w:rFonts w:cs="Arial"/>
          <w:szCs w:val="20"/>
        </w:rPr>
        <w:footnoteReference w:id="21"/>
      </w:r>
      <w:r w:rsidRPr="002909DA">
        <w:rPr>
          <w:rFonts w:cs="Arial"/>
          <w:szCs w:val="20"/>
        </w:rPr>
        <w:t xml:space="preserve"> or presentation. It includes stays for patients who are treated and go home, and ones that are subsequently admitted to hospital or transferred to another facility for further care.</w:t>
      </w:r>
    </w:p>
    <w:p w:rsidR="00460371" w:rsidRDefault="00460371" w:rsidP="00AD4FFC">
      <w:pPr>
        <w:pStyle w:val="Heading3"/>
        <w:keepLines w:val="0"/>
        <w:numPr>
          <w:ilvl w:val="2"/>
          <w:numId w:val="35"/>
        </w:numPr>
        <w:tabs>
          <w:tab w:val="left" w:pos="1162"/>
        </w:tabs>
        <w:spacing w:before="240" w:after="120"/>
      </w:pPr>
      <w:bookmarkStart w:id="314" w:name="_Toc380754714"/>
      <w:bookmarkStart w:id="315" w:name="_Toc444528623"/>
      <w:r>
        <w:t>Scope</w:t>
      </w:r>
      <w:bookmarkEnd w:id="314"/>
      <w:bookmarkEnd w:id="315"/>
    </w:p>
    <w:p w:rsidR="00460371" w:rsidRPr="002909DA" w:rsidRDefault="00460371" w:rsidP="00AD4FFC">
      <w:pPr>
        <w:tabs>
          <w:tab w:val="left" w:pos="1162"/>
        </w:tabs>
        <w:rPr>
          <w:rFonts w:cs="Arial"/>
          <w:szCs w:val="20"/>
        </w:rPr>
      </w:pPr>
      <w:r w:rsidRPr="002909DA">
        <w:rPr>
          <w:rFonts w:cs="Arial"/>
          <w:szCs w:val="20"/>
        </w:rPr>
        <w:t xml:space="preserve">Emergency care is that provided to patients registered for care in an emergency department </w:t>
      </w:r>
      <w:r>
        <w:rPr>
          <w:rFonts w:cs="Arial"/>
          <w:szCs w:val="20"/>
        </w:rPr>
        <w:t>with</w:t>
      </w:r>
      <w:r w:rsidRPr="002909DA">
        <w:rPr>
          <w:rFonts w:cs="Arial"/>
          <w:szCs w:val="20"/>
        </w:rPr>
        <w:t xml:space="preserve">in </w:t>
      </w:r>
      <w:r>
        <w:rPr>
          <w:rFonts w:cs="Arial"/>
          <w:szCs w:val="20"/>
        </w:rPr>
        <w:t xml:space="preserve">a </w:t>
      </w:r>
      <w:r w:rsidRPr="002909DA">
        <w:rPr>
          <w:rFonts w:cs="Arial"/>
          <w:szCs w:val="20"/>
        </w:rPr>
        <w:t>selected public hospital</w:t>
      </w:r>
      <w:r>
        <w:rPr>
          <w:rFonts w:cs="Arial"/>
          <w:szCs w:val="20"/>
        </w:rPr>
        <w:t>. P</w:t>
      </w:r>
      <w:r w:rsidRPr="002909DA">
        <w:rPr>
          <w:rFonts w:cs="Arial"/>
          <w:szCs w:val="20"/>
        </w:rPr>
        <w:t xml:space="preserve">atients </w:t>
      </w:r>
      <w:r>
        <w:rPr>
          <w:rFonts w:cs="Arial"/>
          <w:szCs w:val="20"/>
        </w:rPr>
        <w:t>declared</w:t>
      </w:r>
      <w:r w:rsidRPr="002909DA">
        <w:rPr>
          <w:rFonts w:cs="Arial"/>
          <w:szCs w:val="20"/>
        </w:rPr>
        <w:t xml:space="preserve"> dead on arrival are</w:t>
      </w:r>
      <w:r>
        <w:rPr>
          <w:rFonts w:cs="Arial"/>
          <w:szCs w:val="20"/>
        </w:rPr>
        <w:t xml:space="preserve"> considered </w:t>
      </w:r>
      <w:r w:rsidRPr="002909DA">
        <w:rPr>
          <w:rFonts w:cs="Arial"/>
          <w:szCs w:val="20"/>
        </w:rPr>
        <w:t xml:space="preserve">in scope if </w:t>
      </w:r>
      <w:r>
        <w:rPr>
          <w:rFonts w:cs="Arial"/>
          <w:szCs w:val="20"/>
        </w:rPr>
        <w:t xml:space="preserve">the death is certified by </w:t>
      </w:r>
      <w:r w:rsidRPr="002909DA">
        <w:rPr>
          <w:rFonts w:cs="Arial"/>
          <w:szCs w:val="20"/>
        </w:rPr>
        <w:t>an emergency department clinician</w:t>
      </w:r>
      <w:r>
        <w:rPr>
          <w:rFonts w:cs="Arial"/>
          <w:szCs w:val="20"/>
        </w:rPr>
        <w:t xml:space="preserve">. </w:t>
      </w:r>
      <w:r w:rsidR="00C82274" w:rsidRPr="002909DA">
        <w:rPr>
          <w:rFonts w:cs="Arial"/>
          <w:szCs w:val="20"/>
        </w:rPr>
        <w:t>Patients,</w:t>
      </w:r>
      <w:r w:rsidRPr="002909DA">
        <w:rPr>
          <w:rFonts w:cs="Arial"/>
          <w:szCs w:val="20"/>
        </w:rPr>
        <w:t xml:space="preserve"> who leave the emergency department after being triaged and advised of alternative treatment options</w:t>
      </w:r>
      <w:r>
        <w:rPr>
          <w:rFonts w:cs="Arial"/>
          <w:szCs w:val="20"/>
        </w:rPr>
        <w:t>,</w:t>
      </w:r>
      <w:r w:rsidRPr="002909DA">
        <w:rPr>
          <w:rFonts w:cs="Arial"/>
          <w:szCs w:val="20"/>
        </w:rPr>
        <w:t xml:space="preserve"> are also</w:t>
      </w:r>
      <w:r>
        <w:rPr>
          <w:rFonts w:cs="Arial"/>
          <w:szCs w:val="20"/>
        </w:rPr>
        <w:t xml:space="preserve"> considered </w:t>
      </w:r>
      <w:r w:rsidRPr="002909DA">
        <w:rPr>
          <w:rFonts w:cs="Arial"/>
          <w:szCs w:val="20"/>
        </w:rPr>
        <w:t xml:space="preserve">in scope. </w:t>
      </w:r>
    </w:p>
    <w:p w:rsidR="00460371" w:rsidRPr="002909DA" w:rsidRDefault="00460371" w:rsidP="00AD4FFC">
      <w:pPr>
        <w:tabs>
          <w:tab w:val="left" w:pos="1162"/>
        </w:tabs>
        <w:rPr>
          <w:rFonts w:cs="Arial"/>
          <w:szCs w:val="20"/>
        </w:rPr>
      </w:pPr>
      <w:r>
        <w:rPr>
          <w:rFonts w:cs="Arial"/>
          <w:szCs w:val="20"/>
        </w:rPr>
        <w:t xml:space="preserve">All patients in the </w:t>
      </w:r>
      <w:r w:rsidR="00A95010">
        <w:rPr>
          <w:rFonts w:cs="Arial"/>
          <w:szCs w:val="20"/>
        </w:rPr>
        <w:t xml:space="preserve">Non-admitted Patient </w:t>
      </w:r>
      <w:r w:rsidRPr="005B7C15">
        <w:rPr>
          <w:rFonts w:cs="Arial"/>
          <w:szCs w:val="20"/>
        </w:rPr>
        <w:t xml:space="preserve">Emergency Department Care </w:t>
      </w:r>
      <w:r w:rsidR="00463FF1">
        <w:rPr>
          <w:rFonts w:cs="Arial"/>
          <w:szCs w:val="20"/>
        </w:rPr>
        <w:t>(</w:t>
      </w:r>
      <w:r w:rsidR="00A95010">
        <w:rPr>
          <w:rFonts w:cs="Arial"/>
          <w:szCs w:val="20"/>
        </w:rPr>
        <w:t>NAPEDC NMDS</w:t>
      </w:r>
      <w:r w:rsidR="00463FF1">
        <w:rPr>
          <w:rFonts w:cs="Arial"/>
          <w:szCs w:val="20"/>
        </w:rPr>
        <w:t xml:space="preserve">) </w:t>
      </w:r>
      <w:r>
        <w:rPr>
          <w:rFonts w:cs="Arial"/>
          <w:szCs w:val="20"/>
        </w:rPr>
        <w:t xml:space="preserve">and </w:t>
      </w:r>
      <w:r w:rsidR="00890E17">
        <w:rPr>
          <w:rFonts w:cs="Arial"/>
          <w:szCs w:val="20"/>
        </w:rPr>
        <w:t xml:space="preserve">ABF </w:t>
      </w:r>
      <w:r w:rsidRPr="005B7C15">
        <w:rPr>
          <w:rFonts w:cs="Arial"/>
          <w:szCs w:val="20"/>
        </w:rPr>
        <w:t xml:space="preserve">Emergency Services </w:t>
      </w:r>
      <w:r w:rsidR="00890E17">
        <w:rPr>
          <w:rFonts w:cs="Arial"/>
          <w:szCs w:val="20"/>
        </w:rPr>
        <w:t xml:space="preserve">Care </w:t>
      </w:r>
      <w:r w:rsidRPr="005B7C15">
        <w:rPr>
          <w:rFonts w:cs="Arial"/>
          <w:szCs w:val="20"/>
        </w:rPr>
        <w:t xml:space="preserve">DSS </w:t>
      </w:r>
      <w:r w:rsidR="00890E17">
        <w:rPr>
          <w:rFonts w:cs="Arial"/>
          <w:szCs w:val="20"/>
        </w:rPr>
        <w:t>(ABF ESC DSS)</w:t>
      </w:r>
      <w:r w:rsidR="008D4B5F">
        <w:rPr>
          <w:rFonts w:cs="Arial"/>
          <w:szCs w:val="20"/>
        </w:rPr>
        <w:t xml:space="preserve"> </w:t>
      </w:r>
      <w:r>
        <w:rPr>
          <w:rFonts w:cs="Arial"/>
          <w:szCs w:val="20"/>
        </w:rPr>
        <w:t>are in scope.</w:t>
      </w:r>
    </w:p>
    <w:p w:rsidR="00460371" w:rsidRDefault="00460371" w:rsidP="00AD4FFC">
      <w:pPr>
        <w:tabs>
          <w:tab w:val="left" w:pos="1162"/>
        </w:tabs>
        <w:rPr>
          <w:rFonts w:cs="Arial"/>
          <w:szCs w:val="20"/>
        </w:rPr>
      </w:pPr>
      <w:r w:rsidRPr="002909DA">
        <w:rPr>
          <w:rFonts w:cs="Arial"/>
          <w:szCs w:val="20"/>
        </w:rPr>
        <w:t xml:space="preserve">Patients being treated in emergency departments may subsequently become </w:t>
      </w:r>
      <w:r>
        <w:rPr>
          <w:rFonts w:cs="Arial"/>
          <w:szCs w:val="20"/>
        </w:rPr>
        <w:t>‘</w:t>
      </w:r>
      <w:r w:rsidRPr="002909DA">
        <w:rPr>
          <w:rFonts w:cs="Arial"/>
          <w:szCs w:val="20"/>
        </w:rPr>
        <w:t>admitted</w:t>
      </w:r>
      <w:r>
        <w:rPr>
          <w:rFonts w:cs="Arial"/>
          <w:szCs w:val="20"/>
        </w:rPr>
        <w:t>’</w:t>
      </w:r>
      <w:r w:rsidRPr="002909DA">
        <w:rPr>
          <w:rFonts w:cs="Arial"/>
          <w:szCs w:val="20"/>
        </w:rPr>
        <w:t>. All patients remain in scope for ABF for emergency care until they are recorded as having physically departed the emergency department, regardless of w</w:t>
      </w:r>
      <w:r>
        <w:rPr>
          <w:rFonts w:cs="Arial"/>
          <w:szCs w:val="20"/>
        </w:rPr>
        <w:t>hether they have been admitted.</w:t>
      </w:r>
    </w:p>
    <w:p w:rsidR="00460371" w:rsidRDefault="00460371" w:rsidP="00AD4FFC">
      <w:pPr>
        <w:pStyle w:val="Heading3"/>
        <w:keepLines w:val="0"/>
        <w:numPr>
          <w:ilvl w:val="2"/>
          <w:numId w:val="35"/>
        </w:numPr>
        <w:tabs>
          <w:tab w:val="left" w:pos="1162"/>
        </w:tabs>
        <w:spacing w:before="240" w:after="120"/>
      </w:pPr>
      <w:bookmarkStart w:id="316" w:name="_Toc380754715"/>
      <w:bookmarkStart w:id="317" w:name="_Toc444528624"/>
      <w:r>
        <w:t>Classification</w:t>
      </w:r>
      <w:bookmarkEnd w:id="316"/>
      <w:bookmarkEnd w:id="317"/>
    </w:p>
    <w:p w:rsidR="00460371" w:rsidRDefault="00460371" w:rsidP="00AD4FFC">
      <w:pPr>
        <w:tabs>
          <w:tab w:val="left" w:pos="1162"/>
        </w:tabs>
        <w:rPr>
          <w:rFonts w:cs="Arial"/>
          <w:szCs w:val="20"/>
        </w:rPr>
      </w:pPr>
      <w:r w:rsidRPr="002909DA">
        <w:rPr>
          <w:rFonts w:cs="Arial"/>
          <w:szCs w:val="20"/>
        </w:rPr>
        <w:t>Two systems are used to classify emergency care for the purposes of ABF of these services from 1 </w:t>
      </w:r>
      <w:r>
        <w:rPr>
          <w:rFonts w:cs="Arial"/>
          <w:szCs w:val="20"/>
        </w:rPr>
        <w:t>July 2014</w:t>
      </w:r>
      <w:r w:rsidRPr="002909DA">
        <w:rPr>
          <w:rFonts w:cs="Arial"/>
          <w:szCs w:val="20"/>
        </w:rPr>
        <w:t>: Urgency Related Groups (URGs) Version 1.</w:t>
      </w:r>
      <w:r>
        <w:rPr>
          <w:rFonts w:cs="Arial"/>
          <w:szCs w:val="20"/>
        </w:rPr>
        <w:t>4</w:t>
      </w:r>
      <w:r w:rsidRPr="002909DA">
        <w:rPr>
          <w:rFonts w:cs="Arial"/>
          <w:szCs w:val="20"/>
        </w:rPr>
        <w:t xml:space="preserve"> and Urgency Disposition Groups (UDGs) </w:t>
      </w:r>
      <w:r>
        <w:rPr>
          <w:rFonts w:cs="Arial"/>
          <w:szCs w:val="20"/>
        </w:rPr>
        <w:t>V</w:t>
      </w:r>
      <w:r w:rsidRPr="002909DA">
        <w:rPr>
          <w:rFonts w:cs="Arial"/>
          <w:szCs w:val="20"/>
        </w:rPr>
        <w:t>ersion 1.3. The former applies to level 3B to 6 emergency departments, and the latter to all others (i.e. levels 1 to 3A)</w:t>
      </w:r>
      <w:r>
        <w:rPr>
          <w:rFonts w:cs="Arial"/>
          <w:szCs w:val="20"/>
        </w:rPr>
        <w:t xml:space="preserve">. </w:t>
      </w:r>
      <w:r w:rsidRPr="002909DA">
        <w:rPr>
          <w:rFonts w:cs="Arial"/>
          <w:szCs w:val="20"/>
        </w:rPr>
        <w:t>The levels are defined i</w:t>
      </w:r>
      <w:r>
        <w:rPr>
          <w:rFonts w:cs="Arial"/>
          <w:szCs w:val="20"/>
        </w:rPr>
        <w:t xml:space="preserve">n the </w:t>
      </w:r>
      <w:r w:rsidR="00822178" w:rsidRPr="000B33D2">
        <w:rPr>
          <w:rFonts w:cs="Arial"/>
          <w:szCs w:val="20"/>
        </w:rPr>
        <w:t>NEP </w:t>
      </w:r>
      <w:r w:rsidRPr="000B33D2">
        <w:rPr>
          <w:rFonts w:cs="Arial"/>
          <w:szCs w:val="20"/>
        </w:rPr>
        <w:t>Determination</w:t>
      </w:r>
      <w:r>
        <w:rPr>
          <w:rFonts w:cs="Arial"/>
          <w:szCs w:val="20"/>
        </w:rPr>
        <w:t xml:space="preserve"> (Glossary).</w:t>
      </w:r>
    </w:p>
    <w:p w:rsidR="00460371" w:rsidRDefault="00460371" w:rsidP="00AD4FFC">
      <w:pPr>
        <w:pStyle w:val="Heading2"/>
        <w:keepLines w:val="0"/>
        <w:numPr>
          <w:ilvl w:val="1"/>
          <w:numId w:val="35"/>
        </w:numPr>
        <w:tabs>
          <w:tab w:val="left" w:pos="1162"/>
        </w:tabs>
        <w:spacing w:after="60"/>
      </w:pPr>
      <w:bookmarkStart w:id="318" w:name="_Toc380754716"/>
      <w:bookmarkStart w:id="319" w:name="_Toc444528625"/>
      <w:r>
        <w:t>Analysis of costs to derive NWAU for emergency care</w:t>
      </w:r>
      <w:bookmarkEnd w:id="318"/>
      <w:bookmarkEnd w:id="319"/>
    </w:p>
    <w:p w:rsidR="00460371" w:rsidRDefault="00460371" w:rsidP="00AD4FFC">
      <w:pPr>
        <w:pStyle w:val="Heading3"/>
        <w:keepLines w:val="0"/>
        <w:numPr>
          <w:ilvl w:val="2"/>
          <w:numId w:val="35"/>
        </w:numPr>
        <w:tabs>
          <w:tab w:val="left" w:pos="1162"/>
        </w:tabs>
        <w:spacing w:before="240" w:after="120"/>
      </w:pPr>
      <w:bookmarkStart w:id="320" w:name="_Toc380754717"/>
      <w:bookmarkStart w:id="321" w:name="_Toc444528626"/>
      <w:r>
        <w:t>Data preparation</w:t>
      </w:r>
      <w:bookmarkEnd w:id="320"/>
      <w:bookmarkEnd w:id="321"/>
    </w:p>
    <w:p w:rsidR="00755DBD" w:rsidRPr="00755DBD" w:rsidRDefault="00755DBD" w:rsidP="00AD4FFC">
      <w:pPr>
        <w:tabs>
          <w:tab w:val="left" w:pos="1162"/>
        </w:tabs>
        <w:rPr>
          <w:rFonts w:cs="Arial"/>
          <w:szCs w:val="20"/>
        </w:rPr>
      </w:pPr>
      <w:r w:rsidRPr="00755DBD">
        <w:rPr>
          <w:rFonts w:cs="Arial"/>
          <w:szCs w:val="20"/>
        </w:rPr>
        <w:t xml:space="preserve">NHCDC Round </w:t>
      </w:r>
      <w:r w:rsidR="00D87DCA">
        <w:rPr>
          <w:rFonts w:cs="Arial"/>
          <w:szCs w:val="20"/>
        </w:rPr>
        <w:t>18</w:t>
      </w:r>
      <w:r w:rsidR="00D87DCA" w:rsidRPr="00755DBD">
        <w:rPr>
          <w:rFonts w:cs="Arial"/>
          <w:szCs w:val="20"/>
        </w:rPr>
        <w:t xml:space="preserve"> </w:t>
      </w:r>
      <w:r w:rsidRPr="00755DBD">
        <w:rPr>
          <w:rFonts w:cs="Arial"/>
          <w:szCs w:val="20"/>
        </w:rPr>
        <w:t xml:space="preserve">reported </w:t>
      </w:r>
      <w:r w:rsidR="00E31DFC">
        <w:rPr>
          <w:rFonts w:cs="Arial"/>
          <w:szCs w:val="20"/>
        </w:rPr>
        <w:t xml:space="preserve">6,552,970 </w:t>
      </w:r>
      <w:r w:rsidRPr="00E31DFC">
        <w:rPr>
          <w:rFonts w:cs="Arial"/>
          <w:szCs w:val="20"/>
        </w:rPr>
        <w:t xml:space="preserve">presentations in </w:t>
      </w:r>
      <w:r w:rsidR="00E31DFC">
        <w:rPr>
          <w:rFonts w:cs="Arial"/>
          <w:szCs w:val="20"/>
        </w:rPr>
        <w:t>174</w:t>
      </w:r>
      <w:r w:rsidR="00E31DFC" w:rsidRPr="00E31DFC">
        <w:rPr>
          <w:rFonts w:cs="Arial"/>
          <w:szCs w:val="20"/>
        </w:rPr>
        <w:t xml:space="preserve"> </w:t>
      </w:r>
      <w:r w:rsidRPr="00E31DFC">
        <w:rPr>
          <w:rFonts w:cs="Arial"/>
          <w:szCs w:val="20"/>
        </w:rPr>
        <w:t xml:space="preserve">ABF establishments with patient-level cost data. This represents </w:t>
      </w:r>
      <w:r w:rsidR="00E31DFC">
        <w:rPr>
          <w:rFonts w:cs="Arial"/>
          <w:szCs w:val="20"/>
        </w:rPr>
        <w:t>95</w:t>
      </w:r>
      <w:r w:rsidR="00E31DFC" w:rsidRPr="00E31DFC">
        <w:rPr>
          <w:rFonts w:cs="Arial"/>
          <w:szCs w:val="20"/>
        </w:rPr>
        <w:t xml:space="preserve"> </w:t>
      </w:r>
      <w:r w:rsidRPr="00E31DFC">
        <w:rPr>
          <w:rFonts w:cs="Arial"/>
          <w:szCs w:val="20"/>
        </w:rPr>
        <w:t xml:space="preserve">per cent of the total </w:t>
      </w:r>
      <w:r w:rsidR="00D22B50" w:rsidRPr="00E31DFC">
        <w:rPr>
          <w:rFonts w:cs="Arial"/>
          <w:szCs w:val="20"/>
        </w:rPr>
        <w:t xml:space="preserve">emergency care </w:t>
      </w:r>
      <w:r w:rsidRPr="00E31DFC">
        <w:rPr>
          <w:rFonts w:cs="Arial"/>
          <w:szCs w:val="20"/>
        </w:rPr>
        <w:t>population as reported in the ABF DSS dataset</w:t>
      </w:r>
      <w:r w:rsidR="00463FF1" w:rsidRPr="00E31DFC">
        <w:rPr>
          <w:rFonts w:cs="Arial"/>
          <w:szCs w:val="20"/>
        </w:rPr>
        <w:t>s</w:t>
      </w:r>
      <w:r w:rsidRPr="00E31DFC">
        <w:rPr>
          <w:rFonts w:cs="Arial"/>
          <w:szCs w:val="20"/>
        </w:rPr>
        <w:t xml:space="preserve"> and NPHED.</w:t>
      </w:r>
    </w:p>
    <w:p w:rsidR="00460371" w:rsidRPr="000D5149" w:rsidRDefault="009F697A" w:rsidP="00AD4FFC">
      <w:pPr>
        <w:tabs>
          <w:tab w:val="left" w:pos="1162"/>
        </w:tabs>
        <w:rPr>
          <w:rFonts w:cs="Arial"/>
          <w:szCs w:val="20"/>
        </w:rPr>
      </w:pPr>
      <w:r>
        <w:rPr>
          <w:rFonts w:cs="Arial"/>
          <w:szCs w:val="20"/>
        </w:rPr>
        <w:t>IHPA undertook an</w:t>
      </w:r>
      <w:r w:rsidR="00460371" w:rsidRPr="002909DA">
        <w:rPr>
          <w:rFonts w:cs="Arial"/>
          <w:szCs w:val="20"/>
        </w:rPr>
        <w:t xml:space="preserve"> initial data preparation processes </w:t>
      </w:r>
      <w:r>
        <w:rPr>
          <w:rFonts w:cs="Arial"/>
          <w:szCs w:val="20"/>
        </w:rPr>
        <w:t>in line with that employed</w:t>
      </w:r>
      <w:r w:rsidR="00460371" w:rsidRPr="002909DA">
        <w:rPr>
          <w:rFonts w:cs="Arial"/>
          <w:szCs w:val="20"/>
        </w:rPr>
        <w:t xml:space="preserve"> </w:t>
      </w:r>
      <w:r w:rsidR="00460371">
        <w:rPr>
          <w:rFonts w:cs="Arial"/>
          <w:szCs w:val="20"/>
        </w:rPr>
        <w:t xml:space="preserve">for </w:t>
      </w:r>
      <w:r w:rsidR="00D87DCA">
        <w:rPr>
          <w:rFonts w:cs="Arial"/>
          <w:szCs w:val="20"/>
        </w:rPr>
        <w:t>NEP15</w:t>
      </w:r>
      <w:r w:rsidR="00460371">
        <w:rPr>
          <w:rFonts w:cs="Arial"/>
          <w:szCs w:val="20"/>
        </w:rPr>
        <w:t xml:space="preserve">. </w:t>
      </w:r>
      <w:r w:rsidR="00460371" w:rsidRPr="000D5149">
        <w:rPr>
          <w:rFonts w:cs="Arial"/>
          <w:szCs w:val="20"/>
        </w:rPr>
        <w:t xml:space="preserve">The cleansed data </w:t>
      </w:r>
      <w:r w:rsidR="0045546E">
        <w:rPr>
          <w:rFonts w:cs="Arial"/>
          <w:szCs w:val="20"/>
        </w:rPr>
        <w:t>is</w:t>
      </w:r>
      <w:r w:rsidR="00460371" w:rsidRPr="000D5149">
        <w:rPr>
          <w:rFonts w:cs="Arial"/>
          <w:szCs w:val="20"/>
        </w:rPr>
        <w:t xml:space="preserve"> </w:t>
      </w:r>
      <w:r w:rsidR="00460371">
        <w:rPr>
          <w:rFonts w:cs="Arial"/>
          <w:szCs w:val="20"/>
        </w:rPr>
        <w:t xml:space="preserve">episode level data grouped by </w:t>
      </w:r>
      <w:r w:rsidR="00460371" w:rsidRPr="000D5149">
        <w:rPr>
          <w:rFonts w:cs="Arial"/>
          <w:szCs w:val="20"/>
        </w:rPr>
        <w:t xml:space="preserve">URG </w:t>
      </w:r>
      <w:r w:rsidR="00460371">
        <w:rPr>
          <w:rFonts w:cs="Arial"/>
          <w:szCs w:val="20"/>
        </w:rPr>
        <w:t xml:space="preserve">or </w:t>
      </w:r>
      <w:r w:rsidR="00460371" w:rsidRPr="000D5149">
        <w:rPr>
          <w:rFonts w:cs="Arial"/>
          <w:szCs w:val="20"/>
        </w:rPr>
        <w:t>UDG</w:t>
      </w:r>
      <w:r w:rsidR="00460371">
        <w:rPr>
          <w:rFonts w:cs="Arial"/>
          <w:szCs w:val="20"/>
        </w:rPr>
        <w:t>. The following data</w:t>
      </w:r>
      <w:r w:rsidR="00460371" w:rsidRPr="000D5149">
        <w:rPr>
          <w:rFonts w:cs="Arial"/>
          <w:szCs w:val="20"/>
        </w:rPr>
        <w:t xml:space="preserve"> </w:t>
      </w:r>
      <w:r w:rsidR="00460371">
        <w:rPr>
          <w:rFonts w:cs="Arial"/>
          <w:szCs w:val="20"/>
        </w:rPr>
        <w:t xml:space="preserve">was not used in deriving relativities across URGs and UDGs, but was used to calibrate the overall cost level of the model. This was done in a similar way to the integration of aggregate-level cost data in the </w:t>
      </w:r>
      <w:r w:rsidR="001C6800">
        <w:rPr>
          <w:rFonts w:cs="Arial"/>
          <w:szCs w:val="20"/>
        </w:rPr>
        <w:t>admitted acute</w:t>
      </w:r>
      <w:r w:rsidR="00460371">
        <w:rPr>
          <w:rFonts w:cs="Arial"/>
          <w:szCs w:val="20"/>
        </w:rPr>
        <w:t xml:space="preserve"> model</w:t>
      </w:r>
      <w:r w:rsidR="00460371" w:rsidRPr="000D5149">
        <w:rPr>
          <w:rFonts w:cs="Arial"/>
          <w:szCs w:val="20"/>
        </w:rPr>
        <w:t>:</w:t>
      </w:r>
    </w:p>
    <w:p w:rsidR="00460371" w:rsidRPr="00703353" w:rsidRDefault="00460371" w:rsidP="00AD4FFC">
      <w:pPr>
        <w:pStyle w:val="ListParagraph"/>
        <w:numPr>
          <w:ilvl w:val="0"/>
          <w:numId w:val="25"/>
        </w:numPr>
        <w:tabs>
          <w:tab w:val="left" w:pos="1162"/>
        </w:tabs>
        <w:spacing w:before="80" w:after="0"/>
        <w:ind w:left="714" w:hanging="357"/>
        <w:rPr>
          <w:rFonts w:cs="Arial"/>
          <w:szCs w:val="20"/>
        </w:rPr>
      </w:pPr>
      <w:r w:rsidRPr="00703353">
        <w:rPr>
          <w:rFonts w:cs="Arial"/>
          <w:szCs w:val="20"/>
        </w:rPr>
        <w:t xml:space="preserve">Aggregate data provided at the establishment level in NHCDC Round </w:t>
      </w:r>
      <w:r w:rsidR="00D87DCA">
        <w:rPr>
          <w:rFonts w:cs="Arial"/>
          <w:szCs w:val="20"/>
        </w:rPr>
        <w:t>18</w:t>
      </w:r>
      <w:r w:rsidR="00D87DCA" w:rsidRPr="00703353">
        <w:rPr>
          <w:rFonts w:cs="Arial"/>
          <w:szCs w:val="20"/>
        </w:rPr>
        <w:t xml:space="preserve"> </w:t>
      </w:r>
      <w:r w:rsidRPr="00703353">
        <w:rPr>
          <w:rFonts w:cs="Arial"/>
          <w:szCs w:val="20"/>
        </w:rPr>
        <w:t>such as for cost modelled sites;</w:t>
      </w:r>
    </w:p>
    <w:p w:rsidR="00460371" w:rsidRPr="00703353" w:rsidRDefault="00460371" w:rsidP="00AD4FFC">
      <w:pPr>
        <w:pStyle w:val="ListParagraph"/>
        <w:numPr>
          <w:ilvl w:val="0"/>
          <w:numId w:val="25"/>
        </w:numPr>
        <w:tabs>
          <w:tab w:val="left" w:pos="1162"/>
        </w:tabs>
        <w:spacing w:before="80" w:after="0"/>
        <w:ind w:left="714" w:hanging="357"/>
        <w:rPr>
          <w:rFonts w:cs="Arial"/>
          <w:szCs w:val="20"/>
        </w:rPr>
      </w:pPr>
      <w:r>
        <w:rPr>
          <w:rFonts w:cs="Arial"/>
          <w:szCs w:val="20"/>
        </w:rPr>
        <w:t xml:space="preserve">Presentations that grouped to error URGs and UDGs due to missing or invalid </w:t>
      </w:r>
      <w:r w:rsidRPr="00703353">
        <w:rPr>
          <w:rFonts w:cs="Arial"/>
          <w:szCs w:val="20"/>
        </w:rPr>
        <w:t xml:space="preserve">data </w:t>
      </w:r>
      <w:r>
        <w:rPr>
          <w:rFonts w:cs="Arial"/>
          <w:szCs w:val="20"/>
        </w:rPr>
        <w:t>fields</w:t>
      </w:r>
      <w:r w:rsidRPr="00703353">
        <w:rPr>
          <w:rFonts w:cs="Arial"/>
          <w:szCs w:val="20"/>
        </w:rPr>
        <w:t>;</w:t>
      </w:r>
    </w:p>
    <w:p w:rsidR="00460371" w:rsidRPr="000D5149" w:rsidRDefault="00460371" w:rsidP="00AD4FFC">
      <w:pPr>
        <w:pStyle w:val="ListParagraph"/>
        <w:numPr>
          <w:ilvl w:val="0"/>
          <w:numId w:val="25"/>
        </w:numPr>
        <w:tabs>
          <w:tab w:val="left" w:pos="1162"/>
        </w:tabs>
        <w:spacing w:before="80" w:after="0"/>
        <w:ind w:left="714" w:hanging="357"/>
        <w:rPr>
          <w:rFonts w:cs="Arial"/>
          <w:szCs w:val="20"/>
        </w:rPr>
      </w:pPr>
      <w:r w:rsidRPr="000D5149">
        <w:rPr>
          <w:rFonts w:cs="Arial"/>
          <w:szCs w:val="20"/>
        </w:rPr>
        <w:t xml:space="preserve">Presentations that were less than </w:t>
      </w:r>
      <w:r w:rsidRPr="00D22B6B">
        <w:rPr>
          <w:rFonts w:cs="Arial"/>
          <w:szCs w:val="20"/>
        </w:rPr>
        <w:t>$5</w:t>
      </w:r>
      <w:r w:rsidRPr="000D5149">
        <w:rPr>
          <w:rFonts w:cs="Arial"/>
          <w:szCs w:val="20"/>
        </w:rPr>
        <w:t>; and</w:t>
      </w:r>
    </w:p>
    <w:p w:rsidR="00460371" w:rsidRDefault="00460371" w:rsidP="00AD4FFC">
      <w:pPr>
        <w:pStyle w:val="ListParagraph"/>
        <w:numPr>
          <w:ilvl w:val="0"/>
          <w:numId w:val="25"/>
        </w:numPr>
        <w:tabs>
          <w:tab w:val="left" w:pos="1162"/>
        </w:tabs>
        <w:spacing w:before="80" w:after="0"/>
        <w:ind w:left="714" w:hanging="357"/>
        <w:rPr>
          <w:rFonts w:cs="Arial"/>
          <w:szCs w:val="20"/>
        </w:rPr>
      </w:pPr>
      <w:r>
        <w:rPr>
          <w:rFonts w:cs="Arial"/>
          <w:szCs w:val="20"/>
        </w:rPr>
        <w:t xml:space="preserve">Extreme cost outliers within each </w:t>
      </w:r>
      <w:r w:rsidRPr="000D5149">
        <w:rPr>
          <w:rFonts w:cs="Arial"/>
          <w:szCs w:val="20"/>
        </w:rPr>
        <w:t xml:space="preserve">UDG </w:t>
      </w:r>
      <w:r>
        <w:rPr>
          <w:rFonts w:cs="Arial"/>
          <w:szCs w:val="20"/>
        </w:rPr>
        <w:t>class</w:t>
      </w:r>
      <w:r w:rsidRPr="000D5149">
        <w:rPr>
          <w:rFonts w:cs="Arial"/>
          <w:szCs w:val="20"/>
        </w:rPr>
        <w:t>.</w:t>
      </w:r>
    </w:p>
    <w:p w:rsidR="00460371" w:rsidRDefault="00460371" w:rsidP="00AD4FFC">
      <w:pPr>
        <w:pStyle w:val="Heading3"/>
        <w:keepLines w:val="0"/>
        <w:numPr>
          <w:ilvl w:val="2"/>
          <w:numId w:val="35"/>
        </w:numPr>
        <w:tabs>
          <w:tab w:val="left" w:pos="1162"/>
        </w:tabs>
        <w:spacing w:before="240" w:after="120"/>
      </w:pPr>
      <w:bookmarkStart w:id="322" w:name="_Toc380754718"/>
      <w:bookmarkStart w:id="323" w:name="_Toc444528627"/>
      <w:r>
        <w:t>Sample weights</w:t>
      </w:r>
      <w:bookmarkEnd w:id="322"/>
      <w:bookmarkEnd w:id="323"/>
    </w:p>
    <w:p w:rsidR="00460371" w:rsidRDefault="00460371" w:rsidP="00AD4FFC">
      <w:pPr>
        <w:tabs>
          <w:tab w:val="left" w:pos="1162"/>
        </w:tabs>
        <w:rPr>
          <w:rFonts w:cs="Arial"/>
          <w:szCs w:val="20"/>
        </w:rPr>
      </w:pPr>
      <w:r w:rsidRPr="00D2117F">
        <w:rPr>
          <w:rFonts w:cs="Arial"/>
          <w:szCs w:val="20"/>
        </w:rPr>
        <w:t>The NHCDC provides a sample of emergency care activity in public hospitals</w:t>
      </w:r>
      <w:r>
        <w:rPr>
          <w:rFonts w:cs="Arial"/>
          <w:szCs w:val="20"/>
        </w:rPr>
        <w:t xml:space="preserve">. </w:t>
      </w:r>
      <w:r w:rsidRPr="00D2117F">
        <w:rPr>
          <w:rFonts w:cs="Arial"/>
          <w:szCs w:val="20"/>
        </w:rPr>
        <w:t xml:space="preserve">To ensure the resulting calculations for the NWAU </w:t>
      </w:r>
      <w:r>
        <w:rPr>
          <w:rFonts w:cs="Arial"/>
          <w:szCs w:val="20"/>
        </w:rPr>
        <w:t>are</w:t>
      </w:r>
      <w:r w:rsidRPr="00D2117F">
        <w:rPr>
          <w:rFonts w:cs="Arial"/>
          <w:szCs w:val="20"/>
        </w:rPr>
        <w:t xml:space="preserve"> appropriate for the full population of emergency care activity, observations from the NHCDC </w:t>
      </w:r>
      <w:r>
        <w:rPr>
          <w:rFonts w:cs="Arial"/>
          <w:szCs w:val="20"/>
        </w:rPr>
        <w:t>are</w:t>
      </w:r>
      <w:r w:rsidRPr="00D2117F">
        <w:rPr>
          <w:rFonts w:cs="Arial"/>
          <w:szCs w:val="20"/>
        </w:rPr>
        <w:t xml:space="preserve"> weighted up to reflect the entire population of emergency care activity by state/territory.</w:t>
      </w:r>
    </w:p>
    <w:p w:rsidR="00460371" w:rsidRDefault="00460371" w:rsidP="00AD4FFC">
      <w:pPr>
        <w:pStyle w:val="Heading3"/>
        <w:keepLines w:val="0"/>
        <w:numPr>
          <w:ilvl w:val="2"/>
          <w:numId w:val="35"/>
        </w:numPr>
        <w:tabs>
          <w:tab w:val="left" w:pos="1162"/>
        </w:tabs>
        <w:spacing w:before="240" w:after="120"/>
      </w:pPr>
      <w:bookmarkStart w:id="324" w:name="_Toc380754719"/>
      <w:bookmarkStart w:id="325" w:name="_Toc444528628"/>
      <w:r>
        <w:t>Cost parameters and adjustments</w:t>
      </w:r>
      <w:bookmarkEnd w:id="324"/>
      <w:bookmarkEnd w:id="325"/>
    </w:p>
    <w:p w:rsidR="00460371" w:rsidRDefault="00460371" w:rsidP="00AD4FFC">
      <w:pPr>
        <w:tabs>
          <w:tab w:val="left" w:pos="1162"/>
        </w:tabs>
        <w:rPr>
          <w:rFonts w:cs="Arial"/>
          <w:szCs w:val="20"/>
        </w:rPr>
      </w:pPr>
      <w:r>
        <w:rPr>
          <w:rFonts w:cs="Arial"/>
          <w:szCs w:val="20"/>
        </w:rPr>
        <w:t xml:space="preserve">Data enters the cost model at one of three levels: by URG, by UDG, or aggregated to an establishment level. URG data was used to derive an initial set of URG cost parameters. The URG and UDG data was combined to obtain cost parameters across UDGs, and the URG parameters were then calibrated against the UDG parameters. Finally, the URG and UDG datasets were combined with the aggregate data (controlled for UDG </w:t>
      </w:r>
      <w:proofErr w:type="spellStart"/>
      <w:r>
        <w:rPr>
          <w:rFonts w:cs="Arial"/>
          <w:szCs w:val="20"/>
        </w:rPr>
        <w:t>casemix</w:t>
      </w:r>
      <w:proofErr w:type="spellEnd"/>
      <w:r>
        <w:rPr>
          <w:rFonts w:cs="Arial"/>
          <w:szCs w:val="20"/>
        </w:rPr>
        <w:t>) to obtain an overall cost level across the entire sample. The URG and UDG cost parameters are calibrated against this cost level.</w:t>
      </w:r>
    </w:p>
    <w:p w:rsidR="00460371" w:rsidRDefault="00460371" w:rsidP="00AD4FFC">
      <w:pPr>
        <w:tabs>
          <w:tab w:val="left" w:pos="1162"/>
        </w:tabs>
        <w:rPr>
          <w:rFonts w:cs="Arial"/>
          <w:szCs w:val="20"/>
        </w:rPr>
      </w:pPr>
      <w:r>
        <w:rPr>
          <w:rFonts w:cs="Arial"/>
          <w:szCs w:val="20"/>
        </w:rPr>
        <w:t xml:space="preserve">This process ensures that the URG and UDG cost parameters are aligned and the overall model costs are </w:t>
      </w:r>
      <w:r w:rsidR="00C82274">
        <w:rPr>
          <w:rFonts w:cs="Arial"/>
          <w:szCs w:val="20"/>
        </w:rPr>
        <w:t>equalled</w:t>
      </w:r>
      <w:r>
        <w:rPr>
          <w:rFonts w:cs="Arial"/>
          <w:szCs w:val="20"/>
        </w:rPr>
        <w:t xml:space="preserve"> to actual costs.</w:t>
      </w:r>
    </w:p>
    <w:p w:rsidR="00E31DFC" w:rsidRDefault="00E31DFC" w:rsidP="00E31DFC">
      <w:pPr>
        <w:tabs>
          <w:tab w:val="left" w:pos="1162"/>
        </w:tabs>
      </w:pPr>
      <w:r>
        <w:t xml:space="preserve">The approach to pricing emergency care services was changed in NEP16 to incorporate an adjustment for patient age. A discrete age adjustment is calculated and applied to emergency service patients aged 65 </w:t>
      </w:r>
      <w:r w:rsidR="006048E5">
        <w:t xml:space="preserve">to 79 years </w:t>
      </w:r>
      <w:r w:rsidR="00126926">
        <w:t xml:space="preserve">inclusive </w:t>
      </w:r>
      <w:r w:rsidR="006048E5">
        <w:t>and over 79 years.</w:t>
      </w:r>
    </w:p>
    <w:p w:rsidR="006843A3" w:rsidRDefault="006843A3" w:rsidP="00E31DFC">
      <w:pPr>
        <w:tabs>
          <w:tab w:val="left" w:pos="1162"/>
        </w:tabs>
      </w:pPr>
      <w:r>
        <w:t xml:space="preserve">The current National Pricing Model Stability Policy requires that the year-to-year movement in price weights be restricted to a maximum of 20 per cent.  Application of this policy results in the stabilisation of URG038 </w:t>
      </w:r>
      <w:r w:rsidR="002B0212">
        <w:t>(</w:t>
      </w:r>
      <w:r w:rsidR="00501235" w:rsidRPr="006044ED">
        <w:rPr>
          <w:i/>
        </w:rPr>
        <w:t>dead on arrival w any MDB</w:t>
      </w:r>
      <w:r w:rsidR="002B0212">
        <w:rPr>
          <w:i/>
        </w:rPr>
        <w:t>)</w:t>
      </w:r>
      <w:r w:rsidR="00501235">
        <w:t xml:space="preserve"> </w:t>
      </w:r>
      <w:r>
        <w:t xml:space="preserve">and the corresponding UDG12, which decreased by more than 45 per cent in NEP16.  This results in a stabilised price weight of 0.0501. </w:t>
      </w:r>
    </w:p>
    <w:p w:rsidR="00460371" w:rsidRDefault="00460371" w:rsidP="00AD4FFC">
      <w:pPr>
        <w:pStyle w:val="Heading3"/>
        <w:keepLines w:val="0"/>
        <w:numPr>
          <w:ilvl w:val="2"/>
          <w:numId w:val="35"/>
        </w:numPr>
        <w:spacing w:before="240" w:after="120"/>
      </w:pPr>
      <w:bookmarkStart w:id="326" w:name="_Toc436150705"/>
      <w:bookmarkStart w:id="327" w:name="_Toc436211167"/>
      <w:bookmarkStart w:id="328" w:name="_Toc436217326"/>
      <w:bookmarkStart w:id="329" w:name="_Toc436222146"/>
      <w:bookmarkStart w:id="330" w:name="_Toc436228456"/>
      <w:bookmarkStart w:id="331" w:name="_Toc380754720"/>
      <w:bookmarkStart w:id="332" w:name="_Toc444528629"/>
      <w:bookmarkEnd w:id="326"/>
      <w:bookmarkEnd w:id="327"/>
      <w:bookmarkEnd w:id="328"/>
      <w:bookmarkEnd w:id="329"/>
      <w:bookmarkEnd w:id="330"/>
      <w:r w:rsidRPr="004E7836">
        <w:t>Price weights and NWAU</w:t>
      </w:r>
      <w:bookmarkEnd w:id="331"/>
      <w:bookmarkEnd w:id="332"/>
    </w:p>
    <w:p w:rsidR="00460371" w:rsidRDefault="00460371" w:rsidP="00AD4FFC">
      <w:pPr>
        <w:tabs>
          <w:tab w:val="left" w:pos="1162"/>
        </w:tabs>
        <w:rPr>
          <w:rFonts w:cs="Arial"/>
          <w:szCs w:val="20"/>
        </w:rPr>
      </w:pPr>
      <w:r>
        <w:rPr>
          <w:rFonts w:cs="Arial"/>
          <w:szCs w:val="20"/>
        </w:rPr>
        <w:t xml:space="preserve">The final step of the process involves the conversion of cost parameters to cost weights. This is done by </w:t>
      </w:r>
      <w:r w:rsidRPr="00D2117F">
        <w:rPr>
          <w:rFonts w:cs="Arial"/>
          <w:szCs w:val="20"/>
        </w:rPr>
        <w:t xml:space="preserve">dividing the URG and UDG </w:t>
      </w:r>
      <w:r>
        <w:rPr>
          <w:rFonts w:cs="Arial"/>
          <w:szCs w:val="20"/>
        </w:rPr>
        <w:t>cost parameters</w:t>
      </w:r>
      <w:r w:rsidRPr="00D2117F">
        <w:rPr>
          <w:rFonts w:cs="Arial"/>
          <w:szCs w:val="20"/>
        </w:rPr>
        <w:t xml:space="preserve"> by the </w:t>
      </w:r>
      <w:r>
        <w:rPr>
          <w:rFonts w:cs="Arial"/>
          <w:szCs w:val="20"/>
        </w:rPr>
        <w:t>reference</w:t>
      </w:r>
      <w:r w:rsidRPr="0068154B">
        <w:rPr>
          <w:rFonts w:cs="Arial"/>
          <w:szCs w:val="20"/>
        </w:rPr>
        <w:t xml:space="preserve"> cost for </w:t>
      </w:r>
      <w:r>
        <w:rPr>
          <w:rFonts w:cs="Arial"/>
          <w:szCs w:val="20"/>
        </w:rPr>
        <w:t xml:space="preserve">the </w:t>
      </w:r>
      <w:r w:rsidR="001C6800">
        <w:rPr>
          <w:rFonts w:cs="Arial"/>
          <w:szCs w:val="20"/>
        </w:rPr>
        <w:t>admitted acute</w:t>
      </w:r>
      <w:r>
        <w:rPr>
          <w:rFonts w:cs="Arial"/>
          <w:szCs w:val="20"/>
        </w:rPr>
        <w:t xml:space="preserve"> cost model</w:t>
      </w:r>
      <w:r w:rsidRPr="00D2117F">
        <w:rPr>
          <w:rFonts w:cs="Arial"/>
          <w:szCs w:val="20"/>
        </w:rPr>
        <w:t>.</w:t>
      </w:r>
      <w:r>
        <w:rPr>
          <w:rFonts w:cs="Arial"/>
          <w:szCs w:val="20"/>
        </w:rPr>
        <w:t xml:space="preserve"> These cost weights are then converted to the price weights used to calculate NWAU</w:t>
      </w:r>
      <w:r w:rsidRPr="00D2117F">
        <w:rPr>
          <w:rFonts w:cs="Arial"/>
          <w:szCs w:val="20"/>
        </w:rPr>
        <w:t>.</w:t>
      </w:r>
    </w:p>
    <w:p w:rsidR="00E74059" w:rsidRDefault="00E74059" w:rsidP="00E74059">
      <w:pPr>
        <w:tabs>
          <w:tab w:val="left" w:pos="1162"/>
        </w:tabs>
        <w:rPr>
          <w:rFonts w:cs="Arial"/>
          <w:szCs w:val="20"/>
        </w:rPr>
      </w:pPr>
      <w:r>
        <w:rPr>
          <w:rFonts w:cs="Arial"/>
          <w:szCs w:val="20"/>
        </w:rPr>
        <w:t xml:space="preserve">As set out in the </w:t>
      </w:r>
      <w:r w:rsidR="00BB0D55">
        <w:rPr>
          <w:rFonts w:cs="Arial"/>
          <w:szCs w:val="20"/>
        </w:rPr>
        <w:t xml:space="preserve">NEP16 </w:t>
      </w:r>
      <w:r>
        <w:rPr>
          <w:rFonts w:cs="Arial"/>
          <w:szCs w:val="20"/>
        </w:rPr>
        <w:t>Determination, the price of an ED ABF activity is calculated using the following formula with adjustments as applicable.</w:t>
      </w:r>
    </w:p>
    <w:p w:rsidR="00E74059" w:rsidRDefault="00E74059" w:rsidP="00E74059">
      <w:pPr>
        <w:spacing w:before="280"/>
        <w:rPr>
          <w:rFonts w:cs="Arial"/>
          <w:color w:val="000000"/>
          <w:szCs w:val="24"/>
        </w:rPr>
      </w:pPr>
      <w:r w:rsidRPr="000306BE">
        <w:rPr>
          <w:rFonts w:cs="Arial"/>
          <w:b/>
          <w:color w:val="000000"/>
          <w:szCs w:val="24"/>
        </w:rPr>
        <w:t xml:space="preserve">Price of an </w:t>
      </w:r>
      <w:r>
        <w:rPr>
          <w:rFonts w:cs="Arial"/>
          <w:b/>
          <w:color w:val="000000"/>
          <w:szCs w:val="24"/>
        </w:rPr>
        <w:t>emergency department or emergency service</w:t>
      </w:r>
      <w:r w:rsidRPr="000306BE">
        <w:rPr>
          <w:rFonts w:cs="Arial"/>
          <w:b/>
          <w:color w:val="000000"/>
          <w:szCs w:val="24"/>
        </w:rPr>
        <w:t xml:space="preserve"> ABF Activity</w:t>
      </w:r>
      <w:r w:rsidRPr="000306BE">
        <w:rPr>
          <w:rFonts w:cs="Arial"/>
          <w:color w:val="000000"/>
          <w:szCs w:val="24"/>
        </w:rPr>
        <w:t xml:space="preserve"> </w:t>
      </w:r>
      <w:r>
        <w:rPr>
          <w:rFonts w:cs="Arial"/>
          <w:color w:val="000000"/>
          <w:szCs w:val="24"/>
        </w:rPr>
        <w:t xml:space="preserve"> </w:t>
      </w:r>
    </w:p>
    <w:p w:rsidR="00E74059" w:rsidRPr="00626E5D" w:rsidRDefault="002779ED" w:rsidP="002779ED">
      <w:pPr>
        <w:jc w:val="center"/>
        <w:rPr>
          <w:rFonts w:cs="Arial"/>
          <w:szCs w:val="24"/>
        </w:rPr>
      </w:pPr>
      <w:r>
        <w:rPr>
          <w:rFonts w:cstheme="minorHAnsi"/>
          <w:color w:val="000000"/>
          <w:sz w:val="28"/>
          <w:szCs w:val="28"/>
        </w:rPr>
        <w:t xml:space="preserve">= </w:t>
      </w:r>
      <w:r w:rsidR="00E74059" w:rsidRPr="001D27D8">
        <w:rPr>
          <w:rFonts w:cstheme="minorHAnsi"/>
          <w:color w:val="000000"/>
          <w:sz w:val="28"/>
          <w:szCs w:val="28"/>
        </w:rPr>
        <w:t>{</w:t>
      </w:r>
      <w:r w:rsidR="00E74059" w:rsidRPr="00626E5D">
        <w:rPr>
          <w:rFonts w:cs="Arial"/>
          <w:color w:val="000000"/>
          <w:szCs w:val="24"/>
        </w:rPr>
        <w:t xml:space="preserve">PW x (1 + </w:t>
      </w:r>
      <w:proofErr w:type="spellStart"/>
      <w:r w:rsidR="00E74059" w:rsidRPr="00626E5D">
        <w:rPr>
          <w:rFonts w:cs="Arial"/>
          <w:color w:val="000000"/>
          <w:szCs w:val="24"/>
        </w:rPr>
        <w:t>A</w:t>
      </w:r>
      <w:r w:rsidR="00E74059" w:rsidRPr="00626E5D">
        <w:rPr>
          <w:rFonts w:cs="Arial"/>
          <w:color w:val="000000"/>
          <w:szCs w:val="24"/>
          <w:vertAlign w:val="subscript"/>
        </w:rPr>
        <w:t>Ind</w:t>
      </w:r>
      <w:proofErr w:type="spellEnd"/>
      <w:r w:rsidR="00E74059" w:rsidRPr="00626E5D">
        <w:rPr>
          <w:rFonts w:cs="Arial"/>
          <w:color w:val="000000"/>
          <w:szCs w:val="24"/>
        </w:rPr>
        <w:t>)</w:t>
      </w:r>
      <w:r w:rsidR="0032126E">
        <w:rPr>
          <w:rFonts w:cs="Arial"/>
          <w:color w:val="000000"/>
          <w:szCs w:val="24"/>
        </w:rPr>
        <w:t xml:space="preserve"> x (1 + </w:t>
      </w:r>
      <w:r w:rsidR="0032126E" w:rsidRPr="00626E5D">
        <w:rPr>
          <w:rFonts w:cs="Arial"/>
          <w:color w:val="000000"/>
          <w:szCs w:val="24"/>
        </w:rPr>
        <w:t>A</w:t>
      </w:r>
      <w:r w:rsidR="0032126E">
        <w:rPr>
          <w:rFonts w:cs="Arial"/>
          <w:color w:val="000000"/>
          <w:szCs w:val="24"/>
          <w:vertAlign w:val="subscript"/>
        </w:rPr>
        <w:t>ECA</w:t>
      </w:r>
      <w:r w:rsidR="0032126E" w:rsidRPr="00626E5D">
        <w:rPr>
          <w:rFonts w:cs="Arial"/>
          <w:color w:val="000000"/>
          <w:szCs w:val="24"/>
        </w:rPr>
        <w:t>)</w:t>
      </w:r>
      <w:r w:rsidR="00E74059" w:rsidRPr="001D27D8">
        <w:rPr>
          <w:rFonts w:cstheme="minorHAnsi"/>
          <w:color w:val="000000"/>
          <w:sz w:val="28"/>
          <w:szCs w:val="28"/>
        </w:rPr>
        <w:t>}</w:t>
      </w:r>
      <w:r w:rsidR="00E74059" w:rsidRPr="00626E5D">
        <w:rPr>
          <w:rFonts w:cs="Arial"/>
          <w:color w:val="000000"/>
          <w:szCs w:val="24"/>
        </w:rPr>
        <w:t xml:space="preserve"> x NEP</w:t>
      </w:r>
    </w:p>
    <w:p w:rsidR="00E74059" w:rsidRDefault="00E74059" w:rsidP="00E74059">
      <w:pPr>
        <w:spacing w:after="0"/>
        <w:rPr>
          <w:rFonts w:cs="Arial"/>
          <w:szCs w:val="24"/>
        </w:rPr>
      </w:pPr>
    </w:p>
    <w:p w:rsidR="00E74059" w:rsidRPr="000306BE" w:rsidRDefault="00E74059" w:rsidP="00E74059">
      <w:pPr>
        <w:rPr>
          <w:rFonts w:cs="Arial"/>
          <w:szCs w:val="24"/>
        </w:rPr>
      </w:pPr>
      <w:r w:rsidRPr="000306BE">
        <w:rPr>
          <w:rFonts w:cs="Arial"/>
          <w:szCs w:val="24"/>
        </w:rPr>
        <w:t>Where:</w:t>
      </w:r>
      <w:r w:rsidRPr="002A1927">
        <w:rPr>
          <w:rFonts w:cs="Arial"/>
          <w:noProof/>
          <w:szCs w:val="24"/>
          <w:lang w:eastAsia="en-AU"/>
        </w:rPr>
        <w:t xml:space="preserve"> </w:t>
      </w:r>
    </w:p>
    <w:p w:rsidR="00E74059" w:rsidRDefault="00E74059" w:rsidP="00E74059">
      <w:pPr>
        <w:ind w:left="1985" w:hanging="1985"/>
        <w:rPr>
          <w:rFonts w:cs="Arial"/>
          <w:i/>
          <w:szCs w:val="24"/>
        </w:rPr>
      </w:pPr>
      <w:proofErr w:type="spellStart"/>
      <w:r w:rsidRPr="000306BE">
        <w:rPr>
          <w:rFonts w:cs="Arial"/>
          <w:b/>
          <w:szCs w:val="24"/>
        </w:rPr>
        <w:t>A</w:t>
      </w:r>
      <w:r w:rsidRPr="000306BE">
        <w:rPr>
          <w:rFonts w:cs="Arial"/>
          <w:b/>
          <w:szCs w:val="24"/>
          <w:vertAlign w:val="subscript"/>
        </w:rPr>
        <w:t>Ind</w:t>
      </w:r>
      <w:proofErr w:type="spellEnd"/>
      <w:r w:rsidRPr="000306BE">
        <w:rPr>
          <w:rFonts w:cs="Arial"/>
          <w:szCs w:val="24"/>
          <w:vertAlign w:val="subscript"/>
        </w:rPr>
        <w:tab/>
      </w:r>
      <w:r w:rsidRPr="000306BE">
        <w:rPr>
          <w:rFonts w:cs="Arial"/>
          <w:szCs w:val="24"/>
        </w:rPr>
        <w:t xml:space="preserve">means the </w:t>
      </w:r>
      <w:r w:rsidRPr="000306BE">
        <w:rPr>
          <w:rFonts w:cs="Arial"/>
          <w:i/>
          <w:szCs w:val="24"/>
        </w:rPr>
        <w:t>Indigenous Adjustment</w:t>
      </w:r>
    </w:p>
    <w:p w:rsidR="0032126E" w:rsidRDefault="0032126E" w:rsidP="0032126E">
      <w:pPr>
        <w:ind w:left="1985" w:hanging="1985"/>
        <w:rPr>
          <w:rFonts w:cs="Arial"/>
          <w:b/>
          <w:szCs w:val="24"/>
        </w:rPr>
      </w:pPr>
      <w:r w:rsidRPr="000306BE">
        <w:rPr>
          <w:rFonts w:cs="Arial"/>
          <w:b/>
          <w:szCs w:val="24"/>
        </w:rPr>
        <w:t>A</w:t>
      </w:r>
      <w:r>
        <w:rPr>
          <w:rFonts w:cs="Arial"/>
          <w:b/>
          <w:szCs w:val="24"/>
          <w:vertAlign w:val="subscript"/>
        </w:rPr>
        <w:t>ECA</w:t>
      </w:r>
      <w:r w:rsidRPr="000306BE">
        <w:rPr>
          <w:rFonts w:cs="Arial"/>
          <w:szCs w:val="24"/>
          <w:vertAlign w:val="subscript"/>
        </w:rPr>
        <w:tab/>
      </w:r>
      <w:r w:rsidRPr="000306BE">
        <w:rPr>
          <w:rFonts w:cs="Arial"/>
          <w:szCs w:val="24"/>
        </w:rPr>
        <w:t xml:space="preserve">means the </w:t>
      </w:r>
      <w:r>
        <w:rPr>
          <w:rFonts w:cs="Arial"/>
          <w:i/>
          <w:szCs w:val="24"/>
        </w:rPr>
        <w:t>Emergency Care Age Adjustment</w:t>
      </w:r>
    </w:p>
    <w:p w:rsidR="00BC3AB1" w:rsidRPr="000306BE" w:rsidRDefault="00E74059" w:rsidP="009F2C70">
      <w:pPr>
        <w:ind w:left="1985" w:hanging="1985"/>
        <w:rPr>
          <w:rFonts w:cs="Arial"/>
        </w:rPr>
      </w:pPr>
      <w:r w:rsidRPr="000306BE">
        <w:rPr>
          <w:rFonts w:cs="Arial"/>
          <w:b/>
        </w:rPr>
        <w:t>NEP</w:t>
      </w:r>
      <w:r w:rsidRPr="000306BE">
        <w:rPr>
          <w:rFonts w:cs="Arial"/>
        </w:rPr>
        <w:tab/>
        <w:t xml:space="preserve">National Efficient Price </w:t>
      </w:r>
      <w:r w:rsidR="000C75BC">
        <w:rPr>
          <w:rFonts w:cs="Arial"/>
        </w:rPr>
        <w:t>2016-17</w:t>
      </w:r>
    </w:p>
    <w:p w:rsidR="00E74059" w:rsidRPr="000306BE" w:rsidRDefault="00E74059" w:rsidP="00E74059">
      <w:pPr>
        <w:ind w:left="1985" w:hanging="1985"/>
        <w:rPr>
          <w:rFonts w:cs="Arial"/>
          <w:b/>
        </w:rPr>
      </w:pPr>
      <w:r w:rsidRPr="000306BE">
        <w:rPr>
          <w:rFonts w:cs="Arial"/>
          <w:b/>
        </w:rPr>
        <w:t>PW</w:t>
      </w:r>
      <w:r w:rsidRPr="000306BE">
        <w:rPr>
          <w:rFonts w:cs="Arial"/>
          <w:b/>
        </w:rPr>
        <w:tab/>
      </w:r>
      <w:r w:rsidRPr="000306BE">
        <w:rPr>
          <w:rFonts w:cs="Arial"/>
        </w:rPr>
        <w:t>means the Price Weight f</w:t>
      </w:r>
      <w:r>
        <w:rPr>
          <w:rFonts w:cs="Arial"/>
        </w:rPr>
        <w:t xml:space="preserve">or an ABF Activity as set out </w:t>
      </w:r>
      <w:r w:rsidR="00CF6CDC">
        <w:rPr>
          <w:rFonts w:cs="Arial"/>
        </w:rPr>
        <w:t>in</w:t>
      </w:r>
      <w:r>
        <w:rPr>
          <w:rFonts w:cs="Arial"/>
        </w:rPr>
        <w:t xml:space="preserve"> </w:t>
      </w:r>
      <w:r w:rsidRPr="000306BE">
        <w:rPr>
          <w:rFonts w:cs="Arial"/>
        </w:rPr>
        <w:t xml:space="preserve">Appendix </w:t>
      </w:r>
      <w:r>
        <w:rPr>
          <w:rFonts w:cs="Arial"/>
        </w:rPr>
        <w:t xml:space="preserve">H </w:t>
      </w:r>
      <w:r w:rsidR="00BC3AB1">
        <w:rPr>
          <w:rFonts w:cs="Arial"/>
        </w:rPr>
        <w:t>of the NEP16 Determination</w:t>
      </w:r>
    </w:p>
    <w:p w:rsidR="00460371" w:rsidRDefault="00460371" w:rsidP="00AD4FFC">
      <w:pPr>
        <w:pStyle w:val="Heading2"/>
        <w:keepLines w:val="0"/>
        <w:numPr>
          <w:ilvl w:val="1"/>
          <w:numId w:val="35"/>
        </w:numPr>
        <w:tabs>
          <w:tab w:val="left" w:pos="1162"/>
        </w:tabs>
        <w:spacing w:after="60"/>
      </w:pPr>
      <w:bookmarkStart w:id="333" w:name="_Toc412123633"/>
      <w:bookmarkStart w:id="334" w:name="_Toc412191141"/>
      <w:bookmarkStart w:id="335" w:name="_Toc412193576"/>
      <w:bookmarkStart w:id="336" w:name="_Toc412193678"/>
      <w:bookmarkStart w:id="337" w:name="_Toc412196572"/>
      <w:bookmarkStart w:id="338" w:name="_Toc412196675"/>
      <w:bookmarkStart w:id="339" w:name="_Toc412196778"/>
      <w:bookmarkStart w:id="340" w:name="_Toc412197078"/>
      <w:bookmarkStart w:id="341" w:name="_Toc412198102"/>
      <w:bookmarkStart w:id="342" w:name="_Toc412204631"/>
      <w:bookmarkStart w:id="343" w:name="_Toc412206023"/>
      <w:bookmarkStart w:id="344" w:name="_Toc412206609"/>
      <w:bookmarkStart w:id="345" w:name="_Toc412206734"/>
      <w:bookmarkStart w:id="346" w:name="_Toc412206836"/>
      <w:bookmarkStart w:id="347" w:name="_Toc412206936"/>
      <w:bookmarkStart w:id="348" w:name="_Toc412207145"/>
      <w:bookmarkStart w:id="349" w:name="_Toc412207408"/>
      <w:bookmarkStart w:id="350" w:name="_Toc380754721"/>
      <w:bookmarkStart w:id="351" w:name="_Toc444528630"/>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t>Assigning NWAU for emergency care</w:t>
      </w:r>
      <w:bookmarkEnd w:id="350"/>
      <w:bookmarkEnd w:id="351"/>
    </w:p>
    <w:p w:rsidR="00460371" w:rsidRDefault="00460371" w:rsidP="00AD4FFC">
      <w:pPr>
        <w:tabs>
          <w:tab w:val="left" w:pos="1162"/>
        </w:tabs>
        <w:spacing w:before="120"/>
        <w:rPr>
          <w:rFonts w:cs="Arial"/>
          <w:szCs w:val="20"/>
        </w:rPr>
      </w:pPr>
      <w:r w:rsidRPr="00D2117F">
        <w:rPr>
          <w:rFonts w:cs="Arial"/>
          <w:szCs w:val="20"/>
        </w:rPr>
        <w:t xml:space="preserve">NWAU </w:t>
      </w:r>
      <w:r>
        <w:rPr>
          <w:rFonts w:cs="Arial"/>
          <w:szCs w:val="20"/>
        </w:rPr>
        <w:t xml:space="preserve">are assigned to </w:t>
      </w:r>
      <w:r w:rsidRPr="00D2117F">
        <w:rPr>
          <w:rFonts w:cs="Arial"/>
          <w:szCs w:val="20"/>
        </w:rPr>
        <w:t xml:space="preserve">emergency care </w:t>
      </w:r>
      <w:r>
        <w:rPr>
          <w:rFonts w:cs="Arial"/>
          <w:szCs w:val="20"/>
        </w:rPr>
        <w:t xml:space="preserve">activity </w:t>
      </w:r>
      <w:r w:rsidRPr="00D2117F">
        <w:rPr>
          <w:rFonts w:cs="Arial"/>
          <w:szCs w:val="20"/>
        </w:rPr>
        <w:t xml:space="preserve">on the basis of a URG or a UDG. The former is applied to level 3B to </w:t>
      </w:r>
      <w:r w:rsidR="002779ED">
        <w:rPr>
          <w:rFonts w:cs="Arial"/>
          <w:szCs w:val="20"/>
        </w:rPr>
        <w:t>six EDs</w:t>
      </w:r>
      <w:r w:rsidRPr="00D2117F">
        <w:rPr>
          <w:rFonts w:cs="Arial"/>
          <w:szCs w:val="20"/>
        </w:rPr>
        <w:t>, and the latter to Level 1 to 3A emergency services</w:t>
      </w:r>
      <w:r>
        <w:rPr>
          <w:rFonts w:cs="Arial"/>
          <w:szCs w:val="20"/>
        </w:rPr>
        <w:t xml:space="preserve">. </w:t>
      </w:r>
    </w:p>
    <w:p w:rsidR="00460371" w:rsidRPr="0056029A" w:rsidRDefault="00460371" w:rsidP="00AD4FFC">
      <w:pPr>
        <w:tabs>
          <w:tab w:val="left" w:pos="1162"/>
        </w:tabs>
        <w:rPr>
          <w:rFonts w:cstheme="majorBidi"/>
        </w:rPr>
      </w:pPr>
      <w:r w:rsidRPr="00D2117F">
        <w:rPr>
          <w:rFonts w:cs="Arial"/>
          <w:szCs w:val="20"/>
        </w:rPr>
        <w:t xml:space="preserve">The steps involved in assigning NWAU to </w:t>
      </w:r>
      <w:r w:rsidR="002779ED">
        <w:rPr>
          <w:rFonts w:cs="Arial"/>
          <w:szCs w:val="20"/>
        </w:rPr>
        <w:t>ED</w:t>
      </w:r>
      <w:r w:rsidRPr="00D2117F">
        <w:rPr>
          <w:rFonts w:cs="Arial"/>
          <w:szCs w:val="20"/>
        </w:rPr>
        <w:t xml:space="preserve"> presentations are </w:t>
      </w:r>
      <w:r>
        <w:rPr>
          <w:rFonts w:cs="Arial"/>
          <w:szCs w:val="20"/>
        </w:rPr>
        <w:t>illustrated in</w:t>
      </w:r>
      <w:r w:rsidR="002F481D">
        <w:rPr>
          <w:rFonts w:cs="Arial"/>
          <w:szCs w:val="20"/>
        </w:rPr>
        <w:t xml:space="preserve"> Figure </w:t>
      </w:r>
      <w:r w:rsidR="006D7C24">
        <w:rPr>
          <w:rFonts w:cs="Arial"/>
          <w:szCs w:val="20"/>
        </w:rPr>
        <w:t>9</w:t>
      </w:r>
      <w:r>
        <w:rPr>
          <w:rFonts w:cs="Arial"/>
          <w:szCs w:val="20"/>
        </w:rPr>
        <w:t xml:space="preserve"> below. The two stages of data preparation and NWAU calculation are combined in the following section.</w:t>
      </w:r>
    </w:p>
    <w:p w:rsidR="00460371" w:rsidRPr="00F45E94" w:rsidRDefault="00460371" w:rsidP="00AD4FFC">
      <w:pPr>
        <w:pStyle w:val="Heading3"/>
        <w:keepLines w:val="0"/>
        <w:numPr>
          <w:ilvl w:val="2"/>
          <w:numId w:val="35"/>
        </w:numPr>
        <w:tabs>
          <w:tab w:val="left" w:pos="1162"/>
        </w:tabs>
        <w:spacing w:before="240" w:after="120"/>
      </w:pPr>
      <w:bookmarkStart w:id="352" w:name="_Toc380754722"/>
      <w:bookmarkStart w:id="353" w:name="_Toc444528631"/>
      <w:r w:rsidRPr="00F45E94">
        <w:t xml:space="preserve">Data </w:t>
      </w:r>
      <w:r w:rsidR="002779ED">
        <w:t>p</w:t>
      </w:r>
      <w:r w:rsidRPr="00F45E94">
        <w:t>reparation</w:t>
      </w:r>
      <w:r>
        <w:t xml:space="preserve"> and calculation of NWAU</w:t>
      </w:r>
      <w:bookmarkEnd w:id="352"/>
      <w:bookmarkEnd w:id="353"/>
    </w:p>
    <w:p w:rsidR="00460371" w:rsidRDefault="00460371" w:rsidP="00AD4FFC">
      <w:pPr>
        <w:tabs>
          <w:tab w:val="left" w:pos="1162"/>
        </w:tabs>
        <w:rPr>
          <w:rFonts w:cs="Arial"/>
          <w:szCs w:val="20"/>
        </w:rPr>
      </w:pPr>
      <w:r w:rsidRPr="00AA593E">
        <w:rPr>
          <w:rFonts w:cs="Arial"/>
          <w:szCs w:val="20"/>
        </w:rPr>
        <w:t xml:space="preserve">This section details how to assign NWAU to </w:t>
      </w:r>
      <w:r w:rsidR="002779ED">
        <w:rPr>
          <w:rFonts w:cs="Arial"/>
          <w:szCs w:val="20"/>
        </w:rPr>
        <w:t>ED</w:t>
      </w:r>
      <w:r w:rsidRPr="00AA593E">
        <w:rPr>
          <w:rFonts w:cs="Arial"/>
          <w:szCs w:val="20"/>
        </w:rPr>
        <w:t xml:space="preserve"> patient data. The data preparation and NWAU calculation </w:t>
      </w:r>
      <w:r>
        <w:rPr>
          <w:rFonts w:cs="Arial"/>
          <w:szCs w:val="20"/>
        </w:rPr>
        <w:t xml:space="preserve">stages are </w:t>
      </w:r>
      <w:r w:rsidRPr="00AA593E">
        <w:rPr>
          <w:rFonts w:cs="Arial"/>
          <w:szCs w:val="20"/>
        </w:rPr>
        <w:t>illustrated in</w:t>
      </w:r>
      <w:r w:rsidR="002F481D">
        <w:rPr>
          <w:rFonts w:cs="Arial"/>
          <w:szCs w:val="20"/>
        </w:rPr>
        <w:t xml:space="preserve"> Figure </w:t>
      </w:r>
      <w:r w:rsidR="006D7C24">
        <w:rPr>
          <w:rFonts w:cs="Arial"/>
          <w:szCs w:val="20"/>
        </w:rPr>
        <w:t>9</w:t>
      </w:r>
      <w:r w:rsidRPr="00AA593E">
        <w:rPr>
          <w:rFonts w:cs="Arial"/>
          <w:szCs w:val="20"/>
        </w:rPr>
        <w:t xml:space="preserve">. The process is broken into </w:t>
      </w:r>
      <w:r w:rsidR="00297D16">
        <w:rPr>
          <w:rFonts w:cs="Arial"/>
          <w:szCs w:val="20"/>
        </w:rPr>
        <w:t>five</w:t>
      </w:r>
      <w:r w:rsidR="00297D16" w:rsidRPr="00AA593E">
        <w:rPr>
          <w:rFonts w:cs="Arial"/>
          <w:szCs w:val="20"/>
        </w:rPr>
        <w:t xml:space="preserve"> </w:t>
      </w:r>
      <w:r w:rsidRPr="00AA593E">
        <w:rPr>
          <w:rFonts w:cs="Arial"/>
          <w:szCs w:val="20"/>
        </w:rPr>
        <w:t>steps, each requiring variables created in previous steps, with the final step (Step</w:t>
      </w:r>
      <w:r w:rsidR="00034E0F">
        <w:rPr>
          <w:rFonts w:cs="Arial"/>
          <w:szCs w:val="20"/>
        </w:rPr>
        <w:t> </w:t>
      </w:r>
      <w:r w:rsidR="00297D16">
        <w:rPr>
          <w:rFonts w:cs="Arial"/>
          <w:szCs w:val="20"/>
        </w:rPr>
        <w:t>5</w:t>
      </w:r>
      <w:r w:rsidRPr="00AA593E">
        <w:rPr>
          <w:rFonts w:cs="Arial"/>
          <w:szCs w:val="20"/>
        </w:rPr>
        <w:t xml:space="preserve">) resulting in a variable containing the </w:t>
      </w:r>
      <w:r w:rsidR="00384C96">
        <w:rPr>
          <w:rFonts w:cs="Arial"/>
          <w:szCs w:val="20"/>
        </w:rPr>
        <w:t>2016-17</w:t>
      </w:r>
      <w:r w:rsidRPr="00AA593E">
        <w:rPr>
          <w:rFonts w:cs="Arial"/>
          <w:szCs w:val="20"/>
        </w:rPr>
        <w:t xml:space="preserve"> NWAU.</w:t>
      </w:r>
    </w:p>
    <w:p w:rsidR="00591754" w:rsidRDefault="00591754" w:rsidP="00AD4FFC">
      <w:pPr>
        <w:tabs>
          <w:tab w:val="left" w:pos="1162"/>
        </w:tabs>
        <w:rPr>
          <w:rFonts w:cs="Arial"/>
          <w:szCs w:val="20"/>
        </w:rPr>
      </w:pPr>
      <w:r w:rsidRPr="00C83F6F">
        <w:rPr>
          <w:rFonts w:cs="Arial"/>
          <w:szCs w:val="20"/>
        </w:rPr>
        <w:t>The process requires the three input datasets or tables referred to in</w:t>
      </w:r>
      <w:r>
        <w:rPr>
          <w:rFonts w:cs="Arial"/>
          <w:szCs w:val="20"/>
        </w:rPr>
        <w:t xml:space="preserve"> Table </w:t>
      </w:r>
      <w:r w:rsidR="00693CC5">
        <w:rPr>
          <w:rFonts w:cs="Arial"/>
          <w:szCs w:val="20"/>
        </w:rPr>
        <w:t>14</w:t>
      </w:r>
      <w:r w:rsidRPr="00C83F6F">
        <w:rPr>
          <w:rFonts w:cs="Arial"/>
          <w:szCs w:val="20"/>
        </w:rPr>
        <w:t>.</w:t>
      </w:r>
    </w:p>
    <w:p w:rsidR="00591754" w:rsidRDefault="00597C96" w:rsidP="00AD4FFC">
      <w:pPr>
        <w:tabs>
          <w:tab w:val="left" w:pos="1162"/>
        </w:tabs>
        <w:rPr>
          <w:rFonts w:cs="Arial"/>
          <w:szCs w:val="20"/>
        </w:rPr>
      </w:pPr>
      <w:r>
        <w:rPr>
          <w:rFonts w:cs="Arial"/>
          <w:szCs w:val="20"/>
        </w:rPr>
        <w:t>Eight</w:t>
      </w:r>
      <w:r w:rsidR="00591754" w:rsidRPr="00C83F6F">
        <w:rPr>
          <w:rFonts w:cs="Arial"/>
          <w:szCs w:val="20"/>
        </w:rPr>
        <w:t xml:space="preserve"> variables are required to form the input ED dataset</w:t>
      </w:r>
      <w:r w:rsidR="00591754">
        <w:rPr>
          <w:rFonts w:cs="Arial"/>
          <w:szCs w:val="20"/>
        </w:rPr>
        <w:t>:</w:t>
      </w:r>
    </w:p>
    <w:p w:rsidR="00591754" w:rsidRPr="00591754" w:rsidRDefault="00591754" w:rsidP="00C245E0">
      <w:pPr>
        <w:pStyle w:val="ListParagraph"/>
        <w:numPr>
          <w:ilvl w:val="0"/>
          <w:numId w:val="54"/>
        </w:numPr>
        <w:tabs>
          <w:tab w:val="left" w:pos="1162"/>
        </w:tabs>
        <w:spacing w:before="80" w:after="80"/>
        <w:ind w:left="714" w:hanging="357"/>
        <w:rPr>
          <w:rFonts w:cs="Arial"/>
          <w:szCs w:val="20"/>
        </w:rPr>
      </w:pPr>
      <w:r w:rsidRPr="00591754">
        <w:rPr>
          <w:rFonts w:cs="Arial"/>
          <w:szCs w:val="20"/>
        </w:rPr>
        <w:t>Establishment Identifier</w:t>
      </w:r>
      <w:r w:rsidR="005169A3">
        <w:rPr>
          <w:rFonts w:cs="Arial"/>
          <w:szCs w:val="20"/>
        </w:rPr>
        <w:t>;</w:t>
      </w:r>
    </w:p>
    <w:p w:rsidR="00591754" w:rsidRDefault="00591754" w:rsidP="00C245E0">
      <w:pPr>
        <w:pStyle w:val="ListParagraph"/>
        <w:numPr>
          <w:ilvl w:val="0"/>
          <w:numId w:val="54"/>
        </w:numPr>
        <w:tabs>
          <w:tab w:val="left" w:pos="1162"/>
        </w:tabs>
        <w:spacing w:before="80" w:after="80"/>
        <w:ind w:left="714" w:hanging="357"/>
        <w:rPr>
          <w:rFonts w:cs="Arial"/>
          <w:szCs w:val="20"/>
        </w:rPr>
      </w:pPr>
      <w:r w:rsidRPr="00591754">
        <w:rPr>
          <w:rFonts w:cs="Arial"/>
          <w:szCs w:val="20"/>
        </w:rPr>
        <w:t>Indigenous status</w:t>
      </w:r>
      <w:r w:rsidR="005169A3">
        <w:rPr>
          <w:rFonts w:cs="Arial"/>
          <w:szCs w:val="20"/>
        </w:rPr>
        <w:t>;</w:t>
      </w:r>
    </w:p>
    <w:p w:rsidR="00126926" w:rsidRPr="00591754" w:rsidRDefault="00126926" w:rsidP="00126926">
      <w:pPr>
        <w:pStyle w:val="ListParagraph"/>
        <w:numPr>
          <w:ilvl w:val="0"/>
          <w:numId w:val="54"/>
        </w:numPr>
        <w:tabs>
          <w:tab w:val="left" w:pos="1162"/>
        </w:tabs>
        <w:spacing w:before="80" w:after="80"/>
        <w:ind w:left="714" w:hanging="357"/>
        <w:rPr>
          <w:rFonts w:cs="Arial"/>
          <w:szCs w:val="20"/>
        </w:rPr>
      </w:pPr>
      <w:r>
        <w:rPr>
          <w:rFonts w:cs="Arial"/>
          <w:szCs w:val="20"/>
        </w:rPr>
        <w:t>Date of admission;</w:t>
      </w:r>
    </w:p>
    <w:p w:rsidR="00126926" w:rsidRDefault="00126926" w:rsidP="00C245E0">
      <w:pPr>
        <w:pStyle w:val="ListParagraph"/>
        <w:numPr>
          <w:ilvl w:val="0"/>
          <w:numId w:val="54"/>
        </w:numPr>
        <w:tabs>
          <w:tab w:val="left" w:pos="1162"/>
        </w:tabs>
        <w:spacing w:before="80" w:after="80"/>
        <w:ind w:left="714" w:hanging="357"/>
        <w:rPr>
          <w:rFonts w:cs="Arial"/>
          <w:szCs w:val="20"/>
        </w:rPr>
      </w:pPr>
      <w:r>
        <w:rPr>
          <w:rFonts w:cs="Arial"/>
          <w:szCs w:val="20"/>
        </w:rPr>
        <w:t>Date of birth;</w:t>
      </w:r>
    </w:p>
    <w:p w:rsidR="00591754" w:rsidRPr="00591754" w:rsidRDefault="00591754" w:rsidP="00C245E0">
      <w:pPr>
        <w:pStyle w:val="ListParagraph"/>
        <w:numPr>
          <w:ilvl w:val="0"/>
          <w:numId w:val="54"/>
        </w:numPr>
        <w:tabs>
          <w:tab w:val="left" w:pos="1162"/>
        </w:tabs>
        <w:spacing w:before="80" w:after="80"/>
        <w:ind w:left="714" w:hanging="357"/>
        <w:rPr>
          <w:rFonts w:cs="Arial"/>
          <w:szCs w:val="20"/>
        </w:rPr>
      </w:pPr>
      <w:r w:rsidRPr="00591754">
        <w:rPr>
          <w:rFonts w:cs="Arial"/>
          <w:szCs w:val="20"/>
        </w:rPr>
        <w:t>Episode end status</w:t>
      </w:r>
      <w:r w:rsidR="005169A3">
        <w:rPr>
          <w:rFonts w:cs="Arial"/>
          <w:szCs w:val="20"/>
        </w:rPr>
        <w:t>;</w:t>
      </w:r>
    </w:p>
    <w:p w:rsidR="00591754" w:rsidRPr="00591754" w:rsidRDefault="00591754" w:rsidP="00C245E0">
      <w:pPr>
        <w:pStyle w:val="ListParagraph"/>
        <w:numPr>
          <w:ilvl w:val="0"/>
          <w:numId w:val="54"/>
        </w:numPr>
        <w:tabs>
          <w:tab w:val="left" w:pos="1162"/>
        </w:tabs>
        <w:spacing w:before="80" w:after="80"/>
        <w:ind w:left="714" w:hanging="357"/>
        <w:rPr>
          <w:rFonts w:cs="Arial"/>
          <w:szCs w:val="20"/>
        </w:rPr>
      </w:pPr>
      <w:r w:rsidRPr="00591754">
        <w:rPr>
          <w:rFonts w:cs="Arial"/>
          <w:szCs w:val="20"/>
        </w:rPr>
        <w:t>Type of visit to Emergency Department</w:t>
      </w:r>
      <w:r w:rsidR="005169A3">
        <w:rPr>
          <w:rFonts w:cs="Arial"/>
          <w:szCs w:val="20"/>
        </w:rPr>
        <w:t>;</w:t>
      </w:r>
    </w:p>
    <w:p w:rsidR="00591754" w:rsidRPr="00591754" w:rsidRDefault="00591754" w:rsidP="00C245E0">
      <w:pPr>
        <w:pStyle w:val="ListParagraph"/>
        <w:numPr>
          <w:ilvl w:val="0"/>
          <w:numId w:val="54"/>
        </w:numPr>
        <w:tabs>
          <w:tab w:val="left" w:pos="1162"/>
        </w:tabs>
        <w:spacing w:before="80" w:after="80"/>
        <w:ind w:left="714" w:hanging="357"/>
        <w:rPr>
          <w:rFonts w:cs="Arial"/>
          <w:szCs w:val="20"/>
        </w:rPr>
      </w:pPr>
      <w:r w:rsidRPr="00591754">
        <w:rPr>
          <w:rFonts w:cs="Arial"/>
          <w:szCs w:val="20"/>
        </w:rPr>
        <w:t>Triage category</w:t>
      </w:r>
      <w:r w:rsidR="005169A3">
        <w:rPr>
          <w:rFonts w:cs="Arial"/>
          <w:szCs w:val="20"/>
        </w:rPr>
        <w:t xml:space="preserve">; and </w:t>
      </w:r>
    </w:p>
    <w:p w:rsidR="00591754" w:rsidRPr="00591754" w:rsidRDefault="00591754" w:rsidP="00C245E0">
      <w:pPr>
        <w:pStyle w:val="ListParagraph"/>
        <w:numPr>
          <w:ilvl w:val="0"/>
          <w:numId w:val="54"/>
        </w:numPr>
        <w:tabs>
          <w:tab w:val="left" w:pos="1162"/>
        </w:tabs>
        <w:spacing w:before="80" w:after="80"/>
        <w:ind w:left="714" w:hanging="357"/>
        <w:rPr>
          <w:rFonts w:cs="Arial"/>
          <w:szCs w:val="20"/>
        </w:rPr>
      </w:pPr>
      <w:r w:rsidRPr="00591754">
        <w:rPr>
          <w:rFonts w:cs="Arial"/>
          <w:szCs w:val="20"/>
        </w:rPr>
        <w:t>URG (</w:t>
      </w:r>
      <w:r w:rsidR="00D22B50">
        <w:rPr>
          <w:rFonts w:cs="Arial"/>
          <w:szCs w:val="20"/>
        </w:rPr>
        <w:t>v</w:t>
      </w:r>
      <w:r w:rsidRPr="00591754">
        <w:rPr>
          <w:rFonts w:cs="Arial"/>
          <w:szCs w:val="20"/>
        </w:rPr>
        <w:t>er</w:t>
      </w:r>
      <w:r>
        <w:rPr>
          <w:rFonts w:cs="Arial"/>
          <w:szCs w:val="20"/>
        </w:rPr>
        <w:t>sion 1.4) or UDG (</w:t>
      </w:r>
      <w:r w:rsidR="00D22B50">
        <w:rPr>
          <w:rFonts w:cs="Arial"/>
          <w:szCs w:val="20"/>
        </w:rPr>
        <w:t>v</w:t>
      </w:r>
      <w:r>
        <w:rPr>
          <w:rFonts w:cs="Arial"/>
          <w:szCs w:val="20"/>
        </w:rPr>
        <w:t>ersion 1.3)</w:t>
      </w:r>
      <w:r w:rsidR="001206E7">
        <w:rPr>
          <w:rFonts w:cs="Arial"/>
          <w:szCs w:val="20"/>
        </w:rPr>
        <w:t xml:space="preserve">. </w:t>
      </w:r>
    </w:p>
    <w:p w:rsidR="00A471D4" w:rsidRDefault="00591754" w:rsidP="00AD4FFC">
      <w:pPr>
        <w:tabs>
          <w:tab w:val="left" w:pos="1162"/>
        </w:tabs>
        <w:spacing w:before="240"/>
        <w:rPr>
          <w:rFonts w:cs="Arial"/>
          <w:szCs w:val="20"/>
        </w:rPr>
      </w:pPr>
      <w:r w:rsidRPr="00C83F6F">
        <w:rPr>
          <w:rFonts w:cs="Arial"/>
          <w:szCs w:val="20"/>
        </w:rPr>
        <w:t xml:space="preserve">These variables form part of the </w:t>
      </w:r>
      <w:r w:rsidR="00A95010">
        <w:rPr>
          <w:rFonts w:cs="Arial"/>
          <w:szCs w:val="20"/>
        </w:rPr>
        <w:t>NAPEDC NMDS</w:t>
      </w:r>
      <w:r w:rsidRPr="00C83F6F">
        <w:rPr>
          <w:rFonts w:cs="Arial"/>
          <w:szCs w:val="20"/>
        </w:rPr>
        <w:t xml:space="preserve"> on the IHPA website</w:t>
      </w:r>
      <w:r w:rsidR="00C41416">
        <w:rPr>
          <w:rFonts w:cs="Arial"/>
          <w:szCs w:val="20"/>
        </w:rPr>
        <w:t xml:space="preserve">. </w:t>
      </w:r>
    </w:p>
    <w:p w:rsidR="00591754" w:rsidRPr="00034E0F" w:rsidRDefault="00591754" w:rsidP="00AD4FFC">
      <w:pPr>
        <w:tabs>
          <w:tab w:val="left" w:pos="1162"/>
        </w:tabs>
      </w:pPr>
      <w:r>
        <w:rPr>
          <w:rFonts w:cs="Arial"/>
          <w:szCs w:val="20"/>
        </w:rPr>
        <w:t xml:space="preserve">Table </w:t>
      </w:r>
      <w:r w:rsidR="001D25A0">
        <w:rPr>
          <w:rFonts w:cs="Arial"/>
          <w:szCs w:val="20"/>
        </w:rPr>
        <w:t>15</w:t>
      </w:r>
      <w:r w:rsidRPr="00C83F6F">
        <w:rPr>
          <w:rFonts w:cs="Arial"/>
          <w:szCs w:val="20"/>
        </w:rPr>
        <w:t xml:space="preserve"> details the variables created in the process of assigning NWAU to emergency department patient data</w:t>
      </w:r>
      <w:r w:rsidRPr="00C86B41">
        <w:rPr>
          <w:rFonts w:cs="Arial"/>
        </w:rPr>
        <w:t>.</w:t>
      </w:r>
    </w:p>
    <w:p w:rsidR="00CE00EF" w:rsidRDefault="00CE00EF">
      <w:pPr>
        <w:spacing w:after="200" w:line="276" w:lineRule="auto"/>
        <w:rPr>
          <w:rFonts w:ascii="Arial" w:eastAsia="Times New Roman" w:hAnsi="Arial" w:cstheme="minorHAnsi"/>
          <w:b/>
          <w:color w:val="000000"/>
          <w:sz w:val="20"/>
          <w:szCs w:val="20"/>
          <w:lang w:eastAsia="en-AU"/>
        </w:rPr>
      </w:pPr>
      <w:bookmarkStart w:id="354" w:name="_Ref342306734"/>
      <w:r>
        <w:br w:type="page"/>
      </w:r>
    </w:p>
    <w:p w:rsidR="00F839E8" w:rsidRDefault="00460371">
      <w:pPr>
        <w:pStyle w:val="table"/>
      </w:pPr>
      <w:r>
        <w:t>Figure</w:t>
      </w:r>
      <w:bookmarkEnd w:id="354"/>
      <w:r w:rsidR="004A68DE">
        <w:t xml:space="preserve"> </w:t>
      </w:r>
      <w:r w:rsidR="006D7C24">
        <w:t>9</w:t>
      </w:r>
      <w:r>
        <w:t xml:space="preserve">: </w:t>
      </w:r>
      <w:r w:rsidRPr="00C71D23">
        <w:t>Assigning NWAU to emergency department patient d</w:t>
      </w:r>
      <w:r>
        <w:t>ata</w:t>
      </w:r>
    </w:p>
    <w:p w:rsidR="00A95010" w:rsidRDefault="00A95010" w:rsidP="00163EB6">
      <w:pPr>
        <w:pStyle w:val="table"/>
        <w:rPr>
          <w:b w:val="0"/>
          <w:noProof/>
        </w:rPr>
      </w:pPr>
      <w:bookmarkStart w:id="355" w:name="_Ref342307994"/>
      <w:r>
        <w:rPr>
          <w:noProof/>
        </w:rPr>
        <w:drawing>
          <wp:inline distT="0" distB="0" distL="0" distR="0" wp14:anchorId="175C951D" wp14:editId="55D13301">
            <wp:extent cx="3369058" cy="4655127"/>
            <wp:effectExtent l="19050" t="19050" r="22225"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368816" cy="4654793"/>
                    </a:xfrm>
                    <a:prstGeom prst="rect">
                      <a:avLst/>
                    </a:prstGeom>
                    <a:ln>
                      <a:solidFill>
                        <a:schemeClr val="accent1"/>
                      </a:solidFill>
                    </a:ln>
                  </pic:spPr>
                </pic:pic>
              </a:graphicData>
            </a:graphic>
          </wp:inline>
        </w:drawing>
      </w:r>
    </w:p>
    <w:p w:rsidR="00591754" w:rsidRDefault="00591754">
      <w:pPr>
        <w:pStyle w:val="table"/>
      </w:pPr>
      <w:bookmarkStart w:id="356" w:name="_Ref342308141"/>
      <w:bookmarkEnd w:id="355"/>
      <w:r>
        <w:t>Table</w:t>
      </w:r>
      <w:r w:rsidR="004A68DE">
        <w:t xml:space="preserve"> </w:t>
      </w:r>
      <w:r w:rsidR="00693CC5">
        <w:t>14</w:t>
      </w:r>
      <w:r>
        <w:t xml:space="preserve">: </w:t>
      </w:r>
      <w:r w:rsidRPr="00E2163C">
        <w:t>Dataset and tables required for assignment of NWAU to emergency department patient data</w:t>
      </w:r>
    </w:p>
    <w:tbl>
      <w:tblPr>
        <w:tblStyle w:val="TableGrid"/>
        <w:tblW w:w="9639"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A summary of table 8 is outlined in the text prior to this table."/>
      </w:tblPr>
      <w:tblGrid>
        <w:gridCol w:w="3544"/>
        <w:gridCol w:w="6095"/>
      </w:tblGrid>
      <w:tr w:rsidR="00591754" w:rsidRPr="004B0213" w:rsidTr="001D16F6">
        <w:trPr>
          <w:cantSplit/>
          <w:tblHeader/>
          <w:jc w:val="center"/>
        </w:trPr>
        <w:tc>
          <w:tcPr>
            <w:tcW w:w="3544" w:type="dxa"/>
            <w:shd w:val="clear" w:color="auto" w:fill="BFBFBF" w:themeFill="background1" w:themeFillShade="BF"/>
          </w:tcPr>
          <w:p w:rsidR="00591754" w:rsidRPr="009B707F" w:rsidRDefault="00591754" w:rsidP="00AD4FFC">
            <w:pPr>
              <w:tabs>
                <w:tab w:val="left" w:pos="1162"/>
              </w:tabs>
              <w:spacing w:before="80" w:after="80"/>
              <w:rPr>
                <w:rFonts w:cs="Arial"/>
                <w:b/>
                <w:sz w:val="20"/>
                <w:szCs w:val="20"/>
              </w:rPr>
            </w:pPr>
            <w:r w:rsidRPr="009B707F">
              <w:rPr>
                <w:rFonts w:cs="Arial"/>
                <w:b/>
                <w:sz w:val="20"/>
                <w:szCs w:val="20"/>
              </w:rPr>
              <w:t>Input dataset or table</w:t>
            </w:r>
          </w:p>
        </w:tc>
        <w:tc>
          <w:tcPr>
            <w:tcW w:w="6095" w:type="dxa"/>
            <w:shd w:val="clear" w:color="auto" w:fill="BFBFBF" w:themeFill="background1" w:themeFillShade="BF"/>
          </w:tcPr>
          <w:p w:rsidR="00591754" w:rsidRPr="009B707F" w:rsidRDefault="00591754" w:rsidP="00AD4FFC">
            <w:pPr>
              <w:tabs>
                <w:tab w:val="left" w:pos="1162"/>
              </w:tabs>
              <w:spacing w:before="80" w:after="80"/>
              <w:rPr>
                <w:rFonts w:cs="Arial"/>
                <w:b/>
                <w:sz w:val="20"/>
                <w:szCs w:val="20"/>
              </w:rPr>
            </w:pPr>
            <w:r w:rsidRPr="009B707F">
              <w:rPr>
                <w:rFonts w:cs="Arial"/>
                <w:b/>
                <w:sz w:val="20"/>
                <w:szCs w:val="20"/>
              </w:rPr>
              <w:t>Description</w:t>
            </w:r>
          </w:p>
        </w:tc>
      </w:tr>
      <w:tr w:rsidR="00591754" w:rsidRPr="004B0213" w:rsidTr="001D16F6">
        <w:trPr>
          <w:cantSplit/>
          <w:jc w:val="center"/>
        </w:trPr>
        <w:tc>
          <w:tcPr>
            <w:tcW w:w="3544" w:type="dxa"/>
          </w:tcPr>
          <w:p w:rsidR="00591754" w:rsidRPr="00E33EAE" w:rsidRDefault="00890E17" w:rsidP="009F697A">
            <w:pPr>
              <w:tabs>
                <w:tab w:val="left" w:pos="1162"/>
              </w:tabs>
              <w:spacing w:before="120"/>
              <w:rPr>
                <w:rFonts w:cs="Arial"/>
                <w:sz w:val="18"/>
                <w:szCs w:val="20"/>
              </w:rPr>
            </w:pPr>
            <w:r w:rsidRPr="00E33EAE">
              <w:rPr>
                <w:rFonts w:cs="Arial"/>
                <w:sz w:val="18"/>
                <w:szCs w:val="20"/>
              </w:rPr>
              <w:t>NAPEDC NMDS</w:t>
            </w:r>
          </w:p>
        </w:tc>
        <w:tc>
          <w:tcPr>
            <w:tcW w:w="6095" w:type="dxa"/>
          </w:tcPr>
          <w:p w:rsidR="00591754" w:rsidRPr="00E33EAE" w:rsidRDefault="00591754" w:rsidP="00AD4FFC">
            <w:pPr>
              <w:tabs>
                <w:tab w:val="left" w:pos="1162"/>
              </w:tabs>
              <w:spacing w:before="120"/>
              <w:rPr>
                <w:rFonts w:cs="Arial"/>
                <w:sz w:val="18"/>
                <w:szCs w:val="20"/>
              </w:rPr>
            </w:pPr>
            <w:r w:rsidRPr="00E33EAE">
              <w:rPr>
                <w:rFonts w:cs="Arial"/>
                <w:sz w:val="18"/>
                <w:szCs w:val="20"/>
              </w:rPr>
              <w:t xml:space="preserve">Dataset based on the </w:t>
            </w:r>
            <w:r w:rsidR="00384C96" w:rsidRPr="00E33EAE">
              <w:rPr>
                <w:rFonts w:cs="Arial"/>
                <w:sz w:val="18"/>
                <w:szCs w:val="20"/>
              </w:rPr>
              <w:t>2016-17</w:t>
            </w:r>
            <w:r w:rsidRPr="00E33EAE">
              <w:rPr>
                <w:rFonts w:cs="Arial"/>
                <w:sz w:val="18"/>
                <w:szCs w:val="20"/>
              </w:rPr>
              <w:t xml:space="preserve"> </w:t>
            </w:r>
            <w:r w:rsidR="00890E17" w:rsidRPr="00E33EAE">
              <w:rPr>
                <w:rFonts w:cs="Arial"/>
                <w:sz w:val="18"/>
                <w:szCs w:val="20"/>
              </w:rPr>
              <w:t>No</w:t>
            </w:r>
            <w:r w:rsidR="00387E6D" w:rsidRPr="00E33EAE">
              <w:rPr>
                <w:rFonts w:cs="Arial"/>
                <w:sz w:val="18"/>
                <w:szCs w:val="20"/>
              </w:rPr>
              <w:t>n-A</w:t>
            </w:r>
            <w:r w:rsidR="00890E17" w:rsidRPr="00E33EAE">
              <w:rPr>
                <w:rFonts w:cs="Arial"/>
                <w:sz w:val="18"/>
                <w:szCs w:val="20"/>
              </w:rPr>
              <w:t xml:space="preserve">dmitted </w:t>
            </w:r>
            <w:proofErr w:type="gramStart"/>
            <w:r w:rsidR="00890E17" w:rsidRPr="00E33EAE">
              <w:rPr>
                <w:rFonts w:cs="Arial"/>
                <w:sz w:val="18"/>
                <w:szCs w:val="20"/>
              </w:rPr>
              <w:t>Patient  Emergency</w:t>
            </w:r>
            <w:proofErr w:type="gramEnd"/>
            <w:r w:rsidR="00890E17" w:rsidRPr="00E33EAE">
              <w:rPr>
                <w:rFonts w:cs="Arial"/>
                <w:sz w:val="18"/>
                <w:szCs w:val="20"/>
              </w:rPr>
              <w:t xml:space="preserve"> Department Care National Minimum Data Set (NAP EDC NMDS) </w:t>
            </w:r>
            <w:r w:rsidRPr="00E33EAE">
              <w:rPr>
                <w:rFonts w:cs="Arial"/>
                <w:sz w:val="18"/>
                <w:szCs w:val="20"/>
              </w:rPr>
              <w:t>located on the IHPA website.</w:t>
            </w:r>
          </w:p>
        </w:tc>
      </w:tr>
      <w:tr w:rsidR="00591754" w:rsidRPr="004B0213" w:rsidTr="001D16F6">
        <w:trPr>
          <w:cantSplit/>
          <w:jc w:val="center"/>
        </w:trPr>
        <w:tc>
          <w:tcPr>
            <w:tcW w:w="3544" w:type="dxa"/>
          </w:tcPr>
          <w:p w:rsidR="00591754" w:rsidRPr="00E33EAE" w:rsidRDefault="00384C96" w:rsidP="00AD4FFC">
            <w:pPr>
              <w:tabs>
                <w:tab w:val="left" w:pos="1162"/>
              </w:tabs>
              <w:spacing w:before="120"/>
              <w:rPr>
                <w:rFonts w:cs="Arial"/>
                <w:sz w:val="18"/>
                <w:szCs w:val="20"/>
              </w:rPr>
            </w:pPr>
            <w:r w:rsidRPr="00E33EAE">
              <w:rPr>
                <w:rFonts w:cs="Arial"/>
                <w:sz w:val="18"/>
                <w:szCs w:val="20"/>
              </w:rPr>
              <w:t>2016-17</w:t>
            </w:r>
            <w:r w:rsidR="00591754" w:rsidRPr="00E33EAE">
              <w:rPr>
                <w:rFonts w:cs="Arial"/>
                <w:sz w:val="18"/>
                <w:szCs w:val="20"/>
              </w:rPr>
              <w:t xml:space="preserve"> NWAU Price Weight tables</w:t>
            </w:r>
          </w:p>
        </w:tc>
        <w:tc>
          <w:tcPr>
            <w:tcW w:w="6095" w:type="dxa"/>
          </w:tcPr>
          <w:p w:rsidR="00591754" w:rsidRPr="00E33EAE" w:rsidRDefault="00384C96" w:rsidP="00BB0D55">
            <w:pPr>
              <w:tabs>
                <w:tab w:val="left" w:pos="1162"/>
              </w:tabs>
              <w:spacing w:before="120"/>
              <w:rPr>
                <w:rFonts w:cs="Arial"/>
                <w:sz w:val="18"/>
                <w:szCs w:val="20"/>
              </w:rPr>
            </w:pPr>
            <w:r w:rsidRPr="00E33EAE">
              <w:rPr>
                <w:rFonts w:cs="Arial"/>
                <w:sz w:val="18"/>
                <w:szCs w:val="20"/>
              </w:rPr>
              <w:t>2016-17</w:t>
            </w:r>
            <w:r w:rsidR="00591754" w:rsidRPr="00E33EAE">
              <w:rPr>
                <w:rFonts w:cs="Arial"/>
                <w:sz w:val="18"/>
                <w:szCs w:val="20"/>
              </w:rPr>
              <w:t xml:space="preserve"> Emergency Department NWAU URG and UDG Price Weight tables, found in the </w:t>
            </w:r>
            <w:r w:rsidR="00BB0D55" w:rsidRPr="00E33EAE">
              <w:rPr>
                <w:rFonts w:cs="Arial"/>
                <w:sz w:val="18"/>
                <w:szCs w:val="20"/>
              </w:rPr>
              <w:t xml:space="preserve">NEP16 </w:t>
            </w:r>
            <w:r w:rsidR="00591754" w:rsidRPr="00E33EAE">
              <w:rPr>
                <w:rFonts w:cs="Arial"/>
                <w:sz w:val="18"/>
                <w:szCs w:val="20"/>
              </w:rPr>
              <w:t>Determination.</w:t>
            </w:r>
          </w:p>
        </w:tc>
      </w:tr>
      <w:tr w:rsidR="00591754" w:rsidRPr="004B0213" w:rsidTr="001D16F6">
        <w:trPr>
          <w:cantSplit/>
          <w:jc w:val="center"/>
        </w:trPr>
        <w:tc>
          <w:tcPr>
            <w:tcW w:w="3544" w:type="dxa"/>
          </w:tcPr>
          <w:p w:rsidR="00591754" w:rsidRPr="00E33EAE" w:rsidRDefault="00384C96" w:rsidP="00AD4FFC">
            <w:pPr>
              <w:tabs>
                <w:tab w:val="left" w:pos="1162"/>
              </w:tabs>
              <w:spacing w:before="120"/>
              <w:rPr>
                <w:rFonts w:cs="Arial"/>
                <w:sz w:val="18"/>
                <w:szCs w:val="20"/>
              </w:rPr>
            </w:pPr>
            <w:r w:rsidRPr="00E33EAE">
              <w:rPr>
                <w:rFonts w:cs="Arial"/>
                <w:sz w:val="18"/>
                <w:szCs w:val="20"/>
              </w:rPr>
              <w:t>2016-17</w:t>
            </w:r>
            <w:r w:rsidR="00591754" w:rsidRPr="00E33EAE">
              <w:rPr>
                <w:rFonts w:cs="Arial"/>
                <w:sz w:val="18"/>
                <w:szCs w:val="20"/>
              </w:rPr>
              <w:t xml:space="preserve"> NWAU Adjustments</w:t>
            </w:r>
          </w:p>
        </w:tc>
        <w:tc>
          <w:tcPr>
            <w:tcW w:w="6095" w:type="dxa"/>
          </w:tcPr>
          <w:p w:rsidR="00591754" w:rsidRPr="00E33EAE" w:rsidRDefault="00384C96" w:rsidP="00BB0D55">
            <w:pPr>
              <w:tabs>
                <w:tab w:val="left" w:pos="1162"/>
              </w:tabs>
              <w:spacing w:before="120"/>
              <w:rPr>
                <w:rFonts w:cs="Arial"/>
                <w:sz w:val="18"/>
                <w:szCs w:val="20"/>
              </w:rPr>
            </w:pPr>
            <w:r w:rsidRPr="00E33EAE">
              <w:rPr>
                <w:rFonts w:cs="Arial"/>
                <w:sz w:val="18"/>
                <w:szCs w:val="20"/>
              </w:rPr>
              <w:t>2016-17</w:t>
            </w:r>
            <w:r w:rsidR="00591754" w:rsidRPr="00E33EAE">
              <w:rPr>
                <w:rFonts w:cs="Arial"/>
                <w:sz w:val="18"/>
                <w:szCs w:val="20"/>
              </w:rPr>
              <w:t xml:space="preserve"> Emergency Department NWAU Adjustments, found in the </w:t>
            </w:r>
            <w:r w:rsidR="00BB0D55" w:rsidRPr="00E33EAE">
              <w:rPr>
                <w:rFonts w:cs="Arial"/>
                <w:sz w:val="18"/>
                <w:szCs w:val="20"/>
              </w:rPr>
              <w:t xml:space="preserve">NEP16 </w:t>
            </w:r>
            <w:r w:rsidR="00591754" w:rsidRPr="00E33EAE">
              <w:rPr>
                <w:rFonts w:cs="Arial"/>
                <w:sz w:val="18"/>
                <w:szCs w:val="20"/>
              </w:rPr>
              <w:t>Determination.</w:t>
            </w:r>
          </w:p>
        </w:tc>
      </w:tr>
    </w:tbl>
    <w:p w:rsidR="00163EB6" w:rsidRDefault="00163EB6">
      <w:pPr>
        <w:pStyle w:val="table"/>
      </w:pPr>
    </w:p>
    <w:p w:rsidR="00163EB6" w:rsidRDefault="00163EB6">
      <w:pPr>
        <w:spacing w:after="200" w:line="276" w:lineRule="auto"/>
        <w:rPr>
          <w:rFonts w:ascii="Arial" w:eastAsia="Times New Roman" w:hAnsi="Arial" w:cstheme="minorHAnsi"/>
          <w:b/>
          <w:color w:val="000000"/>
          <w:sz w:val="20"/>
          <w:szCs w:val="20"/>
          <w:lang w:eastAsia="en-AU"/>
        </w:rPr>
      </w:pPr>
      <w:r>
        <w:br w:type="page"/>
      </w:r>
    </w:p>
    <w:p w:rsidR="00460371" w:rsidRDefault="00460371">
      <w:pPr>
        <w:pStyle w:val="table"/>
      </w:pPr>
      <w:r>
        <w:t>Table</w:t>
      </w:r>
      <w:bookmarkEnd w:id="356"/>
      <w:r w:rsidR="00591754">
        <w:t xml:space="preserve"> </w:t>
      </w:r>
      <w:r w:rsidR="001D25A0">
        <w:t>15</w:t>
      </w:r>
      <w:r>
        <w:t xml:space="preserve">: </w:t>
      </w:r>
      <w:r w:rsidRPr="00544F5A">
        <w:t>Assigning NWAU to emergency department patient data – variable definitions</w:t>
      </w:r>
    </w:p>
    <w:tbl>
      <w:tblPr>
        <w:tblW w:w="9587"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773"/>
        <w:gridCol w:w="1070"/>
        <w:gridCol w:w="1559"/>
        <w:gridCol w:w="2043"/>
        <w:gridCol w:w="4142"/>
      </w:tblGrid>
      <w:tr w:rsidR="00297D16" w:rsidRPr="00587976" w:rsidTr="00865674">
        <w:trPr>
          <w:cantSplit/>
          <w:trHeight w:val="245"/>
          <w:tblHeader/>
          <w:jc w:val="center"/>
        </w:trPr>
        <w:tc>
          <w:tcPr>
            <w:tcW w:w="773" w:type="dxa"/>
            <w:shd w:val="clear" w:color="auto" w:fill="BFBFBF" w:themeFill="background1" w:themeFillShade="BF"/>
            <w:noWrap/>
            <w:hideMark/>
          </w:tcPr>
          <w:p w:rsidR="00297D16" w:rsidRPr="009B707F" w:rsidRDefault="00297D16" w:rsidP="00865674">
            <w:pPr>
              <w:tabs>
                <w:tab w:val="left" w:pos="1162"/>
              </w:tabs>
              <w:spacing w:before="80" w:after="80"/>
              <w:rPr>
                <w:rFonts w:cs="Arial"/>
                <w:b/>
                <w:bCs/>
                <w:color w:val="000000"/>
                <w:sz w:val="20"/>
                <w:szCs w:val="20"/>
                <w:lang w:eastAsia="en-AU"/>
              </w:rPr>
            </w:pPr>
            <w:r w:rsidRPr="009B707F">
              <w:rPr>
                <w:rFonts w:cs="Arial"/>
                <w:b/>
                <w:bCs/>
                <w:color w:val="000000"/>
                <w:sz w:val="20"/>
                <w:szCs w:val="20"/>
                <w:lang w:eastAsia="en-AU"/>
              </w:rPr>
              <w:t>Step</w:t>
            </w:r>
          </w:p>
        </w:tc>
        <w:tc>
          <w:tcPr>
            <w:tcW w:w="1070" w:type="dxa"/>
            <w:shd w:val="clear" w:color="auto" w:fill="BFBFBF" w:themeFill="background1" w:themeFillShade="BF"/>
            <w:noWrap/>
            <w:vAlign w:val="center"/>
            <w:hideMark/>
          </w:tcPr>
          <w:p w:rsidR="00297D16" w:rsidRPr="009B707F" w:rsidRDefault="00297D16" w:rsidP="00865674">
            <w:pPr>
              <w:tabs>
                <w:tab w:val="left" w:pos="1162"/>
              </w:tabs>
              <w:spacing w:before="80" w:after="80"/>
              <w:jc w:val="center"/>
              <w:rPr>
                <w:rFonts w:cs="Arial"/>
                <w:b/>
                <w:bCs/>
                <w:color w:val="000000"/>
                <w:sz w:val="20"/>
                <w:szCs w:val="20"/>
                <w:lang w:eastAsia="en-AU"/>
              </w:rPr>
            </w:pPr>
            <w:r w:rsidRPr="009B707F">
              <w:rPr>
                <w:rFonts w:cs="Arial"/>
                <w:b/>
                <w:bCs/>
                <w:color w:val="000000"/>
                <w:sz w:val="20"/>
                <w:szCs w:val="20"/>
                <w:lang w:eastAsia="en-AU"/>
              </w:rPr>
              <w:t>Variable</w:t>
            </w:r>
          </w:p>
        </w:tc>
        <w:tc>
          <w:tcPr>
            <w:tcW w:w="1559" w:type="dxa"/>
            <w:shd w:val="clear" w:color="auto" w:fill="BFBFBF" w:themeFill="background1" w:themeFillShade="BF"/>
            <w:noWrap/>
            <w:vAlign w:val="center"/>
            <w:hideMark/>
          </w:tcPr>
          <w:p w:rsidR="00297D16" w:rsidRPr="009B707F" w:rsidRDefault="00297D16" w:rsidP="00865674">
            <w:pPr>
              <w:tabs>
                <w:tab w:val="left" w:pos="1162"/>
              </w:tabs>
              <w:spacing w:before="80" w:after="80"/>
              <w:rPr>
                <w:rFonts w:cs="Arial"/>
                <w:b/>
                <w:bCs/>
                <w:color w:val="000000"/>
                <w:sz w:val="20"/>
                <w:szCs w:val="20"/>
                <w:lang w:eastAsia="en-AU"/>
              </w:rPr>
            </w:pPr>
            <w:r w:rsidRPr="009B707F">
              <w:rPr>
                <w:rFonts w:cs="Arial"/>
                <w:b/>
                <w:bCs/>
                <w:color w:val="000000"/>
                <w:sz w:val="20"/>
                <w:szCs w:val="20"/>
                <w:lang w:eastAsia="en-AU"/>
              </w:rPr>
              <w:t>Name</w:t>
            </w:r>
          </w:p>
        </w:tc>
        <w:tc>
          <w:tcPr>
            <w:tcW w:w="2043" w:type="dxa"/>
            <w:shd w:val="clear" w:color="auto" w:fill="BFBFBF" w:themeFill="background1" w:themeFillShade="BF"/>
            <w:vAlign w:val="center"/>
            <w:hideMark/>
          </w:tcPr>
          <w:p w:rsidR="00297D16" w:rsidRPr="009B707F" w:rsidRDefault="00297D16" w:rsidP="00865674">
            <w:pPr>
              <w:tabs>
                <w:tab w:val="left" w:pos="1162"/>
              </w:tabs>
              <w:spacing w:before="80" w:after="80"/>
              <w:rPr>
                <w:rFonts w:cs="Arial"/>
                <w:b/>
                <w:bCs/>
                <w:color w:val="000000"/>
                <w:sz w:val="20"/>
                <w:szCs w:val="20"/>
                <w:lang w:eastAsia="en-AU"/>
              </w:rPr>
            </w:pPr>
            <w:r w:rsidRPr="009B707F">
              <w:rPr>
                <w:rFonts w:cs="Arial"/>
                <w:b/>
                <w:bCs/>
                <w:color w:val="000000"/>
                <w:sz w:val="20"/>
                <w:szCs w:val="20"/>
                <w:lang w:eastAsia="en-AU"/>
              </w:rPr>
              <w:t>Description</w:t>
            </w:r>
          </w:p>
        </w:tc>
        <w:tc>
          <w:tcPr>
            <w:tcW w:w="4142" w:type="dxa"/>
            <w:shd w:val="clear" w:color="auto" w:fill="BFBFBF" w:themeFill="background1" w:themeFillShade="BF"/>
            <w:vAlign w:val="center"/>
            <w:hideMark/>
          </w:tcPr>
          <w:p w:rsidR="00297D16" w:rsidRPr="009B707F" w:rsidRDefault="00297D16" w:rsidP="00865674">
            <w:pPr>
              <w:tabs>
                <w:tab w:val="left" w:pos="1162"/>
              </w:tabs>
              <w:spacing w:before="80" w:after="80"/>
              <w:rPr>
                <w:rFonts w:cs="Arial"/>
                <w:b/>
                <w:bCs/>
                <w:color w:val="000000"/>
                <w:sz w:val="20"/>
                <w:szCs w:val="20"/>
                <w:lang w:eastAsia="en-AU"/>
              </w:rPr>
            </w:pPr>
            <w:r w:rsidRPr="009B707F">
              <w:rPr>
                <w:rFonts w:cs="Arial"/>
                <w:b/>
                <w:bCs/>
                <w:color w:val="000000"/>
                <w:sz w:val="20"/>
                <w:szCs w:val="20"/>
                <w:lang w:eastAsia="en-AU"/>
              </w:rPr>
              <w:t>Definition</w:t>
            </w:r>
          </w:p>
        </w:tc>
      </w:tr>
      <w:tr w:rsidR="00297D16" w:rsidRPr="00587976" w:rsidTr="00865674">
        <w:trPr>
          <w:cantSplit/>
          <w:trHeight w:val="490"/>
          <w:jc w:val="center"/>
        </w:trPr>
        <w:tc>
          <w:tcPr>
            <w:tcW w:w="773" w:type="dxa"/>
            <w:tcBorders>
              <w:bottom w:val="single" w:sz="4" w:space="0" w:color="auto"/>
            </w:tcBorders>
            <w:shd w:val="clear" w:color="auto" w:fill="auto"/>
            <w:noWrap/>
            <w:hideMark/>
          </w:tcPr>
          <w:p w:rsidR="00297D16" w:rsidRPr="008E4B0D" w:rsidRDefault="00297D16" w:rsidP="00865674">
            <w:pPr>
              <w:tabs>
                <w:tab w:val="left" w:pos="1162"/>
              </w:tabs>
              <w:spacing w:before="80" w:after="80"/>
              <w:rPr>
                <w:rFonts w:cs="Arial"/>
                <w:color w:val="000000"/>
                <w:sz w:val="18"/>
                <w:szCs w:val="18"/>
                <w:lang w:eastAsia="en-AU"/>
              </w:rPr>
            </w:pPr>
            <w:r w:rsidRPr="008E4B0D">
              <w:rPr>
                <w:rFonts w:cs="Arial"/>
                <w:color w:val="000000"/>
                <w:sz w:val="18"/>
                <w:szCs w:val="18"/>
                <w:lang w:eastAsia="en-AU"/>
              </w:rPr>
              <w:t>Step 1</w:t>
            </w:r>
          </w:p>
        </w:tc>
        <w:tc>
          <w:tcPr>
            <w:tcW w:w="1070" w:type="dxa"/>
            <w:tcBorders>
              <w:bottom w:val="single" w:sz="4" w:space="0" w:color="auto"/>
            </w:tcBorders>
            <w:shd w:val="clear" w:color="auto" w:fill="auto"/>
            <w:noWrap/>
            <w:hideMark/>
          </w:tcPr>
          <w:p w:rsidR="00297D16" w:rsidRPr="009B707F" w:rsidRDefault="00297D16" w:rsidP="00865674">
            <w:pPr>
              <w:tabs>
                <w:tab w:val="left" w:pos="1162"/>
              </w:tabs>
              <w:spacing w:before="80" w:after="80"/>
              <w:jc w:val="center"/>
              <w:rPr>
                <w:rFonts w:cs="Arial"/>
                <w:color w:val="000000"/>
                <w:sz w:val="18"/>
                <w:szCs w:val="18"/>
                <w:lang w:eastAsia="en-AU"/>
              </w:rPr>
            </w:pPr>
            <w:r w:rsidRPr="009B707F">
              <w:rPr>
                <w:rFonts w:cs="Arial"/>
                <w:color w:val="000000"/>
                <w:sz w:val="18"/>
                <w:szCs w:val="18"/>
                <w:lang w:eastAsia="en-AU"/>
              </w:rPr>
              <w:t>E01</w:t>
            </w:r>
          </w:p>
        </w:tc>
        <w:tc>
          <w:tcPr>
            <w:tcW w:w="1559" w:type="dxa"/>
            <w:shd w:val="clear" w:color="auto" w:fill="auto"/>
            <w:noWrap/>
            <w:hideMark/>
          </w:tcPr>
          <w:p w:rsidR="00297D16" w:rsidRPr="009B707F" w:rsidRDefault="00297D16" w:rsidP="00865674">
            <w:pPr>
              <w:tabs>
                <w:tab w:val="left" w:pos="1162"/>
              </w:tabs>
              <w:spacing w:before="80" w:after="80"/>
              <w:rPr>
                <w:rFonts w:cs="Arial"/>
                <w:color w:val="000000"/>
                <w:sz w:val="18"/>
                <w:szCs w:val="18"/>
                <w:lang w:eastAsia="en-AU"/>
              </w:rPr>
            </w:pPr>
            <w:r>
              <w:rPr>
                <w:rFonts w:cs="Arial"/>
                <w:color w:val="000000"/>
                <w:sz w:val="18"/>
                <w:szCs w:val="18"/>
                <w:lang w:eastAsia="en-AU"/>
              </w:rPr>
              <w:t>_UDG</w:t>
            </w:r>
          </w:p>
        </w:tc>
        <w:tc>
          <w:tcPr>
            <w:tcW w:w="2043" w:type="dxa"/>
            <w:shd w:val="clear" w:color="auto" w:fill="auto"/>
            <w:hideMark/>
          </w:tcPr>
          <w:p w:rsidR="00297D16" w:rsidRPr="009B707F" w:rsidRDefault="00297D16"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UDG v1.3</w:t>
            </w:r>
          </w:p>
        </w:tc>
        <w:tc>
          <w:tcPr>
            <w:tcW w:w="4142" w:type="dxa"/>
            <w:shd w:val="clear" w:color="auto" w:fill="auto"/>
            <w:hideMark/>
          </w:tcPr>
          <w:p w:rsidR="00297D16" w:rsidRPr="009B707F" w:rsidRDefault="00297D16" w:rsidP="00865674">
            <w:pPr>
              <w:tabs>
                <w:tab w:val="left" w:pos="1162"/>
              </w:tabs>
              <w:spacing w:before="80" w:after="80"/>
              <w:rPr>
                <w:rFonts w:cs="Arial"/>
                <w:color w:val="000000"/>
                <w:sz w:val="18"/>
                <w:szCs w:val="18"/>
                <w:lang w:eastAsia="en-AU"/>
              </w:rPr>
            </w:pPr>
            <w:r>
              <w:rPr>
                <w:rFonts w:cs="Arial"/>
                <w:color w:val="000000"/>
                <w:sz w:val="18"/>
                <w:szCs w:val="18"/>
                <w:lang w:eastAsia="en-AU"/>
              </w:rPr>
              <w:t>Either supplied directly or d</w:t>
            </w:r>
            <w:r w:rsidRPr="009B707F">
              <w:rPr>
                <w:rFonts w:cs="Arial"/>
                <w:color w:val="000000"/>
                <w:sz w:val="18"/>
                <w:szCs w:val="18"/>
                <w:lang w:eastAsia="en-AU"/>
              </w:rPr>
              <w:t>erived from DSS variables: type of visit to Emergency Department, triage category, and episode end status. See IHPA website for details.</w:t>
            </w:r>
          </w:p>
        </w:tc>
      </w:tr>
      <w:tr w:rsidR="00F531A7" w:rsidRPr="00587976" w:rsidTr="008B4D17">
        <w:trPr>
          <w:cantSplit/>
          <w:trHeight w:val="490"/>
          <w:jc w:val="center"/>
        </w:trPr>
        <w:tc>
          <w:tcPr>
            <w:tcW w:w="773" w:type="dxa"/>
            <w:vMerge w:val="restart"/>
            <w:tcBorders>
              <w:top w:val="single" w:sz="4" w:space="0" w:color="auto"/>
            </w:tcBorders>
            <w:hideMark/>
          </w:tcPr>
          <w:p w:rsidR="00F531A7" w:rsidRPr="008E4B0D" w:rsidRDefault="00F531A7" w:rsidP="00865674">
            <w:pPr>
              <w:tabs>
                <w:tab w:val="left" w:pos="1162"/>
              </w:tabs>
              <w:spacing w:before="80" w:after="80"/>
              <w:rPr>
                <w:rFonts w:cs="Arial"/>
                <w:color w:val="000000"/>
                <w:sz w:val="18"/>
                <w:szCs w:val="18"/>
                <w:lang w:eastAsia="en-AU"/>
              </w:rPr>
            </w:pPr>
            <w:r>
              <w:rPr>
                <w:rFonts w:cs="Arial"/>
                <w:color w:val="000000"/>
                <w:sz w:val="18"/>
                <w:szCs w:val="18"/>
                <w:lang w:eastAsia="en-AU"/>
              </w:rPr>
              <w:t>Step 2</w:t>
            </w:r>
          </w:p>
        </w:tc>
        <w:tc>
          <w:tcPr>
            <w:tcW w:w="1070" w:type="dxa"/>
            <w:tcBorders>
              <w:top w:val="single" w:sz="4" w:space="0" w:color="auto"/>
              <w:bottom w:val="single" w:sz="4" w:space="0" w:color="auto"/>
            </w:tcBorders>
            <w:shd w:val="clear" w:color="auto" w:fill="auto"/>
            <w:noWrap/>
            <w:hideMark/>
          </w:tcPr>
          <w:p w:rsidR="00F531A7" w:rsidRPr="009B707F" w:rsidRDefault="00F531A7" w:rsidP="00865674">
            <w:pPr>
              <w:tabs>
                <w:tab w:val="left" w:pos="1162"/>
              </w:tabs>
              <w:spacing w:before="80" w:after="80"/>
              <w:jc w:val="center"/>
              <w:rPr>
                <w:rFonts w:cs="Arial"/>
                <w:color w:val="000000"/>
                <w:sz w:val="18"/>
                <w:szCs w:val="18"/>
                <w:lang w:eastAsia="en-AU"/>
              </w:rPr>
            </w:pPr>
            <w:r w:rsidRPr="009B707F">
              <w:rPr>
                <w:rFonts w:cs="Arial"/>
                <w:color w:val="000000"/>
                <w:sz w:val="18"/>
                <w:szCs w:val="18"/>
                <w:lang w:eastAsia="en-AU"/>
              </w:rPr>
              <w:t>E02</w:t>
            </w:r>
          </w:p>
        </w:tc>
        <w:tc>
          <w:tcPr>
            <w:tcW w:w="1559" w:type="dxa"/>
            <w:shd w:val="clear" w:color="auto" w:fill="auto"/>
            <w:noWrap/>
            <w:hideMark/>
          </w:tcPr>
          <w:p w:rsidR="00F531A7" w:rsidRPr="009B707F" w:rsidRDefault="00F531A7" w:rsidP="00865674">
            <w:pPr>
              <w:tabs>
                <w:tab w:val="left" w:pos="1162"/>
              </w:tabs>
              <w:spacing w:before="80" w:after="80"/>
              <w:rPr>
                <w:rFonts w:cs="Arial"/>
                <w:color w:val="000000"/>
                <w:sz w:val="18"/>
                <w:szCs w:val="18"/>
                <w:lang w:eastAsia="en-AU"/>
              </w:rPr>
            </w:pPr>
            <w:r>
              <w:rPr>
                <w:rFonts w:cs="Arial"/>
                <w:color w:val="000000"/>
                <w:sz w:val="18"/>
                <w:szCs w:val="18"/>
                <w:lang w:eastAsia="en-AU"/>
              </w:rPr>
              <w:t>_</w:t>
            </w:r>
            <w:proofErr w:type="spellStart"/>
            <w:r w:rsidRPr="009B707F">
              <w:rPr>
                <w:rFonts w:cs="Arial"/>
                <w:color w:val="000000"/>
                <w:sz w:val="18"/>
                <w:szCs w:val="18"/>
                <w:lang w:eastAsia="en-AU"/>
              </w:rPr>
              <w:t>pat_ind_flag</w:t>
            </w:r>
            <w:proofErr w:type="spellEnd"/>
          </w:p>
        </w:tc>
        <w:tc>
          <w:tcPr>
            <w:tcW w:w="2043" w:type="dxa"/>
            <w:shd w:val="clear" w:color="auto" w:fill="auto"/>
            <w:noWrap/>
            <w:hideMark/>
          </w:tcPr>
          <w:p w:rsidR="00F531A7" w:rsidRPr="009B707F" w:rsidRDefault="00F531A7"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Indigenous patient flag</w:t>
            </w:r>
          </w:p>
        </w:tc>
        <w:tc>
          <w:tcPr>
            <w:tcW w:w="4142" w:type="dxa"/>
            <w:shd w:val="clear" w:color="auto" w:fill="auto"/>
            <w:hideMark/>
          </w:tcPr>
          <w:p w:rsidR="00F531A7" w:rsidRPr="009B707F" w:rsidRDefault="00F531A7"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1 if Patient Indigenous Status = 1, 2 or 3; else</w:t>
            </w:r>
            <w:r w:rsidRPr="009B707F">
              <w:rPr>
                <w:rFonts w:cs="Arial"/>
                <w:color w:val="000000"/>
                <w:sz w:val="18"/>
                <w:szCs w:val="18"/>
                <w:lang w:eastAsia="en-AU"/>
              </w:rPr>
              <w:br/>
              <w:t>0.</w:t>
            </w:r>
          </w:p>
        </w:tc>
      </w:tr>
      <w:tr w:rsidR="00F531A7" w:rsidRPr="00587976" w:rsidTr="008B4D17">
        <w:trPr>
          <w:cantSplit/>
          <w:trHeight w:val="490"/>
          <w:jc w:val="center"/>
        </w:trPr>
        <w:tc>
          <w:tcPr>
            <w:tcW w:w="773" w:type="dxa"/>
            <w:vMerge/>
          </w:tcPr>
          <w:p w:rsidR="00F531A7" w:rsidRDefault="00F531A7" w:rsidP="00865674">
            <w:pPr>
              <w:tabs>
                <w:tab w:val="left" w:pos="1162"/>
              </w:tabs>
              <w:spacing w:before="80" w:after="80"/>
              <w:rPr>
                <w:rFonts w:cs="Arial"/>
                <w:color w:val="000000"/>
                <w:sz w:val="18"/>
                <w:szCs w:val="18"/>
                <w:lang w:eastAsia="en-AU"/>
              </w:rPr>
            </w:pPr>
          </w:p>
        </w:tc>
        <w:tc>
          <w:tcPr>
            <w:tcW w:w="1070" w:type="dxa"/>
            <w:tcBorders>
              <w:top w:val="single" w:sz="4" w:space="0" w:color="auto"/>
              <w:bottom w:val="single" w:sz="4" w:space="0" w:color="auto"/>
            </w:tcBorders>
            <w:shd w:val="clear" w:color="auto" w:fill="auto"/>
            <w:noWrap/>
          </w:tcPr>
          <w:p w:rsidR="00F531A7" w:rsidRPr="009B707F" w:rsidRDefault="00F531A7"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E03</w:t>
            </w:r>
          </w:p>
        </w:tc>
        <w:tc>
          <w:tcPr>
            <w:tcW w:w="1559" w:type="dxa"/>
            <w:shd w:val="clear" w:color="auto" w:fill="auto"/>
            <w:noWrap/>
          </w:tcPr>
          <w:p w:rsidR="00F531A7" w:rsidRDefault="00F531A7" w:rsidP="00865674">
            <w:pPr>
              <w:tabs>
                <w:tab w:val="left" w:pos="1162"/>
              </w:tabs>
              <w:spacing w:before="80" w:after="8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pat_age_years</w:t>
            </w:r>
            <w:proofErr w:type="spellEnd"/>
          </w:p>
        </w:tc>
        <w:tc>
          <w:tcPr>
            <w:tcW w:w="2043" w:type="dxa"/>
            <w:shd w:val="clear" w:color="auto" w:fill="auto"/>
            <w:noWrap/>
          </w:tcPr>
          <w:p w:rsidR="00F531A7" w:rsidRPr="009B707F" w:rsidRDefault="00F531A7" w:rsidP="00865674">
            <w:pPr>
              <w:tabs>
                <w:tab w:val="left" w:pos="1162"/>
              </w:tabs>
              <w:spacing w:before="80" w:after="80"/>
              <w:rPr>
                <w:rFonts w:cs="Arial"/>
                <w:color w:val="000000"/>
                <w:sz w:val="18"/>
                <w:szCs w:val="18"/>
                <w:lang w:eastAsia="en-AU"/>
              </w:rPr>
            </w:pPr>
            <w:r w:rsidRPr="00822178">
              <w:rPr>
                <w:rFonts w:cs="Arial"/>
                <w:color w:val="000000"/>
                <w:sz w:val="18"/>
                <w:szCs w:val="18"/>
                <w:lang w:eastAsia="en-AU"/>
              </w:rPr>
              <w:t>Age at admission (in years)</w:t>
            </w:r>
          </w:p>
        </w:tc>
        <w:tc>
          <w:tcPr>
            <w:tcW w:w="4142" w:type="dxa"/>
            <w:shd w:val="clear" w:color="auto" w:fill="auto"/>
          </w:tcPr>
          <w:p w:rsidR="00F531A7" w:rsidRPr="009B707F" w:rsidRDefault="00F531A7" w:rsidP="00865674">
            <w:pPr>
              <w:tabs>
                <w:tab w:val="left" w:pos="1162"/>
              </w:tabs>
              <w:spacing w:before="80" w:after="80"/>
              <w:rPr>
                <w:rFonts w:cs="Arial"/>
                <w:color w:val="000000"/>
                <w:sz w:val="18"/>
                <w:szCs w:val="18"/>
                <w:lang w:eastAsia="en-AU"/>
              </w:rPr>
            </w:pPr>
            <w:r>
              <w:rPr>
                <w:rFonts w:cs="Arial"/>
                <w:color w:val="000000"/>
                <w:sz w:val="18"/>
                <w:szCs w:val="18"/>
                <w:lang w:eastAsia="en-AU"/>
              </w:rPr>
              <w:t>T</w:t>
            </w:r>
            <w:r w:rsidRPr="00822178">
              <w:rPr>
                <w:rFonts w:cs="Arial"/>
                <w:color w:val="000000"/>
                <w:sz w:val="18"/>
                <w:szCs w:val="18"/>
                <w:lang w:eastAsia="en-AU"/>
              </w:rPr>
              <w:t>otal whole years from Date of Birth to Date of Admission.</w:t>
            </w:r>
          </w:p>
        </w:tc>
      </w:tr>
      <w:tr w:rsidR="00F531A7" w:rsidRPr="00587976" w:rsidTr="008B4D17">
        <w:trPr>
          <w:cantSplit/>
          <w:trHeight w:val="490"/>
          <w:jc w:val="center"/>
        </w:trPr>
        <w:tc>
          <w:tcPr>
            <w:tcW w:w="773" w:type="dxa"/>
            <w:vMerge/>
            <w:tcBorders>
              <w:bottom w:val="single" w:sz="4" w:space="0" w:color="auto"/>
            </w:tcBorders>
          </w:tcPr>
          <w:p w:rsidR="00F531A7" w:rsidRDefault="00F531A7" w:rsidP="00865674">
            <w:pPr>
              <w:tabs>
                <w:tab w:val="left" w:pos="1162"/>
              </w:tabs>
              <w:spacing w:before="80" w:after="80"/>
              <w:rPr>
                <w:rFonts w:cs="Arial"/>
                <w:color w:val="000000"/>
                <w:sz w:val="18"/>
                <w:szCs w:val="18"/>
                <w:lang w:eastAsia="en-AU"/>
              </w:rPr>
            </w:pPr>
          </w:p>
        </w:tc>
        <w:tc>
          <w:tcPr>
            <w:tcW w:w="1070" w:type="dxa"/>
            <w:tcBorders>
              <w:top w:val="single" w:sz="4" w:space="0" w:color="auto"/>
              <w:bottom w:val="single" w:sz="4" w:space="0" w:color="auto"/>
            </w:tcBorders>
            <w:shd w:val="clear" w:color="auto" w:fill="auto"/>
            <w:noWrap/>
          </w:tcPr>
          <w:p w:rsidR="00F531A7" w:rsidRPr="009B707F" w:rsidRDefault="00F531A7"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E04</w:t>
            </w:r>
          </w:p>
        </w:tc>
        <w:tc>
          <w:tcPr>
            <w:tcW w:w="1559" w:type="dxa"/>
            <w:shd w:val="clear" w:color="auto" w:fill="auto"/>
            <w:noWrap/>
          </w:tcPr>
          <w:p w:rsidR="00F531A7" w:rsidRDefault="00F531A7" w:rsidP="00865674">
            <w:pPr>
              <w:tabs>
                <w:tab w:val="left" w:pos="1162"/>
              </w:tabs>
              <w:spacing w:before="80" w:after="80"/>
              <w:rPr>
                <w:rFonts w:cs="Arial"/>
                <w:color w:val="000000"/>
                <w:sz w:val="18"/>
                <w:szCs w:val="18"/>
                <w:lang w:eastAsia="en-AU"/>
              </w:rPr>
            </w:pPr>
            <w:r>
              <w:rPr>
                <w:rFonts w:cs="Arial"/>
                <w:color w:val="000000"/>
                <w:sz w:val="18"/>
                <w:szCs w:val="18"/>
                <w:lang w:eastAsia="en-AU"/>
              </w:rPr>
              <w:t>_</w:t>
            </w:r>
            <w:proofErr w:type="spellStart"/>
            <w:r>
              <w:rPr>
                <w:rFonts w:cs="Arial"/>
                <w:color w:val="000000"/>
                <w:sz w:val="18"/>
                <w:szCs w:val="18"/>
                <w:lang w:eastAsia="en-AU"/>
              </w:rPr>
              <w:t>pat_age_grp</w:t>
            </w:r>
            <w:proofErr w:type="spellEnd"/>
          </w:p>
        </w:tc>
        <w:tc>
          <w:tcPr>
            <w:tcW w:w="2043" w:type="dxa"/>
            <w:shd w:val="clear" w:color="auto" w:fill="auto"/>
            <w:noWrap/>
          </w:tcPr>
          <w:p w:rsidR="00F531A7" w:rsidRPr="009B707F" w:rsidRDefault="00F531A7" w:rsidP="00865674">
            <w:pPr>
              <w:tabs>
                <w:tab w:val="left" w:pos="1162"/>
              </w:tabs>
              <w:spacing w:before="80" w:after="80"/>
              <w:rPr>
                <w:rFonts w:cs="Arial"/>
                <w:color w:val="000000"/>
                <w:sz w:val="18"/>
                <w:szCs w:val="18"/>
                <w:lang w:eastAsia="en-AU"/>
              </w:rPr>
            </w:pPr>
            <w:r>
              <w:rPr>
                <w:rFonts w:cs="Arial"/>
                <w:color w:val="000000"/>
                <w:sz w:val="18"/>
                <w:szCs w:val="18"/>
                <w:lang w:eastAsia="en-AU"/>
              </w:rPr>
              <w:t>See definition</w:t>
            </w:r>
          </w:p>
        </w:tc>
        <w:tc>
          <w:tcPr>
            <w:tcW w:w="4142" w:type="dxa"/>
            <w:shd w:val="clear" w:color="auto" w:fill="auto"/>
          </w:tcPr>
          <w:p w:rsidR="00F531A7" w:rsidRDefault="00F531A7" w:rsidP="009704D5">
            <w:pPr>
              <w:tabs>
                <w:tab w:val="left" w:pos="1162"/>
              </w:tabs>
              <w:spacing w:before="80" w:after="80"/>
              <w:rPr>
                <w:rFonts w:cs="Arial"/>
                <w:color w:val="000000"/>
                <w:sz w:val="18"/>
                <w:szCs w:val="18"/>
                <w:lang w:eastAsia="en-AU"/>
              </w:rPr>
            </w:pPr>
            <w:r>
              <w:rPr>
                <w:rFonts w:cs="Arial"/>
                <w:color w:val="000000"/>
                <w:sz w:val="18"/>
                <w:szCs w:val="18"/>
                <w:lang w:eastAsia="en-AU"/>
              </w:rPr>
              <w:t>If _</w:t>
            </w:r>
            <w:proofErr w:type="spellStart"/>
            <w:r>
              <w:rPr>
                <w:rFonts w:cs="Arial"/>
                <w:color w:val="000000"/>
                <w:sz w:val="18"/>
                <w:szCs w:val="18"/>
                <w:lang w:eastAsia="en-AU"/>
              </w:rPr>
              <w:t>pat_age_years</w:t>
            </w:r>
            <w:proofErr w:type="spellEnd"/>
            <w:r>
              <w:rPr>
                <w:rFonts w:cs="Arial"/>
                <w:color w:val="000000"/>
                <w:sz w:val="18"/>
                <w:szCs w:val="18"/>
                <w:lang w:eastAsia="en-AU"/>
              </w:rPr>
              <w:t xml:space="preserve"> less than 65 then group = 0;</w:t>
            </w:r>
          </w:p>
          <w:p w:rsidR="00F531A7" w:rsidRDefault="00F531A7" w:rsidP="009704D5">
            <w:pPr>
              <w:tabs>
                <w:tab w:val="left" w:pos="1162"/>
              </w:tabs>
              <w:spacing w:before="80" w:after="80"/>
              <w:rPr>
                <w:rFonts w:cs="Arial"/>
                <w:color w:val="000000"/>
                <w:sz w:val="18"/>
                <w:szCs w:val="18"/>
                <w:lang w:eastAsia="en-AU"/>
              </w:rPr>
            </w:pPr>
            <w:r>
              <w:rPr>
                <w:rFonts w:cs="Arial"/>
                <w:color w:val="000000"/>
                <w:sz w:val="18"/>
                <w:szCs w:val="18"/>
                <w:lang w:eastAsia="en-AU"/>
              </w:rPr>
              <w:t>else if _</w:t>
            </w:r>
            <w:proofErr w:type="spellStart"/>
            <w:r>
              <w:rPr>
                <w:rFonts w:cs="Arial"/>
                <w:color w:val="000000"/>
                <w:sz w:val="18"/>
                <w:szCs w:val="18"/>
                <w:lang w:eastAsia="en-AU"/>
              </w:rPr>
              <w:t>pat_age_years</w:t>
            </w:r>
            <w:proofErr w:type="spellEnd"/>
            <w:r>
              <w:rPr>
                <w:rFonts w:cs="Arial"/>
                <w:color w:val="000000"/>
                <w:sz w:val="18"/>
                <w:szCs w:val="18"/>
                <w:lang w:eastAsia="en-AU"/>
              </w:rPr>
              <w:t xml:space="preserve"> less than or equal to 79 then group = 1;</w:t>
            </w:r>
          </w:p>
          <w:p w:rsidR="00F531A7" w:rsidRDefault="00F531A7" w:rsidP="009704D5">
            <w:pPr>
              <w:tabs>
                <w:tab w:val="left" w:pos="1162"/>
              </w:tabs>
              <w:spacing w:before="80" w:after="80"/>
              <w:rPr>
                <w:rFonts w:cs="Arial"/>
                <w:color w:val="000000"/>
                <w:sz w:val="18"/>
                <w:szCs w:val="18"/>
                <w:lang w:eastAsia="en-AU"/>
              </w:rPr>
            </w:pPr>
            <w:r>
              <w:rPr>
                <w:rFonts w:cs="Arial"/>
                <w:color w:val="000000"/>
                <w:sz w:val="18"/>
                <w:szCs w:val="18"/>
                <w:lang w:eastAsia="en-AU"/>
              </w:rPr>
              <w:t>else if _</w:t>
            </w:r>
            <w:proofErr w:type="spellStart"/>
            <w:r>
              <w:rPr>
                <w:rFonts w:cs="Arial"/>
                <w:color w:val="000000"/>
                <w:sz w:val="18"/>
                <w:szCs w:val="18"/>
                <w:lang w:eastAsia="en-AU"/>
              </w:rPr>
              <w:t>pat_age_years</w:t>
            </w:r>
            <w:proofErr w:type="spellEnd"/>
            <w:r>
              <w:rPr>
                <w:rFonts w:cs="Arial"/>
                <w:color w:val="000000"/>
                <w:sz w:val="18"/>
                <w:szCs w:val="18"/>
                <w:lang w:eastAsia="en-AU"/>
              </w:rPr>
              <w:t xml:space="preserve"> greater than or equal to 80 then group = 2;</w:t>
            </w:r>
          </w:p>
          <w:p w:rsidR="00F531A7" w:rsidRPr="009B707F" w:rsidRDefault="00126926" w:rsidP="009704D5">
            <w:pPr>
              <w:tabs>
                <w:tab w:val="left" w:pos="1162"/>
              </w:tabs>
              <w:spacing w:before="80" w:after="80"/>
              <w:rPr>
                <w:rFonts w:cs="Arial"/>
                <w:color w:val="000000"/>
                <w:sz w:val="18"/>
                <w:szCs w:val="18"/>
                <w:lang w:eastAsia="en-AU"/>
              </w:rPr>
            </w:pPr>
            <w:r>
              <w:rPr>
                <w:rFonts w:cs="Arial"/>
                <w:color w:val="000000"/>
                <w:sz w:val="18"/>
                <w:szCs w:val="18"/>
                <w:lang w:eastAsia="en-AU"/>
              </w:rPr>
              <w:t>e</w:t>
            </w:r>
            <w:r w:rsidR="00F531A7">
              <w:rPr>
                <w:rFonts w:cs="Arial"/>
                <w:color w:val="000000"/>
                <w:sz w:val="18"/>
                <w:szCs w:val="18"/>
                <w:lang w:eastAsia="en-AU"/>
              </w:rPr>
              <w:t>lse if missing (_</w:t>
            </w:r>
            <w:proofErr w:type="spellStart"/>
            <w:r w:rsidR="00F531A7">
              <w:rPr>
                <w:rFonts w:cs="Arial"/>
                <w:color w:val="000000"/>
                <w:sz w:val="18"/>
                <w:szCs w:val="18"/>
                <w:lang w:eastAsia="en-AU"/>
              </w:rPr>
              <w:t>pat_age_years</w:t>
            </w:r>
            <w:proofErr w:type="spellEnd"/>
            <w:r w:rsidR="00F531A7">
              <w:rPr>
                <w:rFonts w:cs="Arial"/>
                <w:color w:val="000000"/>
                <w:sz w:val="18"/>
                <w:szCs w:val="18"/>
                <w:lang w:eastAsia="en-AU"/>
              </w:rPr>
              <w:t>) equals 1 the group =0</w:t>
            </w:r>
          </w:p>
        </w:tc>
      </w:tr>
      <w:tr w:rsidR="00890B58" w:rsidRPr="00587976" w:rsidTr="00865674">
        <w:trPr>
          <w:cantSplit/>
          <w:trHeight w:val="490"/>
          <w:jc w:val="center"/>
        </w:trPr>
        <w:tc>
          <w:tcPr>
            <w:tcW w:w="773" w:type="dxa"/>
            <w:vMerge w:val="restart"/>
            <w:tcBorders>
              <w:top w:val="single" w:sz="4" w:space="0" w:color="auto"/>
            </w:tcBorders>
            <w:hideMark/>
          </w:tcPr>
          <w:p w:rsidR="00890B58" w:rsidRPr="008E4B0D" w:rsidRDefault="00890B58" w:rsidP="00865674">
            <w:pPr>
              <w:tabs>
                <w:tab w:val="left" w:pos="1162"/>
              </w:tabs>
              <w:spacing w:before="80" w:after="80"/>
              <w:rPr>
                <w:rFonts w:cs="Arial"/>
                <w:color w:val="000000"/>
                <w:sz w:val="18"/>
                <w:szCs w:val="18"/>
                <w:lang w:eastAsia="en-AU"/>
              </w:rPr>
            </w:pPr>
            <w:r>
              <w:rPr>
                <w:rFonts w:cs="Arial"/>
                <w:color w:val="000000"/>
                <w:sz w:val="18"/>
                <w:szCs w:val="18"/>
                <w:lang w:eastAsia="en-AU"/>
              </w:rPr>
              <w:t>Step 3</w:t>
            </w:r>
          </w:p>
          <w:p w:rsidR="00890B58" w:rsidRPr="008E4B0D" w:rsidRDefault="00890B58" w:rsidP="00865674">
            <w:pPr>
              <w:tabs>
                <w:tab w:val="left" w:pos="1162"/>
              </w:tabs>
              <w:spacing w:before="80" w:after="80"/>
              <w:rPr>
                <w:rFonts w:cs="Arial"/>
                <w:color w:val="000000"/>
                <w:sz w:val="18"/>
                <w:szCs w:val="18"/>
                <w:lang w:eastAsia="en-AU"/>
              </w:rPr>
            </w:pPr>
          </w:p>
          <w:p w:rsidR="00890B58" w:rsidRPr="008E4B0D" w:rsidRDefault="00890B58" w:rsidP="00865674">
            <w:pPr>
              <w:tabs>
                <w:tab w:val="left" w:pos="1162"/>
              </w:tabs>
              <w:spacing w:before="80" w:after="80"/>
              <w:rPr>
                <w:rFonts w:cs="Arial"/>
                <w:color w:val="000000"/>
                <w:sz w:val="18"/>
                <w:szCs w:val="18"/>
                <w:lang w:eastAsia="en-AU"/>
              </w:rPr>
            </w:pPr>
          </w:p>
        </w:tc>
        <w:tc>
          <w:tcPr>
            <w:tcW w:w="1070" w:type="dxa"/>
            <w:tcBorders>
              <w:top w:val="single" w:sz="4" w:space="0" w:color="auto"/>
            </w:tcBorders>
            <w:shd w:val="clear" w:color="auto" w:fill="auto"/>
            <w:noWrap/>
            <w:hideMark/>
          </w:tcPr>
          <w:p w:rsidR="00890B58" w:rsidRPr="009B707F" w:rsidRDefault="00890B5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E05</w:t>
            </w:r>
          </w:p>
        </w:tc>
        <w:tc>
          <w:tcPr>
            <w:tcW w:w="1559" w:type="dxa"/>
            <w:shd w:val="clear" w:color="auto" w:fill="auto"/>
            <w:noWrap/>
            <w:hideMark/>
          </w:tcPr>
          <w:p w:rsidR="00890B58" w:rsidRPr="009B707F" w:rsidRDefault="00890B58" w:rsidP="00865674">
            <w:pPr>
              <w:tabs>
                <w:tab w:val="left" w:pos="1162"/>
              </w:tabs>
              <w:spacing w:before="80" w:after="80"/>
              <w:rPr>
                <w:rFonts w:cs="Arial"/>
                <w:color w:val="000000"/>
                <w:sz w:val="18"/>
                <w:szCs w:val="18"/>
                <w:lang w:eastAsia="en-AU"/>
              </w:rPr>
            </w:pPr>
            <w:r>
              <w:rPr>
                <w:rFonts w:cs="Arial"/>
                <w:color w:val="000000"/>
                <w:sz w:val="18"/>
                <w:szCs w:val="18"/>
                <w:lang w:eastAsia="en-AU"/>
              </w:rPr>
              <w:t>UDG_PW</w:t>
            </w:r>
          </w:p>
        </w:tc>
        <w:tc>
          <w:tcPr>
            <w:tcW w:w="2043" w:type="dxa"/>
            <w:shd w:val="clear" w:color="auto" w:fill="auto"/>
            <w:noWrap/>
            <w:hideMark/>
          </w:tcPr>
          <w:p w:rsidR="00890B58" w:rsidRPr="009B707F" w:rsidRDefault="00890B58"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See definition</w:t>
            </w:r>
          </w:p>
        </w:tc>
        <w:tc>
          <w:tcPr>
            <w:tcW w:w="4142" w:type="dxa"/>
            <w:shd w:val="clear" w:color="auto" w:fill="auto"/>
            <w:hideMark/>
          </w:tcPr>
          <w:p w:rsidR="00890B58" w:rsidRPr="009B707F" w:rsidRDefault="00890B58"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UDG price weight, taken from NWAU Price Weight table.</w:t>
            </w:r>
          </w:p>
        </w:tc>
      </w:tr>
      <w:tr w:rsidR="00890B58" w:rsidRPr="00587976" w:rsidTr="00865674">
        <w:trPr>
          <w:cantSplit/>
          <w:trHeight w:val="245"/>
          <w:jc w:val="center"/>
        </w:trPr>
        <w:tc>
          <w:tcPr>
            <w:tcW w:w="773" w:type="dxa"/>
            <w:vMerge/>
            <w:shd w:val="clear" w:color="auto" w:fill="auto"/>
            <w:noWrap/>
          </w:tcPr>
          <w:p w:rsidR="00890B58" w:rsidRPr="008E4B0D" w:rsidRDefault="00890B58" w:rsidP="00865674">
            <w:pPr>
              <w:tabs>
                <w:tab w:val="left" w:pos="1162"/>
              </w:tabs>
              <w:spacing w:before="80" w:after="80"/>
              <w:rPr>
                <w:rFonts w:cs="Arial"/>
                <w:color w:val="000000"/>
                <w:sz w:val="18"/>
                <w:szCs w:val="18"/>
                <w:lang w:eastAsia="en-AU"/>
              </w:rPr>
            </w:pPr>
          </w:p>
        </w:tc>
        <w:tc>
          <w:tcPr>
            <w:tcW w:w="1070" w:type="dxa"/>
            <w:shd w:val="clear" w:color="auto" w:fill="auto"/>
            <w:noWrap/>
            <w:hideMark/>
          </w:tcPr>
          <w:p w:rsidR="00890B58" w:rsidRPr="009B707F" w:rsidRDefault="00890B5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E06</w:t>
            </w:r>
          </w:p>
        </w:tc>
        <w:tc>
          <w:tcPr>
            <w:tcW w:w="1559" w:type="dxa"/>
            <w:shd w:val="clear" w:color="auto" w:fill="auto"/>
            <w:noWrap/>
            <w:hideMark/>
          </w:tcPr>
          <w:p w:rsidR="00890B58" w:rsidRPr="009B707F" w:rsidRDefault="00890B58" w:rsidP="00865674">
            <w:pPr>
              <w:tabs>
                <w:tab w:val="left" w:pos="1162"/>
              </w:tabs>
              <w:spacing w:before="80" w:after="80"/>
              <w:rPr>
                <w:rFonts w:cs="Arial"/>
                <w:color w:val="000000"/>
                <w:sz w:val="18"/>
                <w:szCs w:val="18"/>
                <w:lang w:eastAsia="en-AU"/>
              </w:rPr>
            </w:pPr>
            <w:r>
              <w:rPr>
                <w:rFonts w:cs="Arial"/>
                <w:color w:val="000000"/>
                <w:sz w:val="18"/>
                <w:szCs w:val="18"/>
                <w:lang w:eastAsia="en-AU"/>
              </w:rPr>
              <w:t>URG_PW</w:t>
            </w:r>
          </w:p>
        </w:tc>
        <w:tc>
          <w:tcPr>
            <w:tcW w:w="2043" w:type="dxa"/>
            <w:shd w:val="clear" w:color="auto" w:fill="auto"/>
            <w:noWrap/>
            <w:hideMark/>
          </w:tcPr>
          <w:p w:rsidR="00890B58" w:rsidRPr="009B707F" w:rsidRDefault="00890B58"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See definition</w:t>
            </w:r>
          </w:p>
        </w:tc>
        <w:tc>
          <w:tcPr>
            <w:tcW w:w="4142" w:type="dxa"/>
            <w:shd w:val="clear" w:color="auto" w:fill="auto"/>
            <w:noWrap/>
            <w:hideMark/>
          </w:tcPr>
          <w:p w:rsidR="00890B58" w:rsidRPr="009B707F" w:rsidRDefault="00890B58"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URG price weight, taken from NWAU Price Weight table.</w:t>
            </w:r>
          </w:p>
        </w:tc>
      </w:tr>
      <w:tr w:rsidR="00890B58" w:rsidRPr="00587976" w:rsidTr="00865674">
        <w:trPr>
          <w:cantSplit/>
          <w:trHeight w:val="245"/>
          <w:jc w:val="center"/>
        </w:trPr>
        <w:tc>
          <w:tcPr>
            <w:tcW w:w="773" w:type="dxa"/>
            <w:vMerge/>
            <w:shd w:val="clear" w:color="auto" w:fill="auto"/>
            <w:noWrap/>
            <w:hideMark/>
          </w:tcPr>
          <w:p w:rsidR="00890B58" w:rsidRPr="008E4B0D" w:rsidRDefault="00890B58" w:rsidP="00865674">
            <w:pPr>
              <w:tabs>
                <w:tab w:val="left" w:pos="1162"/>
              </w:tabs>
              <w:spacing w:before="80" w:after="80"/>
              <w:rPr>
                <w:rFonts w:cs="Arial"/>
                <w:color w:val="000000"/>
                <w:sz w:val="18"/>
                <w:szCs w:val="18"/>
                <w:lang w:eastAsia="en-AU"/>
              </w:rPr>
            </w:pPr>
          </w:p>
        </w:tc>
        <w:tc>
          <w:tcPr>
            <w:tcW w:w="1070" w:type="dxa"/>
            <w:shd w:val="clear" w:color="auto" w:fill="auto"/>
            <w:noWrap/>
            <w:hideMark/>
          </w:tcPr>
          <w:p w:rsidR="00890B58" w:rsidRPr="009B707F" w:rsidRDefault="00890B5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E07</w:t>
            </w:r>
          </w:p>
        </w:tc>
        <w:tc>
          <w:tcPr>
            <w:tcW w:w="1559" w:type="dxa"/>
            <w:shd w:val="clear" w:color="auto" w:fill="auto"/>
            <w:noWrap/>
            <w:hideMark/>
          </w:tcPr>
          <w:p w:rsidR="00890B58" w:rsidRPr="009B707F" w:rsidRDefault="00890B58" w:rsidP="00865674">
            <w:pPr>
              <w:tabs>
                <w:tab w:val="left" w:pos="1162"/>
              </w:tabs>
              <w:spacing w:before="80" w:after="80"/>
              <w:rPr>
                <w:rFonts w:cs="Arial"/>
                <w:color w:val="000000"/>
                <w:sz w:val="18"/>
                <w:szCs w:val="18"/>
                <w:lang w:eastAsia="en-AU"/>
              </w:rPr>
            </w:pPr>
            <w:proofErr w:type="spellStart"/>
            <w:r>
              <w:rPr>
                <w:rFonts w:cs="Arial"/>
                <w:color w:val="000000"/>
                <w:sz w:val="18"/>
                <w:szCs w:val="18"/>
                <w:lang w:eastAsia="en-AU"/>
              </w:rPr>
              <w:t>adj_</w:t>
            </w:r>
            <w:r w:rsidRPr="009B707F">
              <w:rPr>
                <w:rFonts w:cs="Arial"/>
                <w:color w:val="000000"/>
                <w:sz w:val="18"/>
                <w:szCs w:val="18"/>
                <w:lang w:eastAsia="en-AU"/>
              </w:rPr>
              <w:t>indigenous</w:t>
            </w:r>
            <w:proofErr w:type="spellEnd"/>
            <w:r w:rsidRPr="009B707F" w:rsidDel="00AC6897">
              <w:rPr>
                <w:rFonts w:cs="Arial"/>
                <w:color w:val="000000"/>
                <w:sz w:val="18"/>
                <w:szCs w:val="18"/>
                <w:lang w:eastAsia="en-AU"/>
              </w:rPr>
              <w:t xml:space="preserve"> </w:t>
            </w:r>
          </w:p>
        </w:tc>
        <w:tc>
          <w:tcPr>
            <w:tcW w:w="2043" w:type="dxa"/>
            <w:shd w:val="clear" w:color="auto" w:fill="auto"/>
            <w:noWrap/>
          </w:tcPr>
          <w:p w:rsidR="00890B58" w:rsidRPr="009B707F" w:rsidRDefault="00890B58"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See definition</w:t>
            </w:r>
          </w:p>
        </w:tc>
        <w:tc>
          <w:tcPr>
            <w:tcW w:w="4142" w:type="dxa"/>
            <w:shd w:val="clear" w:color="auto" w:fill="auto"/>
            <w:noWrap/>
          </w:tcPr>
          <w:p w:rsidR="00890B58" w:rsidRPr="009B707F" w:rsidRDefault="00890B58"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Indigenous adjustment from NWAU Adjustment table.</w:t>
            </w:r>
          </w:p>
        </w:tc>
      </w:tr>
      <w:tr w:rsidR="00890B58" w:rsidRPr="00587976" w:rsidTr="00865674">
        <w:trPr>
          <w:cantSplit/>
          <w:trHeight w:val="490"/>
          <w:jc w:val="center"/>
        </w:trPr>
        <w:tc>
          <w:tcPr>
            <w:tcW w:w="773" w:type="dxa"/>
            <w:vMerge/>
            <w:shd w:val="clear" w:color="auto" w:fill="auto"/>
            <w:noWrap/>
          </w:tcPr>
          <w:p w:rsidR="00890B58" w:rsidRPr="008E4B0D" w:rsidRDefault="00890B58" w:rsidP="00865674">
            <w:pPr>
              <w:tabs>
                <w:tab w:val="left" w:pos="1162"/>
              </w:tabs>
              <w:spacing w:before="80" w:after="80"/>
              <w:rPr>
                <w:rFonts w:cs="Arial"/>
                <w:color w:val="000000"/>
                <w:sz w:val="18"/>
                <w:szCs w:val="18"/>
                <w:lang w:eastAsia="en-AU"/>
              </w:rPr>
            </w:pPr>
          </w:p>
        </w:tc>
        <w:tc>
          <w:tcPr>
            <w:tcW w:w="1070" w:type="dxa"/>
            <w:shd w:val="clear" w:color="auto" w:fill="auto"/>
            <w:noWrap/>
          </w:tcPr>
          <w:p w:rsidR="00890B58" w:rsidRPr="009B707F" w:rsidRDefault="00890B58"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E08</w:t>
            </w:r>
          </w:p>
        </w:tc>
        <w:tc>
          <w:tcPr>
            <w:tcW w:w="1559" w:type="dxa"/>
            <w:shd w:val="clear" w:color="auto" w:fill="auto"/>
            <w:noWrap/>
          </w:tcPr>
          <w:p w:rsidR="00890B58" w:rsidRDefault="00890B58" w:rsidP="00865674">
            <w:pPr>
              <w:tabs>
                <w:tab w:val="left" w:pos="1162"/>
              </w:tabs>
              <w:spacing w:before="80" w:after="80"/>
              <w:rPr>
                <w:rFonts w:cs="Arial"/>
                <w:color w:val="000000"/>
                <w:sz w:val="18"/>
                <w:szCs w:val="18"/>
                <w:lang w:eastAsia="en-AU"/>
              </w:rPr>
            </w:pPr>
            <w:proofErr w:type="spellStart"/>
            <w:r>
              <w:rPr>
                <w:rFonts w:cs="Arial"/>
                <w:color w:val="000000"/>
                <w:sz w:val="18"/>
                <w:szCs w:val="18"/>
                <w:lang w:eastAsia="en-AU"/>
              </w:rPr>
              <w:t>adj_age</w:t>
            </w:r>
            <w:proofErr w:type="spellEnd"/>
          </w:p>
        </w:tc>
        <w:tc>
          <w:tcPr>
            <w:tcW w:w="2043" w:type="dxa"/>
            <w:shd w:val="clear" w:color="auto" w:fill="auto"/>
            <w:noWrap/>
          </w:tcPr>
          <w:p w:rsidR="00890B58" w:rsidRDefault="00890B58" w:rsidP="00865674">
            <w:pPr>
              <w:tabs>
                <w:tab w:val="left" w:pos="1162"/>
              </w:tabs>
              <w:spacing w:before="80" w:after="80"/>
              <w:rPr>
                <w:rFonts w:cs="Arial"/>
                <w:color w:val="000000"/>
                <w:sz w:val="18"/>
                <w:szCs w:val="18"/>
                <w:lang w:eastAsia="en-AU"/>
              </w:rPr>
            </w:pPr>
            <w:r w:rsidRPr="009B707F">
              <w:rPr>
                <w:rFonts w:cs="Arial"/>
                <w:color w:val="000000"/>
                <w:sz w:val="18"/>
                <w:szCs w:val="18"/>
                <w:lang w:eastAsia="en-AU"/>
              </w:rPr>
              <w:t>See definition</w:t>
            </w:r>
          </w:p>
        </w:tc>
        <w:tc>
          <w:tcPr>
            <w:tcW w:w="4142" w:type="dxa"/>
            <w:shd w:val="clear" w:color="auto" w:fill="auto"/>
          </w:tcPr>
          <w:p w:rsidR="00890B58" w:rsidRDefault="00890B58" w:rsidP="00865674">
            <w:pPr>
              <w:tabs>
                <w:tab w:val="left" w:pos="1162"/>
              </w:tabs>
              <w:spacing w:before="80" w:after="80"/>
              <w:rPr>
                <w:rFonts w:cs="Arial"/>
                <w:color w:val="000000"/>
                <w:sz w:val="18"/>
                <w:szCs w:val="18"/>
                <w:lang w:eastAsia="en-AU"/>
              </w:rPr>
            </w:pPr>
            <w:r>
              <w:rPr>
                <w:rFonts w:cs="Arial"/>
                <w:color w:val="000000"/>
                <w:sz w:val="18"/>
                <w:szCs w:val="18"/>
                <w:lang w:eastAsia="en-AU"/>
              </w:rPr>
              <w:t>Age adjustment from NWAU Adjustment table.</w:t>
            </w:r>
          </w:p>
        </w:tc>
      </w:tr>
      <w:tr w:rsidR="00297D16" w:rsidRPr="00587976" w:rsidTr="00865674">
        <w:trPr>
          <w:cantSplit/>
          <w:trHeight w:val="490"/>
          <w:jc w:val="center"/>
        </w:trPr>
        <w:tc>
          <w:tcPr>
            <w:tcW w:w="773" w:type="dxa"/>
            <w:shd w:val="clear" w:color="auto" w:fill="auto"/>
            <w:noWrap/>
            <w:hideMark/>
          </w:tcPr>
          <w:p w:rsidR="00297D16" w:rsidRPr="008E4B0D" w:rsidRDefault="00297D16" w:rsidP="00865674">
            <w:pPr>
              <w:tabs>
                <w:tab w:val="left" w:pos="1162"/>
              </w:tabs>
              <w:spacing w:before="80" w:after="80"/>
              <w:rPr>
                <w:rFonts w:cs="Arial"/>
                <w:color w:val="000000"/>
                <w:sz w:val="18"/>
                <w:szCs w:val="18"/>
                <w:lang w:eastAsia="en-AU"/>
              </w:rPr>
            </w:pPr>
            <w:r w:rsidRPr="008E4B0D">
              <w:rPr>
                <w:rFonts w:cs="Arial"/>
                <w:color w:val="000000"/>
                <w:sz w:val="18"/>
                <w:szCs w:val="18"/>
                <w:lang w:eastAsia="en-AU"/>
              </w:rPr>
              <w:t xml:space="preserve">Step </w:t>
            </w:r>
            <w:r>
              <w:rPr>
                <w:rFonts w:cs="Arial"/>
                <w:color w:val="000000"/>
                <w:sz w:val="18"/>
                <w:szCs w:val="18"/>
                <w:lang w:eastAsia="en-AU"/>
              </w:rPr>
              <w:t>4</w:t>
            </w:r>
          </w:p>
        </w:tc>
        <w:tc>
          <w:tcPr>
            <w:tcW w:w="1070" w:type="dxa"/>
            <w:shd w:val="clear" w:color="auto" w:fill="auto"/>
            <w:noWrap/>
            <w:hideMark/>
          </w:tcPr>
          <w:p w:rsidR="00297D16" w:rsidRPr="009B707F" w:rsidRDefault="0093328C"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E09</w:t>
            </w:r>
          </w:p>
        </w:tc>
        <w:tc>
          <w:tcPr>
            <w:tcW w:w="1559" w:type="dxa"/>
            <w:shd w:val="clear" w:color="auto" w:fill="auto"/>
            <w:noWrap/>
            <w:hideMark/>
          </w:tcPr>
          <w:p w:rsidR="00297D16" w:rsidRPr="009B707F" w:rsidRDefault="00297D16" w:rsidP="00865674">
            <w:pPr>
              <w:tabs>
                <w:tab w:val="left" w:pos="1162"/>
              </w:tabs>
              <w:spacing w:before="80" w:after="80"/>
              <w:rPr>
                <w:rFonts w:cs="Arial"/>
                <w:color w:val="000000"/>
                <w:sz w:val="18"/>
                <w:szCs w:val="18"/>
                <w:lang w:eastAsia="en-AU"/>
              </w:rPr>
            </w:pPr>
            <w:proofErr w:type="spellStart"/>
            <w:r>
              <w:rPr>
                <w:rFonts w:cs="Arial"/>
                <w:color w:val="000000"/>
                <w:sz w:val="18"/>
                <w:szCs w:val="18"/>
                <w:lang w:eastAsia="en-AU"/>
              </w:rPr>
              <w:t>Error_Code</w:t>
            </w:r>
            <w:proofErr w:type="spellEnd"/>
          </w:p>
        </w:tc>
        <w:tc>
          <w:tcPr>
            <w:tcW w:w="2043" w:type="dxa"/>
            <w:shd w:val="clear" w:color="auto" w:fill="auto"/>
            <w:noWrap/>
            <w:hideMark/>
          </w:tcPr>
          <w:p w:rsidR="00297D16" w:rsidRPr="009B707F" w:rsidRDefault="00297D16" w:rsidP="00865674">
            <w:pPr>
              <w:tabs>
                <w:tab w:val="left" w:pos="1162"/>
              </w:tabs>
              <w:spacing w:before="80" w:after="80"/>
              <w:rPr>
                <w:rFonts w:cs="Arial"/>
                <w:color w:val="000000"/>
                <w:sz w:val="18"/>
                <w:szCs w:val="18"/>
                <w:lang w:eastAsia="en-AU"/>
              </w:rPr>
            </w:pPr>
            <w:r>
              <w:rPr>
                <w:rFonts w:cs="Arial"/>
                <w:color w:val="000000"/>
                <w:sz w:val="18"/>
                <w:szCs w:val="18"/>
                <w:lang w:eastAsia="en-AU"/>
              </w:rPr>
              <w:t>See definition</w:t>
            </w:r>
          </w:p>
        </w:tc>
        <w:tc>
          <w:tcPr>
            <w:tcW w:w="4142" w:type="dxa"/>
            <w:shd w:val="clear" w:color="auto" w:fill="auto"/>
            <w:hideMark/>
          </w:tcPr>
          <w:p w:rsidR="00297D16" w:rsidRPr="009B707F" w:rsidRDefault="00297D16" w:rsidP="00865674">
            <w:pPr>
              <w:tabs>
                <w:tab w:val="left" w:pos="1162"/>
              </w:tabs>
              <w:spacing w:before="80" w:after="80"/>
              <w:rPr>
                <w:rFonts w:cs="Arial"/>
                <w:color w:val="000000"/>
                <w:sz w:val="18"/>
                <w:szCs w:val="18"/>
                <w:lang w:eastAsia="en-AU"/>
              </w:rPr>
            </w:pPr>
            <w:r>
              <w:rPr>
                <w:rFonts w:cs="Arial"/>
                <w:color w:val="000000"/>
                <w:sz w:val="18"/>
                <w:szCs w:val="18"/>
                <w:lang w:eastAsia="en-AU"/>
              </w:rPr>
              <w:t>Outlines Errors in calculations</w:t>
            </w:r>
          </w:p>
        </w:tc>
      </w:tr>
      <w:tr w:rsidR="00297D16" w:rsidRPr="00587976" w:rsidTr="00865674">
        <w:trPr>
          <w:cantSplit/>
          <w:trHeight w:val="490"/>
          <w:jc w:val="center"/>
        </w:trPr>
        <w:tc>
          <w:tcPr>
            <w:tcW w:w="773" w:type="dxa"/>
            <w:vMerge w:val="restart"/>
            <w:shd w:val="clear" w:color="auto" w:fill="auto"/>
            <w:noWrap/>
          </w:tcPr>
          <w:p w:rsidR="00297D16" w:rsidRPr="008E4B0D" w:rsidRDefault="00297D16" w:rsidP="00865674">
            <w:pPr>
              <w:tabs>
                <w:tab w:val="left" w:pos="1162"/>
              </w:tabs>
              <w:spacing w:before="80" w:after="80"/>
              <w:rPr>
                <w:rFonts w:cs="Arial"/>
                <w:color w:val="000000"/>
                <w:sz w:val="18"/>
                <w:szCs w:val="18"/>
                <w:lang w:eastAsia="en-AU"/>
              </w:rPr>
            </w:pPr>
            <w:r>
              <w:rPr>
                <w:rFonts w:cs="Arial"/>
                <w:color w:val="000000"/>
                <w:sz w:val="18"/>
                <w:szCs w:val="18"/>
                <w:lang w:eastAsia="en-AU"/>
              </w:rPr>
              <w:t>Step 5</w:t>
            </w:r>
          </w:p>
        </w:tc>
        <w:tc>
          <w:tcPr>
            <w:tcW w:w="1070" w:type="dxa"/>
            <w:shd w:val="clear" w:color="auto" w:fill="auto"/>
            <w:noWrap/>
          </w:tcPr>
          <w:p w:rsidR="00297D16" w:rsidRPr="009B707F" w:rsidRDefault="0093328C" w:rsidP="0093328C">
            <w:pPr>
              <w:tabs>
                <w:tab w:val="left" w:pos="1162"/>
              </w:tabs>
              <w:spacing w:before="80" w:after="80"/>
              <w:jc w:val="center"/>
              <w:rPr>
                <w:rFonts w:cs="Arial"/>
                <w:color w:val="000000"/>
                <w:sz w:val="18"/>
                <w:szCs w:val="18"/>
                <w:lang w:eastAsia="en-AU"/>
              </w:rPr>
            </w:pPr>
            <w:r>
              <w:rPr>
                <w:rFonts w:cs="Arial"/>
                <w:color w:val="000000"/>
                <w:sz w:val="18"/>
                <w:szCs w:val="18"/>
                <w:lang w:eastAsia="en-AU"/>
              </w:rPr>
              <w:t>E10</w:t>
            </w:r>
          </w:p>
        </w:tc>
        <w:tc>
          <w:tcPr>
            <w:tcW w:w="1559" w:type="dxa"/>
            <w:shd w:val="clear" w:color="auto" w:fill="auto"/>
            <w:noWrap/>
          </w:tcPr>
          <w:p w:rsidR="00297D16" w:rsidRDefault="00297D16" w:rsidP="00865674">
            <w:pPr>
              <w:tabs>
                <w:tab w:val="left" w:pos="1162"/>
              </w:tabs>
              <w:spacing w:before="80" w:after="80"/>
              <w:rPr>
                <w:rFonts w:cs="Arial"/>
                <w:color w:val="000000"/>
                <w:sz w:val="18"/>
                <w:szCs w:val="18"/>
                <w:lang w:eastAsia="en-AU"/>
              </w:rPr>
            </w:pPr>
            <w:r>
              <w:rPr>
                <w:rFonts w:cs="Arial"/>
                <w:color w:val="000000"/>
                <w:sz w:val="18"/>
                <w:szCs w:val="18"/>
                <w:lang w:eastAsia="en-AU"/>
              </w:rPr>
              <w:t>_w01</w:t>
            </w:r>
          </w:p>
        </w:tc>
        <w:tc>
          <w:tcPr>
            <w:tcW w:w="2043" w:type="dxa"/>
            <w:shd w:val="clear" w:color="auto" w:fill="auto"/>
            <w:noWrap/>
          </w:tcPr>
          <w:p w:rsidR="00297D16" w:rsidRDefault="00297D16" w:rsidP="00865674">
            <w:pPr>
              <w:tabs>
                <w:tab w:val="left" w:pos="1162"/>
              </w:tabs>
              <w:spacing w:before="80" w:after="80"/>
              <w:rPr>
                <w:rFonts w:cs="Arial"/>
                <w:color w:val="000000"/>
                <w:sz w:val="18"/>
                <w:szCs w:val="18"/>
                <w:lang w:eastAsia="en-AU"/>
              </w:rPr>
            </w:pPr>
            <w:r w:rsidRPr="00E33EAE">
              <w:rPr>
                <w:rFonts w:cs="Arial"/>
                <w:color w:val="000000"/>
                <w:sz w:val="18"/>
                <w:szCs w:val="18"/>
                <w:lang w:eastAsia="en-AU"/>
              </w:rPr>
              <w:t>Base predicted</w:t>
            </w:r>
          </w:p>
        </w:tc>
        <w:tc>
          <w:tcPr>
            <w:tcW w:w="4142" w:type="dxa"/>
            <w:shd w:val="clear" w:color="auto" w:fill="auto"/>
          </w:tcPr>
          <w:p w:rsidR="00297D16" w:rsidRDefault="00297D16" w:rsidP="00865674">
            <w:pPr>
              <w:tabs>
                <w:tab w:val="left" w:pos="1162"/>
              </w:tabs>
              <w:spacing w:before="80" w:after="80"/>
              <w:rPr>
                <w:rFonts w:cs="Arial"/>
                <w:color w:val="000000"/>
                <w:sz w:val="18"/>
                <w:szCs w:val="18"/>
                <w:lang w:eastAsia="en-AU"/>
              </w:rPr>
            </w:pPr>
            <w:r>
              <w:rPr>
                <w:rFonts w:cs="Arial"/>
                <w:color w:val="000000"/>
                <w:sz w:val="18"/>
                <w:szCs w:val="18"/>
                <w:lang w:eastAsia="en-AU"/>
              </w:rPr>
              <w:t>Ad</w:t>
            </w:r>
            <w:r w:rsidR="0073435B">
              <w:rPr>
                <w:rFonts w:cs="Arial"/>
                <w:color w:val="000000"/>
                <w:sz w:val="18"/>
                <w:szCs w:val="18"/>
                <w:lang w:eastAsia="en-AU"/>
              </w:rPr>
              <w:t>opt URG_PW if available else UD</w:t>
            </w:r>
            <w:r w:rsidR="0045546E">
              <w:rPr>
                <w:rFonts w:cs="Arial"/>
                <w:color w:val="000000"/>
                <w:sz w:val="18"/>
                <w:szCs w:val="18"/>
                <w:lang w:eastAsia="en-AU"/>
              </w:rPr>
              <w:t>G</w:t>
            </w:r>
            <w:r>
              <w:rPr>
                <w:rFonts w:cs="Arial"/>
                <w:color w:val="000000"/>
                <w:sz w:val="18"/>
                <w:szCs w:val="18"/>
                <w:lang w:eastAsia="en-AU"/>
              </w:rPr>
              <w:t>_PW</w:t>
            </w:r>
          </w:p>
        </w:tc>
      </w:tr>
      <w:tr w:rsidR="00297D16" w:rsidRPr="00587976" w:rsidTr="00865674">
        <w:trPr>
          <w:cantSplit/>
          <w:trHeight w:val="490"/>
          <w:jc w:val="center"/>
        </w:trPr>
        <w:tc>
          <w:tcPr>
            <w:tcW w:w="773" w:type="dxa"/>
            <w:vMerge/>
            <w:shd w:val="clear" w:color="auto" w:fill="auto"/>
            <w:noWrap/>
          </w:tcPr>
          <w:p w:rsidR="00297D16" w:rsidRDefault="00297D16" w:rsidP="00865674">
            <w:pPr>
              <w:tabs>
                <w:tab w:val="left" w:pos="1162"/>
              </w:tabs>
              <w:spacing w:before="80" w:after="80"/>
              <w:rPr>
                <w:rFonts w:cs="Arial"/>
                <w:color w:val="000000"/>
                <w:sz w:val="18"/>
                <w:szCs w:val="18"/>
                <w:lang w:eastAsia="en-AU"/>
              </w:rPr>
            </w:pPr>
          </w:p>
        </w:tc>
        <w:tc>
          <w:tcPr>
            <w:tcW w:w="1070" w:type="dxa"/>
            <w:shd w:val="clear" w:color="auto" w:fill="auto"/>
            <w:noWrap/>
          </w:tcPr>
          <w:p w:rsidR="00297D16" w:rsidRDefault="0093328C"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E11</w:t>
            </w:r>
          </w:p>
        </w:tc>
        <w:tc>
          <w:tcPr>
            <w:tcW w:w="1559" w:type="dxa"/>
            <w:shd w:val="clear" w:color="auto" w:fill="auto"/>
            <w:noWrap/>
          </w:tcPr>
          <w:p w:rsidR="00297D16" w:rsidRDefault="00BB0D55" w:rsidP="00BB0D55">
            <w:pPr>
              <w:tabs>
                <w:tab w:val="left" w:pos="1162"/>
              </w:tabs>
              <w:spacing w:before="80" w:after="80"/>
              <w:rPr>
                <w:rFonts w:cs="Arial"/>
                <w:color w:val="000000"/>
                <w:sz w:val="18"/>
                <w:szCs w:val="18"/>
                <w:lang w:eastAsia="en-AU"/>
              </w:rPr>
            </w:pPr>
            <w:r>
              <w:rPr>
                <w:rFonts w:cs="Arial"/>
                <w:color w:val="000000"/>
                <w:sz w:val="18"/>
                <w:szCs w:val="18"/>
                <w:lang w:eastAsia="en-AU"/>
              </w:rPr>
              <w:t>GWAU16</w:t>
            </w:r>
          </w:p>
        </w:tc>
        <w:tc>
          <w:tcPr>
            <w:tcW w:w="2043" w:type="dxa"/>
            <w:shd w:val="clear" w:color="auto" w:fill="auto"/>
            <w:noWrap/>
          </w:tcPr>
          <w:p w:rsidR="00297D16" w:rsidRPr="00E33EAE" w:rsidRDefault="00297D16" w:rsidP="00865674">
            <w:pPr>
              <w:tabs>
                <w:tab w:val="left" w:pos="1162"/>
              </w:tabs>
              <w:spacing w:before="80" w:after="80"/>
              <w:rPr>
                <w:rFonts w:cs="Arial"/>
                <w:color w:val="000000"/>
                <w:sz w:val="18"/>
                <w:szCs w:val="18"/>
                <w:lang w:eastAsia="en-AU"/>
              </w:rPr>
            </w:pPr>
            <w:r w:rsidRPr="00E33EAE">
              <w:rPr>
                <w:rFonts w:cs="Arial"/>
                <w:color w:val="000000"/>
                <w:sz w:val="18"/>
                <w:szCs w:val="18"/>
                <w:lang w:eastAsia="en-AU"/>
              </w:rPr>
              <w:t>Gross Weighted Activity Unit</w:t>
            </w:r>
          </w:p>
        </w:tc>
        <w:tc>
          <w:tcPr>
            <w:tcW w:w="4142" w:type="dxa"/>
            <w:shd w:val="clear" w:color="auto" w:fill="auto"/>
          </w:tcPr>
          <w:p w:rsidR="00297D16" w:rsidRDefault="00297D16" w:rsidP="00865674">
            <w:pPr>
              <w:tabs>
                <w:tab w:val="left" w:pos="1162"/>
              </w:tabs>
              <w:spacing w:before="80" w:after="80"/>
              <w:rPr>
                <w:rFonts w:cs="Arial"/>
                <w:color w:val="000000"/>
                <w:sz w:val="18"/>
                <w:szCs w:val="18"/>
                <w:lang w:eastAsia="en-AU"/>
              </w:rPr>
            </w:pPr>
            <w:r>
              <w:rPr>
                <w:rFonts w:cs="Arial"/>
                <w:color w:val="000000"/>
                <w:sz w:val="18"/>
                <w:szCs w:val="18"/>
                <w:lang w:eastAsia="en-AU"/>
              </w:rPr>
              <w:t>_w01*(1+adj_indigenous)</w:t>
            </w:r>
            <w:r w:rsidR="0032126E">
              <w:rPr>
                <w:rFonts w:cs="Arial"/>
                <w:color w:val="000000"/>
                <w:sz w:val="18"/>
                <w:szCs w:val="18"/>
                <w:lang w:eastAsia="en-AU"/>
              </w:rPr>
              <w:t>*(1+adj_age)</w:t>
            </w:r>
          </w:p>
        </w:tc>
      </w:tr>
      <w:tr w:rsidR="00297D16" w:rsidRPr="00587976" w:rsidTr="00865674">
        <w:trPr>
          <w:cantSplit/>
          <w:trHeight w:val="490"/>
          <w:jc w:val="center"/>
        </w:trPr>
        <w:tc>
          <w:tcPr>
            <w:tcW w:w="773" w:type="dxa"/>
            <w:vMerge/>
            <w:shd w:val="clear" w:color="auto" w:fill="auto"/>
            <w:noWrap/>
          </w:tcPr>
          <w:p w:rsidR="00297D16" w:rsidRDefault="00297D16" w:rsidP="00865674">
            <w:pPr>
              <w:tabs>
                <w:tab w:val="left" w:pos="1162"/>
              </w:tabs>
              <w:spacing w:before="80" w:after="80"/>
              <w:rPr>
                <w:rFonts w:cs="Arial"/>
                <w:color w:val="000000"/>
                <w:sz w:val="18"/>
                <w:szCs w:val="18"/>
                <w:lang w:eastAsia="en-AU"/>
              </w:rPr>
            </w:pPr>
          </w:p>
        </w:tc>
        <w:tc>
          <w:tcPr>
            <w:tcW w:w="1070" w:type="dxa"/>
            <w:shd w:val="clear" w:color="auto" w:fill="auto"/>
            <w:noWrap/>
          </w:tcPr>
          <w:p w:rsidR="00297D16" w:rsidRDefault="0093328C" w:rsidP="00865674">
            <w:pPr>
              <w:tabs>
                <w:tab w:val="left" w:pos="1162"/>
              </w:tabs>
              <w:spacing w:before="80" w:after="80"/>
              <w:jc w:val="center"/>
              <w:rPr>
                <w:rFonts w:cs="Arial"/>
                <w:color w:val="000000"/>
                <w:sz w:val="18"/>
                <w:szCs w:val="18"/>
                <w:lang w:eastAsia="en-AU"/>
              </w:rPr>
            </w:pPr>
            <w:r>
              <w:rPr>
                <w:rFonts w:cs="Arial"/>
                <w:color w:val="000000"/>
                <w:sz w:val="18"/>
                <w:szCs w:val="18"/>
                <w:lang w:eastAsia="en-AU"/>
              </w:rPr>
              <w:t>E12</w:t>
            </w:r>
          </w:p>
        </w:tc>
        <w:tc>
          <w:tcPr>
            <w:tcW w:w="1559" w:type="dxa"/>
            <w:shd w:val="clear" w:color="auto" w:fill="auto"/>
            <w:noWrap/>
          </w:tcPr>
          <w:p w:rsidR="00297D16" w:rsidRDefault="00BB0D55" w:rsidP="00BB0D55">
            <w:pPr>
              <w:tabs>
                <w:tab w:val="left" w:pos="1162"/>
              </w:tabs>
              <w:spacing w:before="80" w:after="80"/>
              <w:rPr>
                <w:rFonts w:cs="Arial"/>
                <w:color w:val="000000"/>
                <w:sz w:val="18"/>
                <w:szCs w:val="18"/>
                <w:lang w:eastAsia="en-AU"/>
              </w:rPr>
            </w:pPr>
            <w:r>
              <w:rPr>
                <w:rFonts w:cs="Arial"/>
                <w:color w:val="000000"/>
                <w:sz w:val="18"/>
                <w:szCs w:val="18"/>
                <w:lang w:eastAsia="en-AU"/>
              </w:rPr>
              <w:t>NWAU16</w:t>
            </w:r>
          </w:p>
        </w:tc>
        <w:tc>
          <w:tcPr>
            <w:tcW w:w="2043" w:type="dxa"/>
            <w:shd w:val="clear" w:color="auto" w:fill="auto"/>
            <w:noWrap/>
          </w:tcPr>
          <w:p w:rsidR="00297D16" w:rsidRPr="00E33EAE" w:rsidRDefault="0073435B" w:rsidP="00865674">
            <w:pPr>
              <w:tabs>
                <w:tab w:val="left" w:pos="1162"/>
              </w:tabs>
              <w:spacing w:before="80" w:after="80"/>
              <w:rPr>
                <w:rFonts w:cs="Arial"/>
                <w:color w:val="000000"/>
                <w:sz w:val="18"/>
                <w:szCs w:val="18"/>
                <w:lang w:eastAsia="en-AU"/>
              </w:rPr>
            </w:pPr>
            <w:r w:rsidRPr="00E33EAE">
              <w:rPr>
                <w:rFonts w:cs="Arial"/>
                <w:color w:val="000000"/>
                <w:sz w:val="18"/>
                <w:szCs w:val="18"/>
                <w:lang w:eastAsia="en-AU"/>
              </w:rPr>
              <w:t>National Weighted Activity U</w:t>
            </w:r>
            <w:r w:rsidR="00297D16" w:rsidRPr="00E33EAE">
              <w:rPr>
                <w:rFonts w:cs="Arial"/>
                <w:color w:val="000000"/>
                <w:sz w:val="18"/>
                <w:szCs w:val="18"/>
                <w:lang w:eastAsia="en-AU"/>
              </w:rPr>
              <w:t>nit</w:t>
            </w:r>
          </w:p>
        </w:tc>
        <w:tc>
          <w:tcPr>
            <w:tcW w:w="4142" w:type="dxa"/>
            <w:shd w:val="clear" w:color="auto" w:fill="auto"/>
          </w:tcPr>
          <w:p w:rsidR="00297D16" w:rsidRDefault="00BB0D55" w:rsidP="00BB0D55">
            <w:pPr>
              <w:tabs>
                <w:tab w:val="left" w:pos="1162"/>
              </w:tabs>
              <w:spacing w:before="80" w:after="80"/>
              <w:rPr>
                <w:rFonts w:cs="Arial"/>
                <w:color w:val="000000"/>
                <w:sz w:val="18"/>
                <w:szCs w:val="18"/>
                <w:lang w:eastAsia="en-AU"/>
              </w:rPr>
            </w:pPr>
            <w:r>
              <w:rPr>
                <w:rFonts w:cs="Arial"/>
                <w:color w:val="000000"/>
                <w:sz w:val="18"/>
                <w:szCs w:val="18"/>
                <w:lang w:eastAsia="en-AU"/>
              </w:rPr>
              <w:t xml:space="preserve">GWAU16 </w:t>
            </w:r>
            <w:r w:rsidR="00297D16">
              <w:rPr>
                <w:rFonts w:cs="Arial"/>
                <w:color w:val="000000"/>
                <w:sz w:val="18"/>
                <w:szCs w:val="18"/>
                <w:lang w:eastAsia="en-AU"/>
              </w:rPr>
              <w:t xml:space="preserve">for </w:t>
            </w:r>
            <w:r w:rsidR="00347801">
              <w:rPr>
                <w:rFonts w:cs="Arial"/>
                <w:color w:val="000000"/>
                <w:sz w:val="18"/>
                <w:szCs w:val="18"/>
                <w:lang w:eastAsia="en-AU"/>
              </w:rPr>
              <w:t>in-scope</w:t>
            </w:r>
            <w:r w:rsidR="00297D16">
              <w:rPr>
                <w:rFonts w:cs="Arial"/>
                <w:color w:val="000000"/>
                <w:sz w:val="18"/>
                <w:szCs w:val="18"/>
                <w:lang w:eastAsia="en-AU"/>
              </w:rPr>
              <w:t xml:space="preserve"> patients only (i.e. non DVA and Compensable patients)</w:t>
            </w:r>
          </w:p>
        </w:tc>
      </w:tr>
    </w:tbl>
    <w:p w:rsidR="00460371" w:rsidRDefault="00460371" w:rsidP="00AD4FFC">
      <w:pPr>
        <w:tabs>
          <w:tab w:val="left" w:pos="1162"/>
        </w:tabs>
      </w:pPr>
    </w:p>
    <w:p w:rsidR="00460371" w:rsidRDefault="00460371" w:rsidP="00C245E0">
      <w:pPr>
        <w:pStyle w:val="ListParagraph"/>
        <w:numPr>
          <w:ilvl w:val="0"/>
          <w:numId w:val="54"/>
        </w:numPr>
        <w:tabs>
          <w:tab w:val="left" w:pos="1162"/>
        </w:tabs>
        <w:spacing w:before="80" w:after="80"/>
        <w:ind w:left="714" w:hanging="357"/>
        <w:sectPr w:rsidR="00460371" w:rsidSect="002049EC">
          <w:pgSz w:w="11907" w:h="16839" w:code="9"/>
          <w:pgMar w:top="1440" w:right="1440" w:bottom="1440" w:left="1440" w:header="709" w:footer="709" w:gutter="0"/>
          <w:cols w:space="708"/>
          <w:docGrid w:linePitch="360"/>
        </w:sectPr>
      </w:pPr>
    </w:p>
    <w:p w:rsidR="00460371" w:rsidRDefault="00460371" w:rsidP="00AD4FFC">
      <w:pPr>
        <w:pStyle w:val="Heading1"/>
        <w:pageBreakBefore/>
        <w:numPr>
          <w:ilvl w:val="0"/>
          <w:numId w:val="35"/>
        </w:numPr>
        <w:spacing w:before="100" w:beforeAutospacing="1" w:after="100" w:afterAutospacing="1"/>
      </w:pPr>
      <w:bookmarkStart w:id="357" w:name="_Toc319673309"/>
      <w:bookmarkStart w:id="358" w:name="_Toc380754723"/>
      <w:bookmarkStart w:id="359" w:name="_Toc444528632"/>
      <w:r>
        <w:t>Non-admitted care cost model</w:t>
      </w:r>
      <w:bookmarkEnd w:id="357"/>
      <w:bookmarkEnd w:id="358"/>
      <w:bookmarkEnd w:id="359"/>
    </w:p>
    <w:p w:rsidR="00460371" w:rsidRDefault="00460371" w:rsidP="00AD4FFC">
      <w:pPr>
        <w:pStyle w:val="Heading2"/>
        <w:keepLines w:val="0"/>
        <w:numPr>
          <w:ilvl w:val="1"/>
          <w:numId w:val="35"/>
        </w:numPr>
        <w:tabs>
          <w:tab w:val="left" w:pos="1162"/>
        </w:tabs>
        <w:spacing w:after="60"/>
      </w:pPr>
      <w:bookmarkStart w:id="360" w:name="_Toc380754724"/>
      <w:bookmarkStart w:id="361" w:name="_Toc444528633"/>
      <w:r>
        <w:t>General issues</w:t>
      </w:r>
      <w:bookmarkEnd w:id="360"/>
      <w:bookmarkEnd w:id="361"/>
    </w:p>
    <w:p w:rsidR="00460371" w:rsidRDefault="00460371" w:rsidP="00AD4FFC">
      <w:pPr>
        <w:pStyle w:val="Heading3"/>
        <w:keepLines w:val="0"/>
        <w:numPr>
          <w:ilvl w:val="2"/>
          <w:numId w:val="35"/>
        </w:numPr>
        <w:tabs>
          <w:tab w:val="left" w:pos="1162"/>
        </w:tabs>
        <w:spacing w:before="240" w:after="120"/>
      </w:pPr>
      <w:bookmarkStart w:id="362" w:name="_Toc380754725"/>
      <w:bookmarkStart w:id="363" w:name="_Toc444528634"/>
      <w:r>
        <w:t>Cost unit</w:t>
      </w:r>
      <w:bookmarkEnd w:id="362"/>
      <w:bookmarkEnd w:id="363"/>
    </w:p>
    <w:p w:rsidR="00460371" w:rsidRDefault="00460371" w:rsidP="00AD4FFC">
      <w:pPr>
        <w:tabs>
          <w:tab w:val="left" w:pos="1162"/>
        </w:tabs>
        <w:rPr>
          <w:rFonts w:cs="Arial"/>
          <w:szCs w:val="20"/>
        </w:rPr>
      </w:pPr>
      <w:r w:rsidRPr="00D04E5E">
        <w:rPr>
          <w:rFonts w:cs="Arial"/>
          <w:szCs w:val="20"/>
        </w:rPr>
        <w:t xml:space="preserve">The </w:t>
      </w:r>
      <w:r>
        <w:rPr>
          <w:rFonts w:cs="Arial"/>
          <w:szCs w:val="20"/>
        </w:rPr>
        <w:t xml:space="preserve">cost </w:t>
      </w:r>
      <w:r w:rsidRPr="00D04E5E">
        <w:rPr>
          <w:rFonts w:cs="Arial"/>
          <w:szCs w:val="20"/>
        </w:rPr>
        <w:t>unit for non-admitted care is a Non-Admitted Patient Service Event. This is “</w:t>
      </w:r>
      <w:r w:rsidRPr="00D04E5E">
        <w:rPr>
          <w:rFonts w:cs="Arial"/>
          <w:i/>
          <w:szCs w:val="20"/>
        </w:rPr>
        <w:t>An interaction between one or more healthcare provider(s) with one non-admitted patient, which must contain therapeutic/clinical content and result in a dated entry in the patient's medical record</w:t>
      </w:r>
      <w:r w:rsidRPr="00D04E5E">
        <w:rPr>
          <w:rFonts w:cs="Arial"/>
          <w:szCs w:val="20"/>
        </w:rPr>
        <w:t>”</w:t>
      </w:r>
      <w:r w:rsidRPr="00D04E5E">
        <w:rPr>
          <w:rStyle w:val="FootnoteReference"/>
          <w:rFonts w:cs="Arial"/>
          <w:szCs w:val="20"/>
        </w:rPr>
        <w:t xml:space="preserve"> </w:t>
      </w:r>
      <w:r w:rsidRPr="00D04E5E">
        <w:rPr>
          <w:rStyle w:val="FootnoteReference"/>
          <w:rFonts w:cs="Arial"/>
          <w:szCs w:val="20"/>
        </w:rPr>
        <w:footnoteReference w:id="22"/>
      </w:r>
      <w:r w:rsidRPr="00D04E5E">
        <w:rPr>
          <w:rFonts w:cs="Arial"/>
          <w:szCs w:val="20"/>
        </w:rPr>
        <w:t>.</w:t>
      </w:r>
    </w:p>
    <w:p w:rsidR="00460371" w:rsidRDefault="00460371" w:rsidP="00AD4FFC">
      <w:pPr>
        <w:pStyle w:val="Heading3"/>
        <w:keepLines w:val="0"/>
        <w:numPr>
          <w:ilvl w:val="2"/>
          <w:numId w:val="35"/>
        </w:numPr>
        <w:tabs>
          <w:tab w:val="left" w:pos="1162"/>
        </w:tabs>
        <w:spacing w:before="240" w:after="120"/>
      </w:pPr>
      <w:bookmarkStart w:id="364" w:name="_Toc380754726"/>
      <w:bookmarkStart w:id="365" w:name="_Toc444528635"/>
      <w:r>
        <w:t>Scope</w:t>
      </w:r>
      <w:bookmarkEnd w:id="364"/>
      <w:bookmarkEnd w:id="365"/>
    </w:p>
    <w:p w:rsidR="00460371" w:rsidRDefault="00460371" w:rsidP="00AD4FFC">
      <w:pPr>
        <w:tabs>
          <w:tab w:val="left" w:pos="1162"/>
        </w:tabs>
        <w:rPr>
          <w:rFonts w:cs="Arial"/>
          <w:szCs w:val="20"/>
        </w:rPr>
      </w:pPr>
      <w:r w:rsidRPr="00D04E5E">
        <w:rPr>
          <w:rFonts w:cs="Arial"/>
          <w:szCs w:val="20"/>
        </w:rPr>
        <w:t>The scope of non-admitted care includes service events occurring in outpatient clinics in ABF hospitals</w:t>
      </w:r>
      <w:r>
        <w:rPr>
          <w:rFonts w:cs="Arial"/>
          <w:szCs w:val="20"/>
        </w:rPr>
        <w:t xml:space="preserve"> and in the community, as explained in the Pricing Framework</w:t>
      </w:r>
      <w:r w:rsidRPr="00D04E5E">
        <w:rPr>
          <w:rFonts w:cs="Arial"/>
          <w:szCs w:val="20"/>
        </w:rPr>
        <w:t>.</w:t>
      </w:r>
    </w:p>
    <w:p w:rsidR="00460371" w:rsidRDefault="00460371" w:rsidP="00AD4FFC">
      <w:pPr>
        <w:pStyle w:val="Heading3"/>
        <w:keepLines w:val="0"/>
        <w:numPr>
          <w:ilvl w:val="2"/>
          <w:numId w:val="35"/>
        </w:numPr>
        <w:tabs>
          <w:tab w:val="left" w:pos="1162"/>
        </w:tabs>
        <w:spacing w:before="240" w:after="120"/>
      </w:pPr>
      <w:bookmarkStart w:id="366" w:name="_Toc380754727"/>
      <w:bookmarkStart w:id="367" w:name="_Toc444528636"/>
      <w:r>
        <w:t>Classification</w:t>
      </w:r>
      <w:bookmarkEnd w:id="366"/>
      <w:bookmarkEnd w:id="367"/>
    </w:p>
    <w:p w:rsidR="00460371" w:rsidRDefault="00460371" w:rsidP="00AD4FFC">
      <w:pPr>
        <w:tabs>
          <w:tab w:val="left" w:pos="1162"/>
        </w:tabs>
        <w:rPr>
          <w:rFonts w:cs="Arial"/>
          <w:szCs w:val="20"/>
        </w:rPr>
      </w:pPr>
      <w:r w:rsidRPr="00D04E5E">
        <w:rPr>
          <w:rFonts w:cs="Arial"/>
          <w:szCs w:val="20"/>
        </w:rPr>
        <w:t xml:space="preserve">The Tier 2 </w:t>
      </w:r>
      <w:r w:rsidR="006A70EC">
        <w:rPr>
          <w:rFonts w:cs="Arial"/>
          <w:szCs w:val="20"/>
        </w:rPr>
        <w:t xml:space="preserve">non-admitted services </w:t>
      </w:r>
      <w:r>
        <w:rPr>
          <w:rFonts w:cs="Arial"/>
          <w:szCs w:val="20"/>
        </w:rPr>
        <w:t>v</w:t>
      </w:r>
      <w:r w:rsidR="009D79AF">
        <w:rPr>
          <w:rFonts w:cs="Arial"/>
          <w:szCs w:val="20"/>
        </w:rPr>
        <w:t>4</w:t>
      </w:r>
      <w:r w:rsidRPr="00D04E5E">
        <w:rPr>
          <w:rFonts w:cs="Arial"/>
          <w:szCs w:val="20"/>
        </w:rPr>
        <w:t>.</w:t>
      </w:r>
      <w:r w:rsidR="006A70EC">
        <w:rPr>
          <w:rFonts w:cs="Arial"/>
          <w:szCs w:val="20"/>
        </w:rPr>
        <w:t>1</w:t>
      </w:r>
      <w:r w:rsidRPr="00D04E5E">
        <w:rPr>
          <w:rFonts w:cs="Arial"/>
          <w:szCs w:val="20"/>
        </w:rPr>
        <w:t xml:space="preserve"> is used to classify non-admitted care for the purposes of ABF</w:t>
      </w:r>
      <w:r>
        <w:rPr>
          <w:rFonts w:cs="Arial"/>
          <w:szCs w:val="20"/>
        </w:rPr>
        <w:t xml:space="preserve"> as explained in the Pricing Framework and set out in the </w:t>
      </w:r>
      <w:r w:rsidR="00E279FC">
        <w:rPr>
          <w:rFonts w:cs="Arial"/>
          <w:i/>
          <w:szCs w:val="20"/>
        </w:rPr>
        <w:t>NEP16</w:t>
      </w:r>
      <w:r w:rsidR="00E279FC" w:rsidRPr="003F6BA6">
        <w:rPr>
          <w:rFonts w:cs="Arial"/>
          <w:i/>
          <w:szCs w:val="20"/>
        </w:rPr>
        <w:t xml:space="preserve"> </w:t>
      </w:r>
      <w:r w:rsidRPr="003F6BA6">
        <w:rPr>
          <w:rFonts w:cs="Arial"/>
          <w:i/>
          <w:szCs w:val="20"/>
        </w:rPr>
        <w:t>Determination</w:t>
      </w:r>
      <w:r w:rsidRPr="00D04E5E">
        <w:rPr>
          <w:rFonts w:cs="Arial"/>
          <w:szCs w:val="20"/>
        </w:rPr>
        <w:t>.</w:t>
      </w:r>
    </w:p>
    <w:p w:rsidR="00460371" w:rsidRDefault="00460371" w:rsidP="00AD4FFC">
      <w:pPr>
        <w:pStyle w:val="Heading2"/>
        <w:keepLines w:val="0"/>
        <w:numPr>
          <w:ilvl w:val="1"/>
          <w:numId w:val="35"/>
        </w:numPr>
        <w:tabs>
          <w:tab w:val="left" w:pos="1162"/>
        </w:tabs>
        <w:spacing w:after="60"/>
      </w:pPr>
      <w:bookmarkStart w:id="368" w:name="_Toc380754728"/>
      <w:bookmarkStart w:id="369" w:name="_Toc444528637"/>
      <w:r>
        <w:t>Analysis of costs to derive NWAU for non-admitted outpatient care</w:t>
      </w:r>
      <w:bookmarkEnd w:id="368"/>
      <w:bookmarkEnd w:id="369"/>
    </w:p>
    <w:p w:rsidR="00460371" w:rsidRPr="00831C09" w:rsidRDefault="00460371" w:rsidP="00AD4FFC">
      <w:pPr>
        <w:pStyle w:val="Heading3"/>
        <w:keepLines w:val="0"/>
        <w:numPr>
          <w:ilvl w:val="2"/>
          <w:numId w:val="35"/>
        </w:numPr>
        <w:tabs>
          <w:tab w:val="left" w:pos="1162"/>
        </w:tabs>
        <w:spacing w:before="240" w:after="120"/>
      </w:pPr>
      <w:bookmarkStart w:id="370" w:name="_Toc380754729"/>
      <w:bookmarkStart w:id="371" w:name="_Toc444528638"/>
      <w:r>
        <w:t>Data preparation</w:t>
      </w:r>
      <w:bookmarkEnd w:id="370"/>
      <w:bookmarkEnd w:id="371"/>
    </w:p>
    <w:p w:rsidR="00460371" w:rsidRPr="007441E5" w:rsidRDefault="00460371" w:rsidP="00AD4FFC">
      <w:pPr>
        <w:tabs>
          <w:tab w:val="left" w:pos="1162"/>
        </w:tabs>
        <w:rPr>
          <w:rFonts w:cs="Arial"/>
          <w:szCs w:val="20"/>
        </w:rPr>
      </w:pPr>
      <w:r w:rsidRPr="00C35A0D">
        <w:rPr>
          <w:rFonts w:cs="Arial"/>
          <w:szCs w:val="20"/>
        </w:rPr>
        <w:t xml:space="preserve">Non-admitted patient </w:t>
      </w:r>
      <w:r w:rsidR="00E2794F" w:rsidRPr="00C35A0D">
        <w:rPr>
          <w:rFonts w:cs="Arial"/>
          <w:szCs w:val="20"/>
        </w:rPr>
        <w:t xml:space="preserve">cost </w:t>
      </w:r>
      <w:r w:rsidRPr="00C35A0D">
        <w:rPr>
          <w:rFonts w:cs="Arial"/>
          <w:szCs w:val="20"/>
        </w:rPr>
        <w:t xml:space="preserve">data was received for </w:t>
      </w:r>
      <w:r w:rsidR="009D79AF">
        <w:rPr>
          <w:rFonts w:cs="Arial"/>
          <w:szCs w:val="20"/>
        </w:rPr>
        <w:t>seven</w:t>
      </w:r>
      <w:r w:rsidRPr="00C35A0D">
        <w:rPr>
          <w:rFonts w:cs="Arial"/>
          <w:szCs w:val="20"/>
        </w:rPr>
        <w:t xml:space="preserve"> jurisdictions. NHCDC Round </w:t>
      </w:r>
      <w:r w:rsidR="00BB0D55">
        <w:rPr>
          <w:rFonts w:cs="Arial"/>
          <w:szCs w:val="20"/>
        </w:rPr>
        <w:t>18</w:t>
      </w:r>
      <w:r w:rsidR="00BB0D55" w:rsidRPr="00C35A0D">
        <w:rPr>
          <w:rFonts w:cs="Arial"/>
          <w:szCs w:val="20"/>
        </w:rPr>
        <w:t xml:space="preserve"> </w:t>
      </w:r>
      <w:r w:rsidRPr="00C35A0D">
        <w:rPr>
          <w:rFonts w:cs="Arial"/>
          <w:szCs w:val="20"/>
        </w:rPr>
        <w:t xml:space="preserve">included non-admitted data for </w:t>
      </w:r>
      <w:r w:rsidR="00E92BB3">
        <w:rPr>
          <w:rFonts w:cs="Arial"/>
          <w:szCs w:val="20"/>
        </w:rPr>
        <w:t>188</w:t>
      </w:r>
      <w:r w:rsidR="002121A1" w:rsidRPr="002121A1">
        <w:rPr>
          <w:rFonts w:cs="Arial"/>
          <w:szCs w:val="20"/>
        </w:rPr>
        <w:t xml:space="preserve"> </w:t>
      </w:r>
      <w:r w:rsidR="009D79AF" w:rsidRPr="002121A1">
        <w:rPr>
          <w:rFonts w:cs="Arial"/>
          <w:szCs w:val="20"/>
        </w:rPr>
        <w:t xml:space="preserve">ABF establishments and </w:t>
      </w:r>
      <w:r w:rsidR="00C46AF8" w:rsidRPr="002121A1">
        <w:rPr>
          <w:rFonts w:cs="Arial"/>
          <w:szCs w:val="20"/>
        </w:rPr>
        <w:t xml:space="preserve">136 </w:t>
      </w:r>
      <w:r w:rsidRPr="002121A1">
        <w:rPr>
          <w:rFonts w:cs="Arial"/>
          <w:szCs w:val="20"/>
        </w:rPr>
        <w:t xml:space="preserve">Tier 2 Clinics. This compares to </w:t>
      </w:r>
      <w:r w:rsidR="002121A1">
        <w:rPr>
          <w:rFonts w:cs="Arial"/>
          <w:szCs w:val="20"/>
        </w:rPr>
        <w:t>161</w:t>
      </w:r>
      <w:r w:rsidR="002121A1" w:rsidRPr="002121A1">
        <w:rPr>
          <w:rFonts w:cs="Arial"/>
          <w:szCs w:val="20"/>
        </w:rPr>
        <w:t> </w:t>
      </w:r>
      <w:r w:rsidRPr="002121A1">
        <w:rPr>
          <w:rFonts w:cs="Arial"/>
          <w:szCs w:val="20"/>
        </w:rPr>
        <w:t xml:space="preserve">ABF establishments and </w:t>
      </w:r>
      <w:r w:rsidR="002121A1">
        <w:rPr>
          <w:rFonts w:cs="Arial"/>
          <w:szCs w:val="20"/>
        </w:rPr>
        <w:t>136</w:t>
      </w:r>
      <w:r w:rsidR="002121A1" w:rsidRPr="002121A1">
        <w:rPr>
          <w:rFonts w:cs="Arial"/>
          <w:szCs w:val="20"/>
        </w:rPr>
        <w:t xml:space="preserve"> </w:t>
      </w:r>
      <w:r w:rsidR="009D79AF" w:rsidRPr="002121A1">
        <w:rPr>
          <w:rFonts w:cs="Arial"/>
          <w:szCs w:val="20"/>
        </w:rPr>
        <w:t xml:space="preserve">Tier 2 Clinics in </w:t>
      </w:r>
      <w:r w:rsidR="002121A1">
        <w:rPr>
          <w:rFonts w:cs="Arial"/>
          <w:szCs w:val="20"/>
        </w:rPr>
        <w:t>2012-13</w:t>
      </w:r>
      <w:r w:rsidRPr="002121A1">
        <w:rPr>
          <w:rFonts w:cs="Arial"/>
          <w:szCs w:val="20"/>
        </w:rPr>
        <w:t>.</w:t>
      </w:r>
      <w:r w:rsidRPr="00C35A0D">
        <w:rPr>
          <w:rFonts w:cs="Arial"/>
          <w:szCs w:val="20"/>
        </w:rPr>
        <w:t xml:space="preserve"> </w:t>
      </w:r>
    </w:p>
    <w:p w:rsidR="00E2794F" w:rsidRDefault="00E2794F" w:rsidP="00AD4FFC">
      <w:pPr>
        <w:tabs>
          <w:tab w:val="left" w:pos="1162"/>
        </w:tabs>
        <w:rPr>
          <w:rFonts w:cs="Arial"/>
          <w:szCs w:val="20"/>
        </w:rPr>
      </w:pPr>
      <w:r>
        <w:rPr>
          <w:rFonts w:cs="Arial"/>
          <w:szCs w:val="20"/>
        </w:rPr>
        <w:t xml:space="preserve">In </w:t>
      </w:r>
      <w:r w:rsidR="002121A1">
        <w:rPr>
          <w:rFonts w:cs="Arial"/>
          <w:szCs w:val="20"/>
        </w:rPr>
        <w:t>NEP15</w:t>
      </w:r>
      <w:r w:rsidR="00460371">
        <w:rPr>
          <w:rFonts w:cs="Arial"/>
          <w:szCs w:val="20"/>
        </w:rPr>
        <w:t xml:space="preserve">, </w:t>
      </w:r>
      <w:r>
        <w:rPr>
          <w:rFonts w:cs="Arial"/>
          <w:szCs w:val="20"/>
        </w:rPr>
        <w:t xml:space="preserve">the cost weights were largely determined using the </w:t>
      </w:r>
      <w:r w:rsidR="007B68F3">
        <w:rPr>
          <w:rFonts w:cs="Arial"/>
          <w:szCs w:val="20"/>
        </w:rPr>
        <w:t>2012 Ernst &amp; Young Non-admitted and Subacute Care Costing Study</w:t>
      </w:r>
      <w:r>
        <w:rPr>
          <w:rFonts w:cs="Arial"/>
          <w:szCs w:val="20"/>
        </w:rPr>
        <w:t xml:space="preserve"> </w:t>
      </w:r>
      <w:r w:rsidR="007B68F3">
        <w:rPr>
          <w:rFonts w:cs="Arial"/>
          <w:szCs w:val="20"/>
        </w:rPr>
        <w:t>(the E&amp;Y costing study)</w:t>
      </w:r>
      <w:r w:rsidR="00597C96">
        <w:rPr>
          <w:rFonts w:cs="Arial"/>
          <w:szCs w:val="20"/>
        </w:rPr>
        <w:t>. The cost weights for NEP</w:t>
      </w:r>
      <w:r w:rsidR="00BB0D55">
        <w:rPr>
          <w:rFonts w:cs="Arial"/>
          <w:szCs w:val="20"/>
        </w:rPr>
        <w:t xml:space="preserve">16 </w:t>
      </w:r>
      <w:r w:rsidR="00B0652A">
        <w:rPr>
          <w:rFonts w:cs="Arial"/>
          <w:szCs w:val="20"/>
        </w:rPr>
        <w:t>a</w:t>
      </w:r>
      <w:r>
        <w:rPr>
          <w:rFonts w:cs="Arial"/>
          <w:szCs w:val="20"/>
        </w:rPr>
        <w:t>r</w:t>
      </w:r>
      <w:r w:rsidR="00B0652A">
        <w:rPr>
          <w:rFonts w:cs="Arial"/>
          <w:szCs w:val="20"/>
        </w:rPr>
        <w:t>e based on the same data but</w:t>
      </w:r>
      <w:r>
        <w:rPr>
          <w:rFonts w:cs="Arial"/>
          <w:szCs w:val="20"/>
        </w:rPr>
        <w:t xml:space="preserve"> </w:t>
      </w:r>
      <w:r w:rsidR="00B0652A">
        <w:rPr>
          <w:rFonts w:cs="Arial"/>
          <w:szCs w:val="20"/>
        </w:rPr>
        <w:t xml:space="preserve">were </w:t>
      </w:r>
      <w:r>
        <w:rPr>
          <w:rFonts w:cs="Arial"/>
          <w:szCs w:val="20"/>
        </w:rPr>
        <w:t xml:space="preserve">calibrated against NHCDC Round </w:t>
      </w:r>
      <w:r w:rsidR="00BB0D55">
        <w:rPr>
          <w:rFonts w:cs="Arial"/>
          <w:szCs w:val="20"/>
        </w:rPr>
        <w:t xml:space="preserve">18 </w:t>
      </w:r>
      <w:r>
        <w:rPr>
          <w:rFonts w:cs="Arial"/>
          <w:szCs w:val="20"/>
        </w:rPr>
        <w:t xml:space="preserve">costs in the same way that </w:t>
      </w:r>
      <w:r w:rsidR="00BB0D55">
        <w:rPr>
          <w:rFonts w:cs="Arial"/>
          <w:szCs w:val="20"/>
        </w:rPr>
        <w:t xml:space="preserve">NEP15 </w:t>
      </w:r>
      <w:r>
        <w:rPr>
          <w:rFonts w:cs="Arial"/>
          <w:szCs w:val="20"/>
        </w:rPr>
        <w:t xml:space="preserve">cost weights were calibrated against Round </w:t>
      </w:r>
      <w:r w:rsidR="00BB0D55">
        <w:rPr>
          <w:rFonts w:cs="Arial"/>
          <w:szCs w:val="20"/>
        </w:rPr>
        <w:t xml:space="preserve">17 </w:t>
      </w:r>
      <w:r>
        <w:rPr>
          <w:rFonts w:cs="Arial"/>
          <w:szCs w:val="20"/>
        </w:rPr>
        <w:t>data.</w:t>
      </w:r>
    </w:p>
    <w:p w:rsidR="00F21F5B" w:rsidRDefault="00F21F5B" w:rsidP="00F21F5B">
      <w:pPr>
        <w:tabs>
          <w:tab w:val="left" w:pos="1162"/>
        </w:tabs>
        <w:rPr>
          <w:rFonts w:cs="Arial"/>
          <w:szCs w:val="20"/>
        </w:rPr>
      </w:pPr>
      <w:r>
        <w:rPr>
          <w:rFonts w:cs="Arial"/>
          <w:szCs w:val="20"/>
        </w:rPr>
        <w:t xml:space="preserve">This year, </w:t>
      </w:r>
      <w:r w:rsidR="007B68F3">
        <w:rPr>
          <w:rFonts w:cs="Arial"/>
          <w:szCs w:val="20"/>
        </w:rPr>
        <w:t xml:space="preserve">as in NEP15, </w:t>
      </w:r>
      <w:r>
        <w:rPr>
          <w:rFonts w:cs="Arial"/>
          <w:szCs w:val="20"/>
        </w:rPr>
        <w:t xml:space="preserve">the results of the 2014 costing studies were used to derive the cost weights for home-delivered dialysis, enteral nutrition, total parenteral nutrition and home ventilation. The cost weights were based on only the direct costs reported in these costing studies excluding the extreme costs of a few hospitals. The direct costs were calibrated to the overall NHCDC cost level in the same manner as was done to derive the cost weights from the </w:t>
      </w:r>
      <w:r w:rsidR="007B68F3">
        <w:rPr>
          <w:rFonts w:cs="Arial"/>
          <w:szCs w:val="20"/>
        </w:rPr>
        <w:t>E&amp;Y costing study.</w:t>
      </w:r>
    </w:p>
    <w:p w:rsidR="00460371" w:rsidRDefault="00460371" w:rsidP="00AD4FFC">
      <w:pPr>
        <w:tabs>
          <w:tab w:val="left" w:pos="1162"/>
        </w:tabs>
        <w:rPr>
          <w:rFonts w:cs="Arial"/>
          <w:szCs w:val="20"/>
        </w:rPr>
      </w:pPr>
      <w:r>
        <w:rPr>
          <w:rFonts w:cs="Arial"/>
          <w:szCs w:val="20"/>
        </w:rPr>
        <w:t xml:space="preserve">The main purpose </w:t>
      </w:r>
      <w:r w:rsidR="00E2794F">
        <w:rPr>
          <w:rFonts w:cs="Arial"/>
          <w:szCs w:val="20"/>
        </w:rPr>
        <w:t xml:space="preserve">therefore </w:t>
      </w:r>
      <w:r>
        <w:rPr>
          <w:rFonts w:cs="Arial"/>
          <w:szCs w:val="20"/>
        </w:rPr>
        <w:t xml:space="preserve">of the NHCDC Round </w:t>
      </w:r>
      <w:r w:rsidR="00FC4351">
        <w:rPr>
          <w:rFonts w:cs="Arial"/>
          <w:szCs w:val="20"/>
        </w:rPr>
        <w:t xml:space="preserve">18 </w:t>
      </w:r>
      <w:r>
        <w:rPr>
          <w:rFonts w:cs="Arial"/>
          <w:szCs w:val="20"/>
        </w:rPr>
        <w:t xml:space="preserve">data was to serve as a benchmark for calibration. Specifically, the total spend based on parameters from varying sources was calibrated to the total spend in the trimmed NHCDC. </w:t>
      </w:r>
      <w:r w:rsidR="00E2794F">
        <w:rPr>
          <w:rFonts w:cs="Arial"/>
          <w:szCs w:val="20"/>
        </w:rPr>
        <w:t xml:space="preserve">The </w:t>
      </w:r>
      <w:r w:rsidR="00FA05F9">
        <w:rPr>
          <w:rFonts w:cs="Arial"/>
          <w:szCs w:val="20"/>
        </w:rPr>
        <w:t xml:space="preserve">data preparation </w:t>
      </w:r>
      <w:r w:rsidR="00E2794F">
        <w:rPr>
          <w:rFonts w:cs="Arial"/>
          <w:szCs w:val="20"/>
        </w:rPr>
        <w:t xml:space="preserve">of Round </w:t>
      </w:r>
      <w:r w:rsidR="00FC4351">
        <w:rPr>
          <w:rFonts w:cs="Arial"/>
          <w:szCs w:val="20"/>
        </w:rPr>
        <w:t xml:space="preserve">18 </w:t>
      </w:r>
      <w:r w:rsidR="00FA05F9">
        <w:rPr>
          <w:rFonts w:cs="Arial"/>
          <w:szCs w:val="20"/>
        </w:rPr>
        <w:t xml:space="preserve">cost data was carried out in a similar way to </w:t>
      </w:r>
      <w:r w:rsidR="00FC4351">
        <w:rPr>
          <w:rFonts w:cs="Arial"/>
          <w:szCs w:val="20"/>
        </w:rPr>
        <w:t>NEP15</w:t>
      </w:r>
      <w:r w:rsidR="00FA05F9">
        <w:rPr>
          <w:rFonts w:cs="Arial"/>
          <w:szCs w:val="20"/>
        </w:rPr>
        <w:t xml:space="preserve">. </w:t>
      </w:r>
    </w:p>
    <w:p w:rsidR="00597C96" w:rsidRDefault="00FA05F9" w:rsidP="00AD4FFC">
      <w:pPr>
        <w:tabs>
          <w:tab w:val="left" w:pos="1162"/>
        </w:tabs>
        <w:rPr>
          <w:rFonts w:cs="Arial"/>
          <w:szCs w:val="20"/>
        </w:rPr>
      </w:pPr>
      <w:r>
        <w:rPr>
          <w:rFonts w:cs="Arial"/>
          <w:szCs w:val="20"/>
        </w:rPr>
        <w:t>Conservative outlier exclusion was carried out using statistical methods at both the establishment/clinic level and at record level. Establishment/clinic combinations were excluded if they had</w:t>
      </w:r>
      <w:r w:rsidR="00597C96">
        <w:rPr>
          <w:rFonts w:cs="Arial"/>
          <w:szCs w:val="20"/>
        </w:rPr>
        <w:t>:</w:t>
      </w:r>
    </w:p>
    <w:p w:rsidR="00597C96" w:rsidRDefault="00FA05F9" w:rsidP="00597C96">
      <w:pPr>
        <w:pStyle w:val="ListParagraph"/>
        <w:numPr>
          <w:ilvl w:val="0"/>
          <w:numId w:val="82"/>
        </w:numPr>
        <w:tabs>
          <w:tab w:val="left" w:pos="1162"/>
        </w:tabs>
        <w:rPr>
          <w:rFonts w:cs="Arial"/>
          <w:szCs w:val="20"/>
        </w:rPr>
      </w:pPr>
      <w:r w:rsidRPr="00597C96">
        <w:rPr>
          <w:rFonts w:cs="Arial"/>
          <w:szCs w:val="20"/>
        </w:rPr>
        <w:t>too few records</w:t>
      </w:r>
      <w:r w:rsidR="00597C96">
        <w:rPr>
          <w:rFonts w:cs="Arial"/>
          <w:szCs w:val="20"/>
        </w:rPr>
        <w:t>; or</w:t>
      </w:r>
    </w:p>
    <w:p w:rsidR="00597C96" w:rsidRDefault="00FA05F9" w:rsidP="00597C96">
      <w:pPr>
        <w:pStyle w:val="ListParagraph"/>
        <w:numPr>
          <w:ilvl w:val="0"/>
          <w:numId w:val="82"/>
        </w:numPr>
        <w:tabs>
          <w:tab w:val="left" w:pos="1162"/>
        </w:tabs>
        <w:rPr>
          <w:rFonts w:cs="Arial"/>
          <w:szCs w:val="20"/>
        </w:rPr>
      </w:pPr>
      <w:r w:rsidRPr="00597C96">
        <w:rPr>
          <w:rFonts w:cs="Arial"/>
          <w:szCs w:val="20"/>
        </w:rPr>
        <w:t>very high influence on calcula</w:t>
      </w:r>
      <w:r w:rsidR="00597C96">
        <w:rPr>
          <w:rFonts w:cs="Arial"/>
          <w:szCs w:val="20"/>
        </w:rPr>
        <w:t>tion of the overall clinic mean; or</w:t>
      </w:r>
    </w:p>
    <w:p w:rsidR="00597C96" w:rsidRDefault="00FA05F9" w:rsidP="00597C96">
      <w:pPr>
        <w:pStyle w:val="ListParagraph"/>
        <w:numPr>
          <w:ilvl w:val="0"/>
          <w:numId w:val="82"/>
        </w:numPr>
        <w:tabs>
          <w:tab w:val="left" w:pos="1162"/>
        </w:tabs>
        <w:rPr>
          <w:rFonts w:cs="Arial"/>
          <w:szCs w:val="20"/>
        </w:rPr>
      </w:pPr>
      <w:r w:rsidRPr="00597C96">
        <w:rPr>
          <w:rFonts w:cs="Arial"/>
          <w:szCs w:val="20"/>
        </w:rPr>
        <w:t>a mean considerably higher or lower than other establishments for that clinic</w:t>
      </w:r>
      <w:r w:rsidR="00597C96">
        <w:rPr>
          <w:rFonts w:cs="Arial"/>
          <w:szCs w:val="20"/>
        </w:rPr>
        <w:t>; or</w:t>
      </w:r>
    </w:p>
    <w:p w:rsidR="00597C96" w:rsidRDefault="00FA05F9" w:rsidP="00597C96">
      <w:pPr>
        <w:pStyle w:val="ListParagraph"/>
        <w:numPr>
          <w:ilvl w:val="0"/>
          <w:numId w:val="82"/>
        </w:numPr>
        <w:tabs>
          <w:tab w:val="left" w:pos="1162"/>
        </w:tabs>
        <w:rPr>
          <w:rFonts w:cs="Arial"/>
          <w:szCs w:val="20"/>
        </w:rPr>
      </w:pPr>
      <w:proofErr w:type="gramStart"/>
      <w:r w:rsidRPr="00597C96">
        <w:rPr>
          <w:rFonts w:cs="Arial"/>
          <w:szCs w:val="20"/>
        </w:rPr>
        <w:t>a</w:t>
      </w:r>
      <w:proofErr w:type="gramEnd"/>
      <w:r w:rsidRPr="00597C96">
        <w:rPr>
          <w:rFonts w:cs="Arial"/>
          <w:szCs w:val="20"/>
        </w:rPr>
        <w:t xml:space="preserve"> cost ratio statistically different from other establishments within that clinic.</w:t>
      </w:r>
    </w:p>
    <w:p w:rsidR="00FA05F9" w:rsidRPr="00597C96" w:rsidRDefault="00FA05F9" w:rsidP="00597C96">
      <w:pPr>
        <w:tabs>
          <w:tab w:val="left" w:pos="1162"/>
        </w:tabs>
        <w:rPr>
          <w:rFonts w:cs="Arial"/>
          <w:szCs w:val="20"/>
        </w:rPr>
      </w:pPr>
      <w:r w:rsidRPr="00597C96">
        <w:rPr>
          <w:rFonts w:cs="Arial"/>
          <w:szCs w:val="20"/>
        </w:rPr>
        <w:t xml:space="preserve">Clinic specific outlier exclusion rules developed </w:t>
      </w:r>
      <w:r w:rsidR="007B68F3" w:rsidRPr="00597C96">
        <w:rPr>
          <w:rFonts w:cs="Arial"/>
          <w:szCs w:val="20"/>
        </w:rPr>
        <w:t>for NEP14 and applied in NEP15</w:t>
      </w:r>
      <w:r w:rsidRPr="00597C96">
        <w:rPr>
          <w:rFonts w:cs="Arial"/>
          <w:szCs w:val="20"/>
        </w:rPr>
        <w:t xml:space="preserve"> were also applied. Whole establishments were then excluded if their cost ratios across clinics remained consistently high. Conservative record level trimming within clinics followed</w:t>
      </w:r>
      <w:r w:rsidR="00C46AF8" w:rsidRPr="00597C96">
        <w:rPr>
          <w:rFonts w:cs="Arial"/>
          <w:szCs w:val="20"/>
        </w:rPr>
        <w:t xml:space="preserve"> to</w:t>
      </w:r>
      <w:r w:rsidRPr="00597C96">
        <w:rPr>
          <w:rFonts w:cs="Arial"/>
          <w:szCs w:val="20"/>
        </w:rPr>
        <w:t xml:space="preserve"> exclud</w:t>
      </w:r>
      <w:r w:rsidR="00C46AF8" w:rsidRPr="00597C96">
        <w:rPr>
          <w:rFonts w:cs="Arial"/>
          <w:szCs w:val="20"/>
        </w:rPr>
        <w:t>e</w:t>
      </w:r>
      <w:r w:rsidRPr="00597C96">
        <w:rPr>
          <w:rFonts w:cs="Arial"/>
          <w:szCs w:val="20"/>
        </w:rPr>
        <w:t xml:space="preserve"> records </w:t>
      </w:r>
      <w:r w:rsidR="00C46AF8" w:rsidRPr="00597C96">
        <w:rPr>
          <w:rFonts w:cs="Arial"/>
          <w:szCs w:val="20"/>
        </w:rPr>
        <w:t xml:space="preserve">with costs less than $5 or </w:t>
      </w:r>
      <w:r w:rsidRPr="00597C96">
        <w:rPr>
          <w:rFonts w:cs="Arial"/>
          <w:szCs w:val="20"/>
        </w:rPr>
        <w:t>statistically different from the majority.</w:t>
      </w:r>
    </w:p>
    <w:p w:rsidR="00460371" w:rsidRDefault="00460371" w:rsidP="00AD4FFC">
      <w:pPr>
        <w:pStyle w:val="Heading3"/>
        <w:keepLines w:val="0"/>
        <w:numPr>
          <w:ilvl w:val="2"/>
          <w:numId w:val="35"/>
        </w:numPr>
        <w:tabs>
          <w:tab w:val="left" w:pos="1162"/>
        </w:tabs>
        <w:spacing w:before="240" w:after="120"/>
      </w:pPr>
      <w:bookmarkStart w:id="372" w:name="_Toc380754730"/>
      <w:bookmarkStart w:id="373" w:name="_Toc444528639"/>
      <w:r>
        <w:t>Sample weights</w:t>
      </w:r>
      <w:bookmarkEnd w:id="372"/>
      <w:bookmarkEnd w:id="373"/>
    </w:p>
    <w:p w:rsidR="00597C96" w:rsidRDefault="00460371" w:rsidP="00AD4FFC">
      <w:pPr>
        <w:tabs>
          <w:tab w:val="left" w:pos="1162"/>
        </w:tabs>
        <w:rPr>
          <w:rFonts w:cs="Arial"/>
          <w:szCs w:val="20"/>
        </w:rPr>
      </w:pPr>
      <w:r>
        <w:rPr>
          <w:rFonts w:cs="Arial"/>
          <w:szCs w:val="20"/>
        </w:rPr>
        <w:t>The cost weights calculated from</w:t>
      </w:r>
      <w:r w:rsidR="007B68F3">
        <w:rPr>
          <w:rFonts w:cs="Arial"/>
          <w:szCs w:val="20"/>
        </w:rPr>
        <w:t xml:space="preserve"> the</w:t>
      </w:r>
      <w:r>
        <w:rPr>
          <w:rFonts w:cs="Arial"/>
          <w:szCs w:val="20"/>
        </w:rPr>
        <w:t xml:space="preserve"> </w:t>
      </w:r>
      <w:r w:rsidR="007B68F3">
        <w:rPr>
          <w:rFonts w:cs="Arial"/>
          <w:szCs w:val="20"/>
        </w:rPr>
        <w:t>E&amp;Y c</w:t>
      </w:r>
      <w:r>
        <w:rPr>
          <w:rFonts w:cs="Arial"/>
          <w:szCs w:val="20"/>
        </w:rPr>
        <w:t xml:space="preserve">osting </w:t>
      </w:r>
      <w:r w:rsidR="007B68F3">
        <w:rPr>
          <w:rFonts w:cs="Arial"/>
          <w:szCs w:val="20"/>
        </w:rPr>
        <w:t>s</w:t>
      </w:r>
      <w:r>
        <w:rPr>
          <w:rFonts w:cs="Arial"/>
          <w:szCs w:val="20"/>
        </w:rPr>
        <w:t>tudy were calibrated against the trimmed</w:t>
      </w:r>
      <w:r w:rsidR="009D79AF">
        <w:rPr>
          <w:rFonts w:cs="Arial"/>
          <w:szCs w:val="20"/>
        </w:rPr>
        <w:t xml:space="preserve"> data sample from NHCDC Round </w:t>
      </w:r>
      <w:r w:rsidR="00BB0D55">
        <w:rPr>
          <w:rFonts w:cs="Arial"/>
          <w:szCs w:val="20"/>
        </w:rPr>
        <w:t>18</w:t>
      </w:r>
      <w:r>
        <w:rPr>
          <w:rFonts w:cs="Arial"/>
          <w:szCs w:val="20"/>
        </w:rPr>
        <w:t>. The majority of cost parameters were created using costing study data where it was sufficient, followed in order of preference by</w:t>
      </w:r>
      <w:r w:rsidR="00597C96">
        <w:rPr>
          <w:rFonts w:cs="Arial"/>
          <w:szCs w:val="20"/>
        </w:rPr>
        <w:t>:</w:t>
      </w:r>
    </w:p>
    <w:p w:rsidR="00597C96" w:rsidRDefault="00460371" w:rsidP="00597C96">
      <w:pPr>
        <w:pStyle w:val="ListParagraph"/>
        <w:numPr>
          <w:ilvl w:val="0"/>
          <w:numId w:val="81"/>
        </w:numPr>
        <w:tabs>
          <w:tab w:val="left" w:pos="1162"/>
        </w:tabs>
        <w:rPr>
          <w:rFonts w:cs="Arial"/>
          <w:szCs w:val="20"/>
        </w:rPr>
      </w:pPr>
      <w:r>
        <w:rPr>
          <w:rFonts w:cs="Arial"/>
          <w:szCs w:val="20"/>
        </w:rPr>
        <w:t>logical links to other clinics</w:t>
      </w:r>
      <w:r w:rsidR="00597C96">
        <w:rPr>
          <w:rFonts w:cs="Arial"/>
          <w:szCs w:val="20"/>
        </w:rPr>
        <w:t>; then</w:t>
      </w:r>
    </w:p>
    <w:p w:rsidR="00597C96" w:rsidRDefault="00460371" w:rsidP="00597C96">
      <w:pPr>
        <w:pStyle w:val="ListParagraph"/>
        <w:numPr>
          <w:ilvl w:val="0"/>
          <w:numId w:val="81"/>
        </w:numPr>
        <w:tabs>
          <w:tab w:val="left" w:pos="1162"/>
        </w:tabs>
        <w:rPr>
          <w:rFonts w:cs="Arial"/>
          <w:szCs w:val="20"/>
        </w:rPr>
      </w:pPr>
      <w:r>
        <w:rPr>
          <w:rFonts w:cs="Arial"/>
          <w:szCs w:val="20"/>
        </w:rPr>
        <w:t>NHCDC data</w:t>
      </w:r>
      <w:r w:rsidR="00597C96">
        <w:rPr>
          <w:rFonts w:cs="Arial"/>
          <w:szCs w:val="20"/>
        </w:rPr>
        <w:t>; then</w:t>
      </w:r>
    </w:p>
    <w:p w:rsidR="00597C96" w:rsidRDefault="00597C96" w:rsidP="00597C96">
      <w:pPr>
        <w:pStyle w:val="ListParagraph"/>
        <w:numPr>
          <w:ilvl w:val="0"/>
          <w:numId w:val="81"/>
        </w:numPr>
        <w:tabs>
          <w:tab w:val="left" w:pos="1162"/>
        </w:tabs>
        <w:rPr>
          <w:rFonts w:cs="Arial"/>
          <w:szCs w:val="20"/>
        </w:rPr>
      </w:pPr>
      <w:r>
        <w:rPr>
          <w:rFonts w:cs="Arial"/>
          <w:szCs w:val="20"/>
        </w:rPr>
        <w:t>logical links to acute data; then</w:t>
      </w:r>
    </w:p>
    <w:p w:rsidR="00597C96" w:rsidRDefault="00460371" w:rsidP="00597C96">
      <w:pPr>
        <w:pStyle w:val="ListParagraph"/>
        <w:numPr>
          <w:ilvl w:val="0"/>
          <w:numId w:val="81"/>
        </w:numPr>
        <w:tabs>
          <w:tab w:val="left" w:pos="1162"/>
        </w:tabs>
        <w:rPr>
          <w:rFonts w:cs="Arial"/>
          <w:szCs w:val="20"/>
        </w:rPr>
      </w:pPr>
      <w:proofErr w:type="gramStart"/>
      <w:r>
        <w:rPr>
          <w:rFonts w:cs="Arial"/>
          <w:szCs w:val="20"/>
        </w:rPr>
        <w:t>the</w:t>
      </w:r>
      <w:proofErr w:type="gramEnd"/>
      <w:r>
        <w:rPr>
          <w:rFonts w:cs="Arial"/>
          <w:szCs w:val="20"/>
        </w:rPr>
        <w:t xml:space="preserve"> average of the relevant s</w:t>
      </w:r>
      <w:r w:rsidR="00E22117">
        <w:rPr>
          <w:rFonts w:cs="Arial"/>
          <w:szCs w:val="20"/>
        </w:rPr>
        <w:t xml:space="preserve">eries. </w:t>
      </w:r>
    </w:p>
    <w:p w:rsidR="00460371" w:rsidRPr="00597C96" w:rsidRDefault="00E22117" w:rsidP="00597C96">
      <w:pPr>
        <w:tabs>
          <w:tab w:val="left" w:pos="1162"/>
        </w:tabs>
        <w:rPr>
          <w:rFonts w:cs="Arial"/>
          <w:szCs w:val="20"/>
        </w:rPr>
      </w:pPr>
      <w:r w:rsidRPr="00597C96">
        <w:rPr>
          <w:rFonts w:cs="Arial"/>
          <w:szCs w:val="20"/>
        </w:rPr>
        <w:t>Table 1</w:t>
      </w:r>
      <w:r w:rsidR="001D25A0" w:rsidRPr="00597C96">
        <w:rPr>
          <w:rFonts w:cs="Arial"/>
          <w:szCs w:val="20"/>
        </w:rPr>
        <w:t>6</w:t>
      </w:r>
      <w:r w:rsidR="00460371" w:rsidRPr="00597C96">
        <w:rPr>
          <w:rFonts w:cs="Arial"/>
          <w:szCs w:val="20"/>
        </w:rPr>
        <w:t xml:space="preserve"> gives the number of clinics costed by each method. </w:t>
      </w:r>
    </w:p>
    <w:p w:rsidR="00460371" w:rsidRPr="0040190A" w:rsidRDefault="00E22117">
      <w:pPr>
        <w:pStyle w:val="table"/>
      </w:pPr>
      <w:r>
        <w:t>Table 1</w:t>
      </w:r>
      <w:r w:rsidR="001D25A0">
        <w:t>6</w:t>
      </w:r>
      <w:r w:rsidR="002122CC">
        <w:t>:</w:t>
      </w:r>
      <w:r w:rsidR="00460371" w:rsidRPr="0040190A">
        <w:t xml:space="preserve"> Summary of data sources used to determine </w:t>
      </w:r>
      <w:r w:rsidR="001A2AD9">
        <w:t>2013-14</w:t>
      </w:r>
      <w:r w:rsidR="00460371" w:rsidRPr="0040190A">
        <w:t xml:space="preserve"> Non-Admitted Price Weights</w:t>
      </w:r>
    </w:p>
    <w:tbl>
      <w:tblPr>
        <w:tblStyle w:val="TableGrid"/>
        <w:tblW w:w="0" w:type="auto"/>
        <w:jc w:val="center"/>
        <w:tblLook w:val="04A0" w:firstRow="1" w:lastRow="0" w:firstColumn="1" w:lastColumn="0" w:noHBand="0" w:noVBand="1"/>
        <w:tblDescription w:val="A summary of table 11 is outlined in the text prior to this table."/>
      </w:tblPr>
      <w:tblGrid>
        <w:gridCol w:w="3510"/>
        <w:gridCol w:w="1843"/>
      </w:tblGrid>
      <w:tr w:rsidR="00460371" w:rsidRPr="005478C5" w:rsidTr="007F2F65">
        <w:trPr>
          <w:tblHeader/>
          <w:jc w:val="center"/>
        </w:trPr>
        <w:tc>
          <w:tcPr>
            <w:tcW w:w="3510" w:type="dxa"/>
            <w:shd w:val="clear" w:color="auto" w:fill="BFBFBF" w:themeFill="background1" w:themeFillShade="BF"/>
            <w:vAlign w:val="center"/>
          </w:tcPr>
          <w:p w:rsidR="00460371" w:rsidRPr="008C551F" w:rsidRDefault="00460371" w:rsidP="00AD4FFC">
            <w:pPr>
              <w:spacing w:before="80" w:after="80"/>
              <w:rPr>
                <w:b/>
                <w:sz w:val="20"/>
                <w:szCs w:val="20"/>
              </w:rPr>
            </w:pPr>
            <w:r w:rsidRPr="008C551F">
              <w:rPr>
                <w:b/>
                <w:sz w:val="20"/>
                <w:szCs w:val="20"/>
              </w:rPr>
              <w:t>Source</w:t>
            </w:r>
          </w:p>
        </w:tc>
        <w:tc>
          <w:tcPr>
            <w:tcW w:w="1843" w:type="dxa"/>
            <w:shd w:val="clear" w:color="auto" w:fill="BFBFBF" w:themeFill="background1" w:themeFillShade="BF"/>
            <w:vAlign w:val="center"/>
          </w:tcPr>
          <w:p w:rsidR="00460371" w:rsidRPr="008C551F" w:rsidRDefault="00460371" w:rsidP="00AD4FFC">
            <w:pPr>
              <w:spacing w:before="80" w:after="80"/>
              <w:rPr>
                <w:b/>
                <w:sz w:val="20"/>
                <w:szCs w:val="20"/>
              </w:rPr>
            </w:pPr>
            <w:r w:rsidRPr="008C551F">
              <w:rPr>
                <w:b/>
                <w:sz w:val="20"/>
                <w:szCs w:val="20"/>
              </w:rPr>
              <w:t>No</w:t>
            </w:r>
            <w:r w:rsidR="001D41B7">
              <w:rPr>
                <w:b/>
                <w:sz w:val="20"/>
                <w:szCs w:val="20"/>
              </w:rPr>
              <w:t>.</w:t>
            </w:r>
            <w:r w:rsidRPr="008C551F">
              <w:rPr>
                <w:b/>
                <w:sz w:val="20"/>
                <w:szCs w:val="20"/>
              </w:rPr>
              <w:t xml:space="preserve"> of Clinics</w:t>
            </w:r>
          </w:p>
        </w:tc>
      </w:tr>
      <w:tr w:rsidR="00460371" w:rsidTr="007F2F65">
        <w:trPr>
          <w:jc w:val="center"/>
        </w:trPr>
        <w:tc>
          <w:tcPr>
            <w:tcW w:w="3510" w:type="dxa"/>
          </w:tcPr>
          <w:p w:rsidR="00460371" w:rsidRPr="00E33EAE" w:rsidRDefault="00460371" w:rsidP="00AD4FFC">
            <w:pPr>
              <w:spacing w:before="80" w:after="80"/>
              <w:rPr>
                <w:sz w:val="18"/>
                <w:szCs w:val="20"/>
              </w:rPr>
            </w:pPr>
            <w:r w:rsidRPr="00E33EAE">
              <w:rPr>
                <w:sz w:val="18"/>
                <w:szCs w:val="20"/>
              </w:rPr>
              <w:t>Victorian Radiotherapy Costs</w:t>
            </w:r>
          </w:p>
        </w:tc>
        <w:tc>
          <w:tcPr>
            <w:tcW w:w="1843" w:type="dxa"/>
            <w:vAlign w:val="center"/>
          </w:tcPr>
          <w:p w:rsidR="00460371" w:rsidRPr="00E33EAE" w:rsidRDefault="00460371" w:rsidP="00AD4FFC">
            <w:pPr>
              <w:spacing w:before="80" w:after="80"/>
              <w:jc w:val="center"/>
              <w:rPr>
                <w:sz w:val="18"/>
                <w:szCs w:val="20"/>
                <w:highlight w:val="yellow"/>
              </w:rPr>
            </w:pPr>
            <w:r w:rsidRPr="00E33EAE">
              <w:rPr>
                <w:sz w:val="18"/>
                <w:szCs w:val="20"/>
              </w:rPr>
              <w:t>2</w:t>
            </w:r>
          </w:p>
        </w:tc>
      </w:tr>
      <w:tr w:rsidR="00460371" w:rsidTr="007F2F65">
        <w:trPr>
          <w:jc w:val="center"/>
        </w:trPr>
        <w:tc>
          <w:tcPr>
            <w:tcW w:w="3510" w:type="dxa"/>
          </w:tcPr>
          <w:p w:rsidR="00460371" w:rsidRPr="00E33EAE" w:rsidRDefault="007B68F3" w:rsidP="00AD4FFC">
            <w:pPr>
              <w:spacing w:before="80" w:after="80"/>
              <w:rPr>
                <w:sz w:val="18"/>
                <w:szCs w:val="20"/>
              </w:rPr>
            </w:pPr>
            <w:r w:rsidRPr="00E33EAE">
              <w:rPr>
                <w:sz w:val="18"/>
                <w:szCs w:val="20"/>
              </w:rPr>
              <w:t>E&amp;Y Costing Study</w:t>
            </w:r>
          </w:p>
        </w:tc>
        <w:tc>
          <w:tcPr>
            <w:tcW w:w="1843" w:type="dxa"/>
            <w:vAlign w:val="center"/>
          </w:tcPr>
          <w:p w:rsidR="00460371" w:rsidRPr="00E33EAE" w:rsidRDefault="00FC4351" w:rsidP="00521BCD">
            <w:pPr>
              <w:spacing w:before="80" w:after="80"/>
              <w:jc w:val="center"/>
              <w:rPr>
                <w:sz w:val="18"/>
                <w:szCs w:val="20"/>
                <w:highlight w:val="yellow"/>
              </w:rPr>
            </w:pPr>
            <w:r w:rsidRPr="00E33EAE">
              <w:rPr>
                <w:sz w:val="18"/>
                <w:szCs w:val="20"/>
              </w:rPr>
              <w:t>10</w:t>
            </w:r>
            <w:r w:rsidR="00521BCD" w:rsidRPr="00E33EAE">
              <w:rPr>
                <w:sz w:val="18"/>
                <w:szCs w:val="20"/>
              </w:rPr>
              <w:t>3</w:t>
            </w:r>
          </w:p>
        </w:tc>
      </w:tr>
      <w:tr w:rsidR="00333F76" w:rsidTr="007F2F65">
        <w:trPr>
          <w:jc w:val="center"/>
        </w:trPr>
        <w:tc>
          <w:tcPr>
            <w:tcW w:w="3510" w:type="dxa"/>
          </w:tcPr>
          <w:p w:rsidR="00333F76" w:rsidRPr="00E33EAE" w:rsidRDefault="007B68F3" w:rsidP="00333F76">
            <w:pPr>
              <w:spacing w:before="80" w:after="80"/>
              <w:rPr>
                <w:sz w:val="18"/>
                <w:szCs w:val="20"/>
              </w:rPr>
            </w:pPr>
            <w:r w:rsidRPr="00E33EAE">
              <w:rPr>
                <w:sz w:val="18"/>
                <w:szCs w:val="20"/>
              </w:rPr>
              <w:t>2014 Costing Study</w:t>
            </w:r>
          </w:p>
        </w:tc>
        <w:tc>
          <w:tcPr>
            <w:tcW w:w="1843" w:type="dxa"/>
            <w:vAlign w:val="center"/>
          </w:tcPr>
          <w:p w:rsidR="00333F76" w:rsidRPr="00E33EAE" w:rsidRDefault="00333F76" w:rsidP="00AD4FFC">
            <w:pPr>
              <w:spacing w:before="80" w:after="80"/>
              <w:jc w:val="center"/>
              <w:rPr>
                <w:sz w:val="18"/>
                <w:szCs w:val="20"/>
              </w:rPr>
            </w:pPr>
            <w:r w:rsidRPr="00E33EAE">
              <w:rPr>
                <w:sz w:val="18"/>
                <w:szCs w:val="20"/>
              </w:rPr>
              <w:t>5</w:t>
            </w:r>
          </w:p>
        </w:tc>
      </w:tr>
      <w:tr w:rsidR="00460371" w:rsidTr="007F2F65">
        <w:trPr>
          <w:jc w:val="center"/>
        </w:trPr>
        <w:tc>
          <w:tcPr>
            <w:tcW w:w="3510" w:type="dxa"/>
          </w:tcPr>
          <w:p w:rsidR="00460371" w:rsidRPr="00E33EAE" w:rsidRDefault="00460371" w:rsidP="00167BDF">
            <w:pPr>
              <w:spacing w:before="80" w:after="80"/>
              <w:rPr>
                <w:sz w:val="18"/>
                <w:szCs w:val="20"/>
              </w:rPr>
            </w:pPr>
            <w:r w:rsidRPr="00E33EAE">
              <w:rPr>
                <w:sz w:val="18"/>
                <w:szCs w:val="20"/>
              </w:rPr>
              <w:t xml:space="preserve">NHCDC Round </w:t>
            </w:r>
            <w:r w:rsidR="00167BDF" w:rsidRPr="00E33EAE">
              <w:rPr>
                <w:sz w:val="18"/>
                <w:szCs w:val="20"/>
              </w:rPr>
              <w:t>18</w:t>
            </w:r>
          </w:p>
        </w:tc>
        <w:tc>
          <w:tcPr>
            <w:tcW w:w="1843" w:type="dxa"/>
            <w:vAlign w:val="center"/>
          </w:tcPr>
          <w:p w:rsidR="00460371" w:rsidRPr="00E33EAE" w:rsidRDefault="009D79AF" w:rsidP="00AD4FFC">
            <w:pPr>
              <w:spacing w:before="80" w:after="80"/>
              <w:jc w:val="center"/>
              <w:rPr>
                <w:sz w:val="18"/>
                <w:szCs w:val="20"/>
                <w:highlight w:val="yellow"/>
              </w:rPr>
            </w:pPr>
            <w:r w:rsidRPr="00E33EAE">
              <w:rPr>
                <w:sz w:val="18"/>
                <w:szCs w:val="20"/>
              </w:rPr>
              <w:t>13</w:t>
            </w:r>
          </w:p>
        </w:tc>
      </w:tr>
      <w:tr w:rsidR="00460371" w:rsidTr="007F2F65">
        <w:trPr>
          <w:jc w:val="center"/>
        </w:trPr>
        <w:tc>
          <w:tcPr>
            <w:tcW w:w="3510" w:type="dxa"/>
          </w:tcPr>
          <w:p w:rsidR="00460371" w:rsidRPr="00E33EAE" w:rsidRDefault="001C6800" w:rsidP="00AD4FFC">
            <w:pPr>
              <w:spacing w:before="80" w:after="80"/>
              <w:rPr>
                <w:sz w:val="18"/>
                <w:szCs w:val="20"/>
              </w:rPr>
            </w:pPr>
            <w:r>
              <w:rPr>
                <w:sz w:val="18"/>
                <w:szCs w:val="20"/>
              </w:rPr>
              <w:t>Admitted acute</w:t>
            </w:r>
          </w:p>
        </w:tc>
        <w:tc>
          <w:tcPr>
            <w:tcW w:w="1843" w:type="dxa"/>
            <w:vAlign w:val="center"/>
          </w:tcPr>
          <w:p w:rsidR="00460371" w:rsidRPr="00E33EAE" w:rsidRDefault="005810B6" w:rsidP="00AD4FFC">
            <w:pPr>
              <w:spacing w:before="80" w:after="80"/>
              <w:jc w:val="center"/>
              <w:rPr>
                <w:sz w:val="18"/>
                <w:szCs w:val="20"/>
                <w:highlight w:val="yellow"/>
              </w:rPr>
            </w:pPr>
            <w:r w:rsidRPr="00E33EAE">
              <w:rPr>
                <w:sz w:val="18"/>
                <w:szCs w:val="20"/>
              </w:rPr>
              <w:t>2</w:t>
            </w:r>
          </w:p>
        </w:tc>
      </w:tr>
      <w:tr w:rsidR="00460371" w:rsidTr="007F2F65">
        <w:trPr>
          <w:jc w:val="center"/>
        </w:trPr>
        <w:tc>
          <w:tcPr>
            <w:tcW w:w="3510" w:type="dxa"/>
          </w:tcPr>
          <w:p w:rsidR="00460371" w:rsidRPr="00E33EAE" w:rsidRDefault="00460371" w:rsidP="00AD4FFC">
            <w:pPr>
              <w:spacing w:before="80" w:after="80"/>
              <w:rPr>
                <w:sz w:val="18"/>
                <w:szCs w:val="20"/>
              </w:rPr>
            </w:pPr>
            <w:r w:rsidRPr="00E33EAE">
              <w:rPr>
                <w:sz w:val="18"/>
                <w:szCs w:val="20"/>
              </w:rPr>
              <w:t>Average of series</w:t>
            </w:r>
          </w:p>
        </w:tc>
        <w:tc>
          <w:tcPr>
            <w:tcW w:w="1843" w:type="dxa"/>
            <w:vAlign w:val="center"/>
          </w:tcPr>
          <w:p w:rsidR="00460371" w:rsidRPr="00E33EAE" w:rsidRDefault="009D79AF" w:rsidP="00AD4FFC">
            <w:pPr>
              <w:spacing w:before="80" w:after="80"/>
              <w:jc w:val="center"/>
              <w:rPr>
                <w:sz w:val="18"/>
                <w:szCs w:val="20"/>
                <w:highlight w:val="yellow"/>
              </w:rPr>
            </w:pPr>
            <w:r w:rsidRPr="00E33EAE">
              <w:rPr>
                <w:sz w:val="18"/>
                <w:szCs w:val="20"/>
              </w:rPr>
              <w:t>1</w:t>
            </w:r>
          </w:p>
        </w:tc>
      </w:tr>
      <w:tr w:rsidR="00460371" w:rsidTr="007F2F65">
        <w:trPr>
          <w:jc w:val="center"/>
        </w:trPr>
        <w:tc>
          <w:tcPr>
            <w:tcW w:w="3510" w:type="dxa"/>
          </w:tcPr>
          <w:p w:rsidR="00460371" w:rsidRPr="00E33EAE" w:rsidRDefault="00460371" w:rsidP="00AD4FFC">
            <w:pPr>
              <w:spacing w:before="80" w:after="80"/>
              <w:rPr>
                <w:b/>
                <w:sz w:val="18"/>
                <w:szCs w:val="20"/>
              </w:rPr>
            </w:pPr>
            <w:r w:rsidRPr="00E33EAE">
              <w:rPr>
                <w:b/>
                <w:sz w:val="18"/>
                <w:szCs w:val="20"/>
              </w:rPr>
              <w:t>Total</w:t>
            </w:r>
          </w:p>
        </w:tc>
        <w:tc>
          <w:tcPr>
            <w:tcW w:w="1843" w:type="dxa"/>
            <w:vAlign w:val="center"/>
          </w:tcPr>
          <w:p w:rsidR="00460371" w:rsidRPr="00E33EAE" w:rsidRDefault="006D780C" w:rsidP="00AD4FFC">
            <w:pPr>
              <w:spacing w:before="80" w:after="80"/>
              <w:jc w:val="center"/>
              <w:rPr>
                <w:b/>
                <w:sz w:val="18"/>
                <w:szCs w:val="20"/>
                <w:highlight w:val="yellow"/>
              </w:rPr>
            </w:pPr>
            <w:r w:rsidRPr="00E33EAE">
              <w:rPr>
                <w:b/>
                <w:sz w:val="18"/>
                <w:szCs w:val="20"/>
              </w:rPr>
              <w:t>126</w:t>
            </w:r>
          </w:p>
        </w:tc>
      </w:tr>
    </w:tbl>
    <w:p w:rsidR="00460371" w:rsidRDefault="00460371" w:rsidP="00AD4FFC">
      <w:pPr>
        <w:pStyle w:val="Heading3"/>
        <w:keepLines w:val="0"/>
        <w:numPr>
          <w:ilvl w:val="2"/>
          <w:numId w:val="35"/>
        </w:numPr>
        <w:tabs>
          <w:tab w:val="left" w:pos="1162"/>
        </w:tabs>
        <w:spacing w:before="240" w:after="120"/>
      </w:pPr>
      <w:bookmarkStart w:id="374" w:name="_Toc380754731"/>
      <w:bookmarkStart w:id="375" w:name="_Toc444528640"/>
      <w:r>
        <w:t>Cost parameters and adjustments</w:t>
      </w:r>
      <w:bookmarkEnd w:id="374"/>
      <w:bookmarkEnd w:id="375"/>
    </w:p>
    <w:p w:rsidR="00460371" w:rsidRDefault="00460371" w:rsidP="00AD4FFC">
      <w:pPr>
        <w:tabs>
          <w:tab w:val="left" w:pos="1162"/>
        </w:tabs>
      </w:pPr>
      <w:r>
        <w:t xml:space="preserve">The non-admitted care model calculates the mean </w:t>
      </w:r>
      <w:r w:rsidR="003F67F1">
        <w:t xml:space="preserve">direct </w:t>
      </w:r>
      <w:r>
        <w:t xml:space="preserve">cost for the relevant data in each Tier 2 clinic sourced from </w:t>
      </w:r>
      <w:r w:rsidR="007B68F3">
        <w:t>costing studies</w:t>
      </w:r>
      <w:r>
        <w:t xml:space="preserve"> or Victorian radiotherapy data. These means </w:t>
      </w:r>
      <w:r w:rsidR="003F67F1">
        <w:t xml:space="preserve">for the direct costs for each clinic </w:t>
      </w:r>
      <w:r>
        <w:t xml:space="preserve">are then calibrated </w:t>
      </w:r>
      <w:r w:rsidR="003F67F1">
        <w:t xml:space="preserve">along with the few clinics being costed from the NHCDC Round </w:t>
      </w:r>
      <w:r w:rsidR="0043232B">
        <w:t xml:space="preserve">18 </w:t>
      </w:r>
      <w:r w:rsidR="003F67F1">
        <w:t xml:space="preserve">data </w:t>
      </w:r>
      <w:r>
        <w:t>to ensure the total predicted costs for the NHCDC Round 1</w:t>
      </w:r>
      <w:r w:rsidR="007B68F3">
        <w:t>8</w:t>
      </w:r>
      <w:r>
        <w:t xml:space="preserve"> non-admitted data adds up to the total actual costs.</w:t>
      </w:r>
      <w:r w:rsidR="003F67F1">
        <w:t xml:space="preserve"> </w:t>
      </w:r>
    </w:p>
    <w:p w:rsidR="00E120AF" w:rsidRDefault="00712DD7" w:rsidP="00712DD7">
      <w:pPr>
        <w:tabs>
          <w:tab w:val="left" w:pos="1162"/>
        </w:tabs>
      </w:pPr>
      <w:r>
        <w:t>The pricing approach used for the following non-admitted clinics has been changed for NEP16:</w:t>
      </w:r>
      <w:r w:rsidDel="00521BCD">
        <w:t xml:space="preserve"> </w:t>
      </w:r>
    </w:p>
    <w:p w:rsidR="00EF40B9" w:rsidRPr="00EF40B9" w:rsidRDefault="005810B6" w:rsidP="005810B6">
      <w:pPr>
        <w:pStyle w:val="ListParagraph"/>
        <w:numPr>
          <w:ilvl w:val="0"/>
          <w:numId w:val="56"/>
        </w:numPr>
        <w:tabs>
          <w:tab w:val="left" w:pos="1162"/>
        </w:tabs>
        <w:rPr>
          <w:i/>
        </w:rPr>
      </w:pPr>
      <w:r w:rsidRPr="00521BCD">
        <w:rPr>
          <w:i/>
        </w:rPr>
        <w:t xml:space="preserve">Endoscopy – gastrointestinal (Clinic </w:t>
      </w:r>
      <w:r>
        <w:rPr>
          <w:i/>
        </w:rPr>
        <w:t xml:space="preserve">10.06) pricing based on links to acute data: </w:t>
      </w:r>
      <w:r>
        <w:t>in NEP15 the Endoscopy clinic was priced using data from the 201</w:t>
      </w:r>
      <w:r w:rsidR="00597C96">
        <w:t>4</w:t>
      </w:r>
      <w:r>
        <w:t xml:space="preserve"> Costing Study</w:t>
      </w:r>
      <w:r w:rsidR="00EF40B9">
        <w:t xml:space="preserve">.  Due to changes in the classification used for the </w:t>
      </w:r>
      <w:r w:rsidR="001C6800">
        <w:t>admitted acute</w:t>
      </w:r>
      <w:r w:rsidR="003663AC">
        <w:t xml:space="preserve"> care cost model for NEP16, the Endoscopy clinic is priced using logical links to </w:t>
      </w:r>
      <w:r w:rsidR="001C6800">
        <w:t>admitted acute</w:t>
      </w:r>
      <w:r w:rsidR="003663AC">
        <w:t xml:space="preserve"> cost data. </w:t>
      </w:r>
    </w:p>
    <w:p w:rsidR="00FA03BF" w:rsidRDefault="00FA03BF" w:rsidP="00FA03BF">
      <w:pPr>
        <w:pStyle w:val="ListParagraph"/>
        <w:numPr>
          <w:ilvl w:val="0"/>
          <w:numId w:val="56"/>
        </w:numPr>
        <w:tabs>
          <w:tab w:val="left" w:pos="1162"/>
        </w:tabs>
      </w:pPr>
      <w:r>
        <w:rPr>
          <w:i/>
        </w:rPr>
        <w:t>Hepatobiliary (Clinic 40.43)</w:t>
      </w:r>
      <w:r w:rsidR="005810B6">
        <w:t xml:space="preserve"> priced using </w:t>
      </w:r>
      <w:r w:rsidR="00521BCD" w:rsidRPr="00521BCD">
        <w:rPr>
          <w:i/>
        </w:rPr>
        <w:t xml:space="preserve">NHCDC </w:t>
      </w:r>
      <w:r w:rsidR="005810B6">
        <w:rPr>
          <w:i/>
        </w:rPr>
        <w:t>Round 18 data</w:t>
      </w:r>
      <w:r w:rsidR="00521BCD">
        <w:t xml:space="preserve">: </w:t>
      </w:r>
      <w:r>
        <w:t>Due to an absence of both costing study and NHCDC data in NEP14 and NEP15, the Hepatobiliary clinic was priced using the average of the 40 series clinics. Round 18 of the NHCDC now contains sufficient data in Clinic 40.43. The costing method in NEP16 will use NHCDC Round 18 data to price the Hepatobiliary clinic.</w:t>
      </w:r>
      <w:r w:rsidR="00521BCD">
        <w:t xml:space="preserve"> This clinic is also stabilised according to the National Pricing Model Sta</w:t>
      </w:r>
      <w:r w:rsidR="005810B6">
        <w:t xml:space="preserve">bility Policy. </w:t>
      </w:r>
    </w:p>
    <w:p w:rsidR="001B225A" w:rsidRPr="001B225A" w:rsidRDefault="00521BCD" w:rsidP="001B225A">
      <w:pPr>
        <w:pStyle w:val="ListParagraph"/>
        <w:numPr>
          <w:ilvl w:val="0"/>
          <w:numId w:val="56"/>
        </w:numPr>
        <w:tabs>
          <w:tab w:val="left" w:pos="1162"/>
        </w:tabs>
      </w:pPr>
      <w:r w:rsidRPr="001B225A">
        <w:rPr>
          <w:i/>
        </w:rPr>
        <w:t xml:space="preserve">Dermatology (Clinic </w:t>
      </w:r>
      <w:r w:rsidR="001B225A" w:rsidRPr="005810B6">
        <w:rPr>
          <w:i/>
        </w:rPr>
        <w:t>40.45) priced using average of the 40 series</w:t>
      </w:r>
      <w:r w:rsidR="005810B6">
        <w:rPr>
          <w:i/>
        </w:rPr>
        <w:t>:</w:t>
      </w:r>
      <w:r w:rsidR="001B225A" w:rsidRPr="005810B6">
        <w:rPr>
          <w:i/>
        </w:rPr>
        <w:t xml:space="preserve"> </w:t>
      </w:r>
      <w:r w:rsidR="001B225A" w:rsidRPr="001B225A">
        <w:t>in NEP</w:t>
      </w:r>
      <w:r w:rsidR="001B225A">
        <w:t>15 the Dermatology clinic was priced using NHCDC Round 17 data. Advice indicated that NHCDC Round 18 data for this clinic is not appropriate for use in pricing. Therefore the Dermatology clinic is priced using the average of the 40 series clinics.</w:t>
      </w:r>
    </w:p>
    <w:p w:rsidR="002B0212" w:rsidRDefault="00717F2C" w:rsidP="002B0212">
      <w:pPr>
        <w:tabs>
          <w:tab w:val="left" w:pos="1162"/>
        </w:tabs>
        <w:rPr>
          <w:rFonts w:cs="Arial"/>
          <w:szCs w:val="20"/>
        </w:rPr>
      </w:pPr>
      <w:r w:rsidRPr="002B0212">
        <w:rPr>
          <w:rFonts w:cs="Arial"/>
          <w:szCs w:val="20"/>
        </w:rPr>
        <w:t xml:space="preserve">The current National Pricing Model Stability Policy requires that the year-to-year movement in price weights be restricted to a maximum of 20 </w:t>
      </w:r>
      <w:r w:rsidR="00347801" w:rsidRPr="00CF317B">
        <w:rPr>
          <w:rFonts w:cs="Arial"/>
          <w:szCs w:val="20"/>
        </w:rPr>
        <w:t>per cent</w:t>
      </w:r>
      <w:r w:rsidRPr="00B76883">
        <w:rPr>
          <w:rFonts w:cs="Arial"/>
          <w:szCs w:val="20"/>
        </w:rPr>
        <w:t xml:space="preserve">. Application of this policy results in the stabilisation of a number of the 2013-14 non-admitted cost parameters. The </w:t>
      </w:r>
      <w:r w:rsidRPr="00AC03BB">
        <w:rPr>
          <w:rFonts w:cs="Arial"/>
          <w:szCs w:val="20"/>
        </w:rPr>
        <w:t xml:space="preserve">change in cost weights </w:t>
      </w:r>
      <w:r w:rsidR="00F1090E" w:rsidRPr="00AC03BB">
        <w:rPr>
          <w:rFonts w:cs="Arial"/>
          <w:szCs w:val="20"/>
        </w:rPr>
        <w:t>is</w:t>
      </w:r>
      <w:r w:rsidRPr="007E1382">
        <w:rPr>
          <w:rFonts w:cs="Arial"/>
          <w:szCs w:val="20"/>
        </w:rPr>
        <w:t xml:space="preserve"> capped at an increase or decrease of 20 </w:t>
      </w:r>
      <w:r w:rsidR="00347801" w:rsidRPr="007E1382">
        <w:rPr>
          <w:rFonts w:cs="Arial"/>
          <w:szCs w:val="20"/>
        </w:rPr>
        <w:t>per cent</w:t>
      </w:r>
      <w:r w:rsidRPr="00B36606">
        <w:rPr>
          <w:rFonts w:cs="Arial"/>
          <w:szCs w:val="20"/>
        </w:rPr>
        <w:t xml:space="preserve"> of the previous year’s cost weight for all clinics using NHCDC cost parameters. The remaining outlier costs were used to calibrate all other clinics.</w:t>
      </w:r>
    </w:p>
    <w:p w:rsidR="00167BDF" w:rsidRPr="00AC03BB" w:rsidRDefault="00167BDF" w:rsidP="00E33EAE">
      <w:pPr>
        <w:tabs>
          <w:tab w:val="left" w:pos="1162"/>
        </w:tabs>
        <w:rPr>
          <w:rFonts w:cs="Arial"/>
          <w:szCs w:val="20"/>
        </w:rPr>
      </w:pPr>
      <w:r w:rsidRPr="00B76883">
        <w:rPr>
          <w:rFonts w:cs="Arial"/>
          <w:szCs w:val="20"/>
        </w:rPr>
        <w:t xml:space="preserve">The application of </w:t>
      </w:r>
      <w:r w:rsidRPr="002B0212">
        <w:rPr>
          <w:rFonts w:cs="Arial"/>
          <w:szCs w:val="20"/>
        </w:rPr>
        <w:t xml:space="preserve">this policy resulted in the </w:t>
      </w:r>
      <w:r w:rsidR="008340AC" w:rsidRPr="002B0212">
        <w:rPr>
          <w:rFonts w:cs="Arial"/>
          <w:szCs w:val="20"/>
        </w:rPr>
        <w:t>adoption of the stabilised price weights for the following clinics</w:t>
      </w:r>
      <w:r w:rsidRPr="002B0212">
        <w:rPr>
          <w:rFonts w:cs="Arial"/>
          <w:szCs w:val="20"/>
        </w:rPr>
        <w:t>:</w:t>
      </w:r>
    </w:p>
    <w:p w:rsidR="00167BDF" w:rsidRDefault="00167BDF" w:rsidP="003663AC">
      <w:pPr>
        <w:pStyle w:val="ListParagraph"/>
        <w:numPr>
          <w:ilvl w:val="0"/>
          <w:numId w:val="57"/>
        </w:numPr>
        <w:tabs>
          <w:tab w:val="left" w:pos="1162"/>
        </w:tabs>
      </w:pPr>
      <w:r>
        <w:t>Endoscopy – orthopaedic (Clinic 10.08);</w:t>
      </w:r>
    </w:p>
    <w:p w:rsidR="00167BDF" w:rsidRDefault="00167BDF" w:rsidP="003663AC">
      <w:pPr>
        <w:pStyle w:val="ListParagraph"/>
        <w:numPr>
          <w:ilvl w:val="0"/>
          <w:numId w:val="57"/>
        </w:numPr>
        <w:tabs>
          <w:tab w:val="left" w:pos="1162"/>
        </w:tabs>
      </w:pPr>
      <w:r>
        <w:t>Pain management interventions (Clinic 10.14);</w:t>
      </w:r>
    </w:p>
    <w:p w:rsidR="003F30C9" w:rsidRDefault="00167BDF" w:rsidP="003663AC">
      <w:pPr>
        <w:pStyle w:val="ListParagraph"/>
        <w:numPr>
          <w:ilvl w:val="0"/>
          <w:numId w:val="57"/>
        </w:numPr>
        <w:tabs>
          <w:tab w:val="left" w:pos="1162"/>
        </w:tabs>
      </w:pPr>
      <w:r>
        <w:t>Developmental disabilities (Clinic 20.04);</w:t>
      </w:r>
    </w:p>
    <w:p w:rsidR="00167BDF" w:rsidRDefault="00167BDF" w:rsidP="003663AC">
      <w:pPr>
        <w:pStyle w:val="ListParagraph"/>
        <w:numPr>
          <w:ilvl w:val="0"/>
          <w:numId w:val="57"/>
        </w:numPr>
        <w:tabs>
          <w:tab w:val="left" w:pos="1162"/>
        </w:tabs>
      </w:pPr>
      <w:r>
        <w:t>Anti-coagulant screening and management (Clinic 20.21);</w:t>
      </w:r>
    </w:p>
    <w:p w:rsidR="00167BDF" w:rsidRDefault="00167BDF" w:rsidP="003663AC">
      <w:pPr>
        <w:pStyle w:val="ListParagraph"/>
        <w:numPr>
          <w:ilvl w:val="0"/>
          <w:numId w:val="57"/>
        </w:numPr>
        <w:tabs>
          <w:tab w:val="left" w:pos="1162"/>
        </w:tabs>
      </w:pPr>
      <w:r>
        <w:t xml:space="preserve">Assisted reproductive </w:t>
      </w:r>
      <w:r w:rsidR="008340AC">
        <w:t>technology (Clinic 20.37);</w:t>
      </w:r>
    </w:p>
    <w:p w:rsidR="008340AC" w:rsidRDefault="008340AC" w:rsidP="003663AC">
      <w:pPr>
        <w:pStyle w:val="ListParagraph"/>
        <w:numPr>
          <w:ilvl w:val="0"/>
          <w:numId w:val="57"/>
        </w:numPr>
        <w:tabs>
          <w:tab w:val="left" w:pos="1162"/>
        </w:tabs>
      </w:pPr>
      <w:r>
        <w:t>Infectious disease (Clinic</w:t>
      </w:r>
      <w:r w:rsidR="009F697A">
        <w:t xml:space="preserve"> </w:t>
      </w:r>
      <w:r>
        <w:t>40.38);</w:t>
      </w:r>
    </w:p>
    <w:p w:rsidR="00FA03BF" w:rsidRDefault="00FA03BF" w:rsidP="003663AC">
      <w:pPr>
        <w:pStyle w:val="ListParagraph"/>
        <w:numPr>
          <w:ilvl w:val="0"/>
          <w:numId w:val="57"/>
        </w:numPr>
        <w:tabs>
          <w:tab w:val="left" w:pos="1162"/>
        </w:tabs>
      </w:pPr>
      <w:r>
        <w:t>Hepatobiliary (Clinic 40.43)</w:t>
      </w:r>
    </w:p>
    <w:p w:rsidR="008340AC" w:rsidRDefault="008340AC" w:rsidP="003663AC">
      <w:pPr>
        <w:pStyle w:val="ListParagraph"/>
        <w:numPr>
          <w:ilvl w:val="0"/>
          <w:numId w:val="57"/>
        </w:numPr>
        <w:tabs>
          <w:tab w:val="left" w:pos="1162"/>
        </w:tabs>
      </w:pPr>
      <w:r>
        <w:t>Cognition and memory (Clinic 40.57); and</w:t>
      </w:r>
    </w:p>
    <w:p w:rsidR="008340AC" w:rsidRPr="003F30C9" w:rsidRDefault="008340AC" w:rsidP="003663AC">
      <w:pPr>
        <w:pStyle w:val="ListParagraph"/>
        <w:numPr>
          <w:ilvl w:val="0"/>
          <w:numId w:val="57"/>
        </w:numPr>
        <w:tabs>
          <w:tab w:val="left" w:pos="1162"/>
        </w:tabs>
      </w:pPr>
      <w:r>
        <w:t>Post-acute care (Clinic 40.59).</w:t>
      </w:r>
    </w:p>
    <w:p w:rsidR="00460371" w:rsidRDefault="00460371" w:rsidP="00AD4FFC">
      <w:pPr>
        <w:tabs>
          <w:tab w:val="left" w:pos="1162"/>
        </w:tabs>
        <w:rPr>
          <w:rFonts w:cs="Arial"/>
          <w:szCs w:val="20"/>
        </w:rPr>
      </w:pPr>
      <w:r>
        <w:rPr>
          <w:rFonts w:cs="Arial"/>
          <w:szCs w:val="20"/>
        </w:rPr>
        <w:t xml:space="preserve">The non-admitted cost parameters for </w:t>
      </w:r>
      <w:r w:rsidR="003C2176">
        <w:rPr>
          <w:rFonts w:cs="Arial"/>
          <w:szCs w:val="20"/>
        </w:rPr>
        <w:t>2013-14</w:t>
      </w:r>
      <w:r>
        <w:rPr>
          <w:rFonts w:cs="Arial"/>
          <w:szCs w:val="20"/>
        </w:rPr>
        <w:t xml:space="preserve"> </w:t>
      </w:r>
      <w:r w:rsidR="004715A4">
        <w:rPr>
          <w:rFonts w:cs="Arial"/>
          <w:szCs w:val="20"/>
        </w:rPr>
        <w:t xml:space="preserve">are very similar and highly correlated to the </w:t>
      </w:r>
      <w:r w:rsidR="003C2176">
        <w:rPr>
          <w:rFonts w:cs="Arial"/>
          <w:szCs w:val="20"/>
        </w:rPr>
        <w:t xml:space="preserve">NEP15 </w:t>
      </w:r>
      <w:r w:rsidR="00AB63CE">
        <w:rPr>
          <w:rFonts w:cs="Arial"/>
          <w:szCs w:val="20"/>
        </w:rPr>
        <w:t>price</w:t>
      </w:r>
      <w:r w:rsidR="004715A4">
        <w:rPr>
          <w:rFonts w:cs="Arial"/>
          <w:szCs w:val="20"/>
        </w:rPr>
        <w:t xml:space="preserve"> weights. </w:t>
      </w:r>
      <w:r>
        <w:rPr>
          <w:rFonts w:cs="Arial"/>
          <w:szCs w:val="20"/>
        </w:rPr>
        <w:t xml:space="preserve">The </w:t>
      </w:r>
      <w:r w:rsidR="004715A4">
        <w:rPr>
          <w:rFonts w:cs="Arial"/>
          <w:szCs w:val="20"/>
        </w:rPr>
        <w:t xml:space="preserve">2011-12 and </w:t>
      </w:r>
      <w:r w:rsidR="00B94FB5">
        <w:rPr>
          <w:rFonts w:cs="Arial"/>
          <w:szCs w:val="20"/>
        </w:rPr>
        <w:t>2012-13</w:t>
      </w:r>
      <w:r>
        <w:rPr>
          <w:rFonts w:cs="Arial"/>
          <w:szCs w:val="20"/>
        </w:rPr>
        <w:t xml:space="preserve"> cost parameters are considered to be more representative of the actual costs and variability of costs of the Tier 2 Clinics because their measurement is based on empirical data of time and resources actually expended to provide the services.</w:t>
      </w:r>
    </w:p>
    <w:p w:rsidR="008D4C15" w:rsidRDefault="00460371" w:rsidP="00AD4FFC">
      <w:pPr>
        <w:tabs>
          <w:tab w:val="left" w:pos="1162"/>
        </w:tabs>
        <w:rPr>
          <w:rFonts w:cs="Arial"/>
          <w:szCs w:val="20"/>
        </w:rPr>
      </w:pPr>
      <w:r w:rsidRPr="0068154B">
        <w:rPr>
          <w:rFonts w:cs="Arial"/>
          <w:szCs w:val="20"/>
        </w:rPr>
        <w:t>The fit of the</w:t>
      </w:r>
      <w:r>
        <w:rPr>
          <w:rFonts w:cs="Arial"/>
          <w:szCs w:val="20"/>
        </w:rPr>
        <w:t xml:space="preserve"> </w:t>
      </w:r>
      <w:r w:rsidR="003C2176">
        <w:rPr>
          <w:rFonts w:cs="Arial"/>
          <w:szCs w:val="20"/>
        </w:rPr>
        <w:t>2013-14</w:t>
      </w:r>
      <w:r w:rsidRPr="0068154B">
        <w:rPr>
          <w:rFonts w:cs="Arial"/>
          <w:szCs w:val="20"/>
        </w:rPr>
        <w:t xml:space="preserve"> non-admitted cost model </w:t>
      </w:r>
      <w:r w:rsidR="004715A4">
        <w:rPr>
          <w:rFonts w:cs="Arial"/>
          <w:szCs w:val="20"/>
        </w:rPr>
        <w:t>to the NHCDC data cost weights is</w:t>
      </w:r>
      <w:r>
        <w:rPr>
          <w:rFonts w:cs="Arial"/>
          <w:szCs w:val="20"/>
        </w:rPr>
        <w:t xml:space="preserve"> low. </w:t>
      </w:r>
      <w:r w:rsidRPr="0068154B">
        <w:rPr>
          <w:rFonts w:cs="Arial"/>
          <w:szCs w:val="20"/>
        </w:rPr>
        <w:t xml:space="preserve">That is, the </w:t>
      </w:r>
      <w:r w:rsidR="00BC3AB1">
        <w:rPr>
          <w:rFonts w:cs="Arial"/>
          <w:szCs w:val="20"/>
        </w:rPr>
        <w:t>R</w:t>
      </w:r>
      <w:r>
        <w:rPr>
          <w:rFonts w:cs="Arial"/>
          <w:szCs w:val="20"/>
        </w:rPr>
        <w:t>-squared</w:t>
      </w:r>
      <w:r w:rsidRPr="0068154B">
        <w:rPr>
          <w:rFonts w:cs="Arial"/>
          <w:szCs w:val="20"/>
        </w:rPr>
        <w:t xml:space="preserve"> </w:t>
      </w:r>
      <w:r>
        <w:rPr>
          <w:rFonts w:cs="Arial"/>
          <w:szCs w:val="20"/>
        </w:rPr>
        <w:t>statistic</w:t>
      </w:r>
      <w:r w:rsidRPr="0068154B">
        <w:rPr>
          <w:rFonts w:cs="Arial"/>
          <w:szCs w:val="20"/>
        </w:rPr>
        <w:t xml:space="preserve"> is low and reflects the considerable variation in</w:t>
      </w:r>
      <w:r w:rsidR="00BC3AB1">
        <w:rPr>
          <w:rFonts w:cs="Arial"/>
          <w:szCs w:val="20"/>
        </w:rPr>
        <w:t xml:space="preserve">, and reliance on, </w:t>
      </w:r>
      <w:r w:rsidRPr="0068154B">
        <w:rPr>
          <w:rFonts w:cs="Arial"/>
          <w:szCs w:val="20"/>
        </w:rPr>
        <w:t xml:space="preserve">the NHCDC </w:t>
      </w:r>
      <w:r>
        <w:rPr>
          <w:rFonts w:cs="Arial"/>
          <w:szCs w:val="20"/>
        </w:rPr>
        <w:t>n</w:t>
      </w:r>
      <w:r w:rsidRPr="0068154B">
        <w:rPr>
          <w:rFonts w:cs="Arial"/>
          <w:szCs w:val="20"/>
        </w:rPr>
        <w:t>on-admitted cost data.</w:t>
      </w:r>
      <w:r>
        <w:rPr>
          <w:rFonts w:cs="Arial"/>
          <w:szCs w:val="20"/>
        </w:rPr>
        <w:t xml:space="preserve"> </w:t>
      </w:r>
    </w:p>
    <w:p w:rsidR="00460371" w:rsidRDefault="00460371" w:rsidP="00AD4FFC">
      <w:pPr>
        <w:tabs>
          <w:tab w:val="left" w:pos="1162"/>
        </w:tabs>
        <w:rPr>
          <w:rFonts w:cs="Arial"/>
          <w:szCs w:val="20"/>
        </w:rPr>
      </w:pPr>
      <w:r>
        <w:rPr>
          <w:rFonts w:cs="Arial"/>
          <w:szCs w:val="20"/>
        </w:rPr>
        <w:t>T</w:t>
      </w:r>
      <w:r w:rsidRPr="0068154B">
        <w:rPr>
          <w:rFonts w:cs="Arial"/>
          <w:szCs w:val="20"/>
        </w:rPr>
        <w:t xml:space="preserve">he </w:t>
      </w:r>
      <w:r w:rsidR="003C2176" w:rsidRPr="0068154B">
        <w:rPr>
          <w:rFonts w:cs="Arial"/>
          <w:szCs w:val="20"/>
        </w:rPr>
        <w:t>NEP</w:t>
      </w:r>
      <w:r w:rsidR="003C2176">
        <w:rPr>
          <w:rFonts w:cs="Arial"/>
          <w:szCs w:val="20"/>
        </w:rPr>
        <w:t>16</w:t>
      </w:r>
      <w:r w:rsidR="003C2176" w:rsidRPr="0068154B">
        <w:rPr>
          <w:rFonts w:cs="Arial"/>
          <w:szCs w:val="20"/>
        </w:rPr>
        <w:t xml:space="preserve"> </w:t>
      </w:r>
      <w:r w:rsidR="00DF77B4">
        <w:rPr>
          <w:rFonts w:cs="Arial"/>
          <w:szCs w:val="20"/>
        </w:rPr>
        <w:t>Indigenous</w:t>
      </w:r>
      <w:r w:rsidRPr="0068154B">
        <w:rPr>
          <w:rFonts w:cs="Arial"/>
          <w:szCs w:val="20"/>
        </w:rPr>
        <w:t xml:space="preserve"> a</w:t>
      </w:r>
      <w:r>
        <w:rPr>
          <w:rFonts w:cs="Arial"/>
          <w:szCs w:val="20"/>
        </w:rPr>
        <w:t>djustment</w:t>
      </w:r>
      <w:r w:rsidRPr="0068154B">
        <w:rPr>
          <w:rFonts w:cs="Arial"/>
          <w:szCs w:val="20"/>
        </w:rPr>
        <w:t xml:space="preserve"> w</w:t>
      </w:r>
      <w:r>
        <w:rPr>
          <w:rFonts w:cs="Arial"/>
          <w:szCs w:val="20"/>
        </w:rPr>
        <w:t>as</w:t>
      </w:r>
      <w:r w:rsidRPr="0068154B">
        <w:rPr>
          <w:rFonts w:cs="Arial"/>
          <w:szCs w:val="20"/>
        </w:rPr>
        <w:t xml:space="preserve"> applied to non-admitted episodes in the same way as for ED presentations.</w:t>
      </w:r>
      <w:r w:rsidR="008D4C15">
        <w:rPr>
          <w:rFonts w:cs="Arial"/>
          <w:szCs w:val="20"/>
        </w:rPr>
        <w:t xml:space="preserve"> The </w:t>
      </w:r>
      <w:r w:rsidR="003C2176">
        <w:rPr>
          <w:rFonts w:cs="Arial"/>
          <w:szCs w:val="20"/>
        </w:rPr>
        <w:t xml:space="preserve">NEP16 </w:t>
      </w:r>
      <w:r w:rsidR="00BC3AB1">
        <w:rPr>
          <w:rFonts w:cs="Arial"/>
          <w:szCs w:val="20"/>
        </w:rPr>
        <w:t>m</w:t>
      </w:r>
      <w:r w:rsidR="008D4C15">
        <w:rPr>
          <w:rFonts w:cs="Arial"/>
          <w:szCs w:val="20"/>
        </w:rPr>
        <w:t xml:space="preserve">ulti-disciplinary clinic adjustment is applied </w:t>
      </w:r>
      <w:r w:rsidR="00BC3AB1">
        <w:rPr>
          <w:rFonts w:cs="Arial"/>
          <w:szCs w:val="20"/>
        </w:rPr>
        <w:t>after</w:t>
      </w:r>
      <w:r w:rsidR="008D4C15">
        <w:rPr>
          <w:rFonts w:cs="Arial"/>
          <w:szCs w:val="20"/>
        </w:rPr>
        <w:t xml:space="preserve"> the Indigenous adjustment.</w:t>
      </w:r>
    </w:p>
    <w:p w:rsidR="00460371" w:rsidRDefault="00460371" w:rsidP="00AD4FFC">
      <w:pPr>
        <w:pStyle w:val="Heading3"/>
        <w:keepLines w:val="0"/>
        <w:numPr>
          <w:ilvl w:val="2"/>
          <w:numId w:val="35"/>
        </w:numPr>
        <w:tabs>
          <w:tab w:val="left" w:pos="1162"/>
        </w:tabs>
        <w:spacing w:before="240" w:after="120"/>
      </w:pPr>
      <w:bookmarkStart w:id="376" w:name="_Toc380754732"/>
      <w:bookmarkStart w:id="377" w:name="_Toc444528641"/>
      <w:r>
        <w:t>Price weights and NWAU</w:t>
      </w:r>
      <w:bookmarkEnd w:id="376"/>
      <w:bookmarkEnd w:id="377"/>
    </w:p>
    <w:p w:rsidR="0070055C" w:rsidRDefault="00460371" w:rsidP="009B622C">
      <w:pPr>
        <w:tabs>
          <w:tab w:val="left" w:pos="1162"/>
        </w:tabs>
        <w:rPr>
          <w:rFonts w:cs="Arial"/>
          <w:szCs w:val="20"/>
        </w:rPr>
      </w:pPr>
      <w:r>
        <w:rPr>
          <w:rFonts w:cs="Arial"/>
          <w:szCs w:val="20"/>
        </w:rPr>
        <w:t xml:space="preserve">The cost parameters are converted to cost weights by </w:t>
      </w:r>
      <w:r w:rsidRPr="0068154B">
        <w:rPr>
          <w:rFonts w:cs="Arial"/>
          <w:szCs w:val="20"/>
        </w:rPr>
        <w:t xml:space="preserve">dividing </w:t>
      </w:r>
      <w:r>
        <w:rPr>
          <w:rFonts w:cs="Arial"/>
          <w:szCs w:val="20"/>
        </w:rPr>
        <w:t>each by the reference</w:t>
      </w:r>
      <w:r w:rsidRPr="0068154B">
        <w:rPr>
          <w:rFonts w:cs="Arial"/>
          <w:szCs w:val="20"/>
        </w:rPr>
        <w:t xml:space="preserve"> cost for </w:t>
      </w:r>
      <w:r>
        <w:rPr>
          <w:rFonts w:cs="Arial"/>
          <w:szCs w:val="20"/>
        </w:rPr>
        <w:t xml:space="preserve">the </w:t>
      </w:r>
      <w:r w:rsidR="001C6800">
        <w:rPr>
          <w:rFonts w:cs="Arial"/>
          <w:szCs w:val="20"/>
        </w:rPr>
        <w:t>admitted acute</w:t>
      </w:r>
      <w:r>
        <w:rPr>
          <w:rFonts w:cs="Arial"/>
          <w:szCs w:val="20"/>
        </w:rPr>
        <w:t xml:space="preserve"> cost model. These cost weights are then converted to the price weights used to assign NWAU.</w:t>
      </w:r>
    </w:p>
    <w:p w:rsidR="008D4C15" w:rsidRDefault="008D4C15" w:rsidP="008D4C15">
      <w:pPr>
        <w:tabs>
          <w:tab w:val="left" w:pos="1162"/>
        </w:tabs>
        <w:rPr>
          <w:rFonts w:cs="Arial"/>
          <w:szCs w:val="20"/>
        </w:rPr>
      </w:pPr>
      <w:r>
        <w:rPr>
          <w:rFonts w:cs="Arial"/>
          <w:szCs w:val="20"/>
        </w:rPr>
        <w:t xml:space="preserve">As set out in the </w:t>
      </w:r>
      <w:r w:rsidR="003C2176">
        <w:rPr>
          <w:rFonts w:cs="Arial"/>
          <w:szCs w:val="20"/>
        </w:rPr>
        <w:t xml:space="preserve">NEP16 </w:t>
      </w:r>
      <w:r>
        <w:rPr>
          <w:rFonts w:cs="Arial"/>
          <w:szCs w:val="20"/>
        </w:rPr>
        <w:t>Determination, the price of an ABF non-admitted activity is calculated using the following formula with adjustments as applicable.</w:t>
      </w:r>
    </w:p>
    <w:p w:rsidR="008D4C15" w:rsidRDefault="008D4C15" w:rsidP="008D4C15">
      <w:pPr>
        <w:spacing w:before="280"/>
        <w:rPr>
          <w:rFonts w:cs="Arial"/>
          <w:color w:val="000000"/>
          <w:szCs w:val="24"/>
        </w:rPr>
      </w:pPr>
      <w:r>
        <w:rPr>
          <w:rFonts w:cs="Arial"/>
          <w:b/>
          <w:color w:val="000000"/>
          <w:szCs w:val="24"/>
        </w:rPr>
        <w:t xml:space="preserve">Price of a non-admitted </w:t>
      </w:r>
      <w:r w:rsidRPr="000306BE">
        <w:rPr>
          <w:rFonts w:cs="Arial"/>
          <w:b/>
          <w:color w:val="000000"/>
          <w:szCs w:val="24"/>
        </w:rPr>
        <w:t>ABF Activity</w:t>
      </w:r>
      <w:r w:rsidRPr="000306BE">
        <w:rPr>
          <w:rFonts w:cs="Arial"/>
          <w:color w:val="000000"/>
          <w:szCs w:val="24"/>
        </w:rPr>
        <w:t xml:space="preserve"> </w:t>
      </w:r>
      <w:r w:rsidRPr="00626E5D">
        <w:rPr>
          <w:rFonts w:cs="Arial"/>
          <w:color w:val="000000"/>
          <w:szCs w:val="24"/>
        </w:rPr>
        <w:t>=</w:t>
      </w:r>
      <w:r>
        <w:rPr>
          <w:rFonts w:cs="Arial"/>
          <w:color w:val="000000"/>
          <w:szCs w:val="24"/>
        </w:rPr>
        <w:t xml:space="preserve"> </w:t>
      </w:r>
    </w:p>
    <w:p w:rsidR="008D4C15" w:rsidRPr="00626E5D" w:rsidRDefault="008D4C15" w:rsidP="008D4C15">
      <w:pPr>
        <w:rPr>
          <w:rFonts w:cs="Arial"/>
          <w:szCs w:val="24"/>
        </w:rPr>
      </w:pPr>
      <w:r w:rsidRPr="001D27D8">
        <w:rPr>
          <w:rFonts w:cstheme="minorHAnsi"/>
          <w:color w:val="000000"/>
          <w:sz w:val="28"/>
          <w:szCs w:val="28"/>
        </w:rPr>
        <w:t>{</w:t>
      </w:r>
      <w:r w:rsidRPr="00626E5D">
        <w:rPr>
          <w:rFonts w:cs="Arial"/>
          <w:color w:val="000000"/>
          <w:szCs w:val="24"/>
        </w:rPr>
        <w:t xml:space="preserve">PW x (1 + </w:t>
      </w:r>
      <w:proofErr w:type="spellStart"/>
      <w:r w:rsidRPr="00626E5D">
        <w:rPr>
          <w:rFonts w:cs="Arial"/>
          <w:color w:val="000000"/>
          <w:szCs w:val="24"/>
        </w:rPr>
        <w:t>A</w:t>
      </w:r>
      <w:r w:rsidRPr="00626E5D">
        <w:rPr>
          <w:rFonts w:cs="Arial"/>
          <w:color w:val="000000"/>
          <w:szCs w:val="24"/>
          <w:vertAlign w:val="subscript"/>
        </w:rPr>
        <w:t>Ind</w:t>
      </w:r>
      <w:proofErr w:type="spellEnd"/>
      <w:r w:rsidR="00BC3AB1">
        <w:rPr>
          <w:rFonts w:cs="Arial"/>
          <w:color w:val="000000"/>
          <w:szCs w:val="24"/>
        </w:rPr>
        <w:t>)</w:t>
      </w:r>
      <w:r w:rsidR="00BC3AB1" w:rsidRPr="00626E5D">
        <w:rPr>
          <w:rFonts w:cs="Arial"/>
          <w:color w:val="000000"/>
          <w:szCs w:val="24"/>
        </w:rPr>
        <w:t xml:space="preserve"> x </w:t>
      </w:r>
      <w:r w:rsidR="00BC3AB1">
        <w:rPr>
          <w:rFonts w:cs="Arial"/>
          <w:color w:val="000000"/>
          <w:szCs w:val="24"/>
        </w:rPr>
        <w:t xml:space="preserve">(1 + </w:t>
      </w:r>
      <w:r w:rsidRPr="00626E5D">
        <w:rPr>
          <w:rFonts w:cs="Arial"/>
          <w:color w:val="000000"/>
          <w:szCs w:val="24"/>
        </w:rPr>
        <w:t>A</w:t>
      </w:r>
      <w:r>
        <w:rPr>
          <w:rFonts w:cs="Arial"/>
          <w:color w:val="000000"/>
          <w:szCs w:val="24"/>
          <w:vertAlign w:val="subscript"/>
        </w:rPr>
        <w:t>NMC</w:t>
      </w:r>
      <w:r w:rsidRPr="00626E5D">
        <w:rPr>
          <w:rFonts w:cs="Arial"/>
          <w:color w:val="000000"/>
          <w:szCs w:val="24"/>
        </w:rPr>
        <w:t>)</w:t>
      </w:r>
      <w:r w:rsidRPr="001D27D8">
        <w:rPr>
          <w:rFonts w:cstheme="minorHAnsi"/>
          <w:color w:val="000000"/>
          <w:sz w:val="28"/>
          <w:szCs w:val="28"/>
        </w:rPr>
        <w:t>}</w:t>
      </w:r>
      <w:r w:rsidRPr="00626E5D">
        <w:rPr>
          <w:rFonts w:cs="Arial"/>
          <w:color w:val="000000"/>
          <w:szCs w:val="24"/>
        </w:rPr>
        <w:t xml:space="preserve"> x NEP</w:t>
      </w:r>
    </w:p>
    <w:p w:rsidR="008D4C15" w:rsidRDefault="008D4C15" w:rsidP="008D4C15">
      <w:pPr>
        <w:spacing w:after="0"/>
        <w:rPr>
          <w:rFonts w:cs="Arial"/>
          <w:szCs w:val="24"/>
        </w:rPr>
      </w:pPr>
    </w:p>
    <w:p w:rsidR="008D4C15" w:rsidRPr="000306BE" w:rsidRDefault="008D4C15" w:rsidP="008D4C15">
      <w:pPr>
        <w:rPr>
          <w:rFonts w:cs="Arial"/>
          <w:szCs w:val="24"/>
        </w:rPr>
      </w:pPr>
      <w:r w:rsidRPr="000306BE">
        <w:rPr>
          <w:rFonts w:cs="Arial"/>
          <w:szCs w:val="24"/>
        </w:rPr>
        <w:t>Where:</w:t>
      </w:r>
      <w:r w:rsidRPr="002A1927">
        <w:rPr>
          <w:rFonts w:cs="Arial"/>
          <w:noProof/>
          <w:szCs w:val="24"/>
          <w:lang w:eastAsia="en-AU"/>
        </w:rPr>
        <w:t xml:space="preserve"> </w:t>
      </w:r>
    </w:p>
    <w:p w:rsidR="008D4C15" w:rsidRDefault="008D4C15" w:rsidP="008D4C15">
      <w:pPr>
        <w:ind w:left="1985" w:hanging="1985"/>
        <w:rPr>
          <w:rFonts w:cs="Arial"/>
          <w:b/>
          <w:szCs w:val="24"/>
        </w:rPr>
      </w:pPr>
      <w:proofErr w:type="spellStart"/>
      <w:r w:rsidRPr="000306BE">
        <w:rPr>
          <w:rFonts w:cs="Arial"/>
          <w:b/>
          <w:szCs w:val="24"/>
        </w:rPr>
        <w:t>A</w:t>
      </w:r>
      <w:r w:rsidRPr="000306BE">
        <w:rPr>
          <w:rFonts w:cs="Arial"/>
          <w:b/>
          <w:szCs w:val="24"/>
          <w:vertAlign w:val="subscript"/>
        </w:rPr>
        <w:t>Ind</w:t>
      </w:r>
      <w:proofErr w:type="spellEnd"/>
      <w:r w:rsidRPr="000306BE">
        <w:rPr>
          <w:rFonts w:cs="Arial"/>
          <w:szCs w:val="24"/>
          <w:vertAlign w:val="subscript"/>
        </w:rPr>
        <w:tab/>
      </w:r>
      <w:r w:rsidRPr="000306BE">
        <w:rPr>
          <w:rFonts w:cs="Arial"/>
          <w:szCs w:val="24"/>
        </w:rPr>
        <w:t xml:space="preserve">means the </w:t>
      </w:r>
      <w:r w:rsidRPr="000306BE">
        <w:rPr>
          <w:rFonts w:cs="Arial"/>
          <w:i/>
          <w:szCs w:val="24"/>
        </w:rPr>
        <w:t>Indigenous Adjustment</w:t>
      </w:r>
    </w:p>
    <w:p w:rsidR="008D4C15" w:rsidRPr="000306BE" w:rsidRDefault="008D4C15" w:rsidP="008D4C15">
      <w:pPr>
        <w:ind w:left="1985" w:hanging="1985"/>
        <w:rPr>
          <w:rFonts w:cs="Arial"/>
          <w:szCs w:val="24"/>
        </w:rPr>
      </w:pPr>
      <w:r w:rsidRPr="000306BE">
        <w:rPr>
          <w:rFonts w:cs="Arial"/>
          <w:b/>
          <w:szCs w:val="24"/>
        </w:rPr>
        <w:t>A</w:t>
      </w:r>
      <w:r>
        <w:rPr>
          <w:rFonts w:cs="Arial"/>
          <w:b/>
          <w:szCs w:val="24"/>
          <w:vertAlign w:val="subscript"/>
        </w:rPr>
        <w:t>NMC</w:t>
      </w:r>
      <w:r w:rsidRPr="000306BE">
        <w:rPr>
          <w:rFonts w:cs="Arial"/>
          <w:szCs w:val="24"/>
          <w:vertAlign w:val="subscript"/>
        </w:rPr>
        <w:tab/>
      </w:r>
      <w:r w:rsidRPr="000306BE">
        <w:rPr>
          <w:rFonts w:cs="Arial"/>
          <w:szCs w:val="24"/>
        </w:rPr>
        <w:t xml:space="preserve">means the </w:t>
      </w:r>
      <w:r>
        <w:rPr>
          <w:rFonts w:cs="Arial"/>
          <w:szCs w:val="24"/>
        </w:rPr>
        <w:t xml:space="preserve">non-admitted </w:t>
      </w:r>
      <w:r>
        <w:rPr>
          <w:rFonts w:cs="Arial"/>
          <w:i/>
          <w:szCs w:val="24"/>
        </w:rPr>
        <w:t>Multidisciplinary Clinic Adjustment</w:t>
      </w:r>
    </w:p>
    <w:p w:rsidR="008D4C15" w:rsidRPr="000306BE" w:rsidRDefault="008D4C15" w:rsidP="008D4C15">
      <w:pPr>
        <w:ind w:left="1985" w:hanging="1985"/>
        <w:rPr>
          <w:rFonts w:cs="Arial"/>
        </w:rPr>
      </w:pPr>
      <w:r w:rsidRPr="000306BE">
        <w:rPr>
          <w:rFonts w:cs="Arial"/>
          <w:b/>
        </w:rPr>
        <w:t>NEP</w:t>
      </w:r>
      <w:r w:rsidRPr="000306BE">
        <w:rPr>
          <w:rFonts w:cs="Arial"/>
        </w:rPr>
        <w:tab/>
        <w:t xml:space="preserve">National Efficient Price </w:t>
      </w:r>
      <w:r w:rsidR="00384C96">
        <w:rPr>
          <w:rFonts w:cs="Arial"/>
        </w:rPr>
        <w:t>2016-17</w:t>
      </w:r>
    </w:p>
    <w:p w:rsidR="008D4C15" w:rsidRPr="000306BE" w:rsidRDefault="008D4C15" w:rsidP="008D4C15">
      <w:pPr>
        <w:ind w:left="1985" w:hanging="1985"/>
        <w:rPr>
          <w:rFonts w:cs="Arial"/>
          <w:b/>
        </w:rPr>
      </w:pPr>
      <w:r w:rsidRPr="000306BE">
        <w:rPr>
          <w:rFonts w:cs="Arial"/>
          <w:b/>
        </w:rPr>
        <w:t>PW</w:t>
      </w:r>
      <w:r w:rsidRPr="000306BE">
        <w:rPr>
          <w:rFonts w:cs="Arial"/>
          <w:b/>
        </w:rPr>
        <w:tab/>
      </w:r>
      <w:r w:rsidRPr="000306BE">
        <w:rPr>
          <w:rFonts w:cs="Arial"/>
        </w:rPr>
        <w:t>means the Price Weight f</w:t>
      </w:r>
      <w:r>
        <w:rPr>
          <w:rFonts w:cs="Arial"/>
        </w:rPr>
        <w:t xml:space="preserve">or an ABF Activity as set out in </w:t>
      </w:r>
      <w:r w:rsidRPr="000306BE">
        <w:rPr>
          <w:rFonts w:cs="Arial"/>
        </w:rPr>
        <w:t xml:space="preserve">Appendix </w:t>
      </w:r>
      <w:r>
        <w:rPr>
          <w:rFonts w:cs="Arial"/>
        </w:rPr>
        <w:t xml:space="preserve">H </w:t>
      </w:r>
      <w:r w:rsidR="00BC3AB1">
        <w:rPr>
          <w:rFonts w:cs="Arial"/>
        </w:rPr>
        <w:t>of</w:t>
      </w:r>
      <w:r w:rsidR="00CF6CDC">
        <w:rPr>
          <w:rFonts w:cs="Arial"/>
        </w:rPr>
        <w:t xml:space="preserve"> the NEP16</w:t>
      </w:r>
      <w:r w:rsidR="00BC3AB1">
        <w:rPr>
          <w:rFonts w:cs="Arial"/>
        </w:rPr>
        <w:t xml:space="preserve"> Determination</w:t>
      </w:r>
    </w:p>
    <w:p w:rsidR="00460371" w:rsidRDefault="00460371" w:rsidP="00AD4FFC">
      <w:pPr>
        <w:pStyle w:val="Heading2"/>
        <w:keepLines w:val="0"/>
        <w:numPr>
          <w:ilvl w:val="1"/>
          <w:numId w:val="35"/>
        </w:numPr>
        <w:tabs>
          <w:tab w:val="left" w:pos="1162"/>
        </w:tabs>
        <w:spacing w:after="60"/>
      </w:pPr>
      <w:bookmarkStart w:id="378" w:name="_Toc412123646"/>
      <w:bookmarkStart w:id="379" w:name="_Toc412191154"/>
      <w:bookmarkStart w:id="380" w:name="_Toc412193589"/>
      <w:bookmarkStart w:id="381" w:name="_Toc412193691"/>
      <w:bookmarkStart w:id="382" w:name="_Toc412196585"/>
      <w:bookmarkStart w:id="383" w:name="_Toc412196688"/>
      <w:bookmarkStart w:id="384" w:name="_Toc412196791"/>
      <w:bookmarkStart w:id="385" w:name="_Toc412197091"/>
      <w:bookmarkStart w:id="386" w:name="_Toc412198115"/>
      <w:bookmarkStart w:id="387" w:name="_Toc412204644"/>
      <w:bookmarkStart w:id="388" w:name="_Toc412206036"/>
      <w:bookmarkStart w:id="389" w:name="_Toc412206622"/>
      <w:bookmarkStart w:id="390" w:name="_Toc412206747"/>
      <w:bookmarkStart w:id="391" w:name="_Toc412206849"/>
      <w:bookmarkStart w:id="392" w:name="_Toc412206949"/>
      <w:bookmarkStart w:id="393" w:name="_Toc412207158"/>
      <w:bookmarkStart w:id="394" w:name="_Toc412207421"/>
      <w:bookmarkStart w:id="395" w:name="_Toc380754733"/>
      <w:bookmarkStart w:id="396" w:name="_Toc444528642"/>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t>Assigning NWAU for non-admitted care</w:t>
      </w:r>
      <w:bookmarkEnd w:id="395"/>
      <w:bookmarkEnd w:id="396"/>
    </w:p>
    <w:p w:rsidR="00460371" w:rsidRDefault="00460371" w:rsidP="00AD4FFC">
      <w:pPr>
        <w:tabs>
          <w:tab w:val="left" w:pos="1162"/>
        </w:tabs>
        <w:spacing w:before="120"/>
        <w:rPr>
          <w:rFonts w:cs="Arial"/>
          <w:szCs w:val="20"/>
        </w:rPr>
      </w:pPr>
      <w:r w:rsidRPr="00D2117F">
        <w:rPr>
          <w:rFonts w:cs="Arial"/>
          <w:szCs w:val="20"/>
        </w:rPr>
        <w:t xml:space="preserve">NWAU </w:t>
      </w:r>
      <w:r>
        <w:rPr>
          <w:rFonts w:cs="Arial"/>
          <w:szCs w:val="20"/>
        </w:rPr>
        <w:t>are assigned to non-admitted</w:t>
      </w:r>
      <w:r w:rsidRPr="00D2117F">
        <w:rPr>
          <w:rFonts w:cs="Arial"/>
          <w:szCs w:val="20"/>
        </w:rPr>
        <w:t xml:space="preserve"> care on the basis of </w:t>
      </w:r>
      <w:r>
        <w:rPr>
          <w:rFonts w:cs="Arial"/>
          <w:szCs w:val="20"/>
        </w:rPr>
        <w:t>the Tier 2 clinic providing the care.</w:t>
      </w:r>
    </w:p>
    <w:p w:rsidR="00460371" w:rsidRPr="00F45E94" w:rsidRDefault="00460371" w:rsidP="00AD4FFC">
      <w:pPr>
        <w:tabs>
          <w:tab w:val="left" w:pos="1162"/>
        </w:tabs>
        <w:rPr>
          <w:rFonts w:cs="Arial"/>
          <w:szCs w:val="20"/>
        </w:rPr>
      </w:pPr>
      <w:r w:rsidRPr="00D2117F">
        <w:rPr>
          <w:rFonts w:cs="Arial"/>
          <w:szCs w:val="20"/>
        </w:rPr>
        <w:t xml:space="preserve">The steps involved in assigning NWAU to </w:t>
      </w:r>
      <w:r>
        <w:rPr>
          <w:rFonts w:cs="Arial"/>
          <w:szCs w:val="20"/>
        </w:rPr>
        <w:t>non-admitted activity</w:t>
      </w:r>
      <w:r w:rsidRPr="00D2117F">
        <w:rPr>
          <w:rFonts w:cs="Arial"/>
          <w:szCs w:val="20"/>
        </w:rPr>
        <w:t xml:space="preserve"> are </w:t>
      </w:r>
      <w:r>
        <w:rPr>
          <w:rFonts w:cs="Arial"/>
          <w:szCs w:val="20"/>
        </w:rPr>
        <w:t>illustrated</w:t>
      </w:r>
      <w:r w:rsidRPr="00D2117F">
        <w:rPr>
          <w:rFonts w:cs="Arial"/>
          <w:szCs w:val="20"/>
        </w:rPr>
        <w:t xml:space="preserve"> in</w:t>
      </w:r>
      <w:r>
        <w:rPr>
          <w:rFonts w:cs="Arial"/>
          <w:szCs w:val="20"/>
        </w:rPr>
        <w:t xml:space="preserve"> </w:t>
      </w:r>
      <w:r w:rsidR="00EA6015">
        <w:rPr>
          <w:rFonts w:cs="Arial"/>
          <w:szCs w:val="20"/>
        </w:rPr>
        <w:t xml:space="preserve">Figure </w:t>
      </w:r>
      <w:r w:rsidR="006D7C24">
        <w:rPr>
          <w:rFonts w:cs="Arial"/>
          <w:szCs w:val="20"/>
        </w:rPr>
        <w:t>10</w:t>
      </w:r>
      <w:r>
        <w:rPr>
          <w:rFonts w:cs="Arial"/>
          <w:szCs w:val="20"/>
        </w:rPr>
        <w:t xml:space="preserve">. </w:t>
      </w:r>
      <w:r w:rsidRPr="00922B83">
        <w:rPr>
          <w:rFonts w:cs="Arial"/>
          <w:szCs w:val="20"/>
        </w:rPr>
        <w:t xml:space="preserve">The </w:t>
      </w:r>
      <w:r>
        <w:rPr>
          <w:rFonts w:cs="Arial"/>
          <w:szCs w:val="20"/>
        </w:rPr>
        <w:t>data preparation and NWAU calculation stages are combined together in the following section.</w:t>
      </w:r>
    </w:p>
    <w:p w:rsidR="00460371" w:rsidRPr="00F45E94" w:rsidRDefault="00460371" w:rsidP="00AD4FFC">
      <w:pPr>
        <w:pStyle w:val="Heading3"/>
        <w:keepLines w:val="0"/>
        <w:numPr>
          <w:ilvl w:val="2"/>
          <w:numId w:val="35"/>
        </w:numPr>
        <w:tabs>
          <w:tab w:val="left" w:pos="1162"/>
        </w:tabs>
        <w:spacing w:before="240" w:after="120"/>
      </w:pPr>
      <w:bookmarkStart w:id="397" w:name="_Toc380754734"/>
      <w:bookmarkStart w:id="398" w:name="_Toc444528643"/>
      <w:r w:rsidRPr="00F45E94">
        <w:t xml:space="preserve">Data </w:t>
      </w:r>
      <w:r>
        <w:t>p</w:t>
      </w:r>
      <w:r w:rsidRPr="00F45E94">
        <w:t>reparation</w:t>
      </w:r>
      <w:r>
        <w:t xml:space="preserve"> and calculation of NWAU</w:t>
      </w:r>
      <w:bookmarkEnd w:id="397"/>
      <w:bookmarkEnd w:id="398"/>
    </w:p>
    <w:p w:rsidR="00460371" w:rsidRDefault="00460371" w:rsidP="00AD4FFC">
      <w:pPr>
        <w:tabs>
          <w:tab w:val="left" w:pos="1162"/>
        </w:tabs>
        <w:rPr>
          <w:rFonts w:cs="Arial"/>
          <w:szCs w:val="20"/>
        </w:rPr>
      </w:pPr>
      <w:r w:rsidRPr="00F52F13">
        <w:rPr>
          <w:rFonts w:cs="Arial"/>
          <w:szCs w:val="20"/>
        </w:rPr>
        <w:t>This section details how to assign NWAU to in-scope non-admitted patient data. The data preparation and NWAU calculation process is illustrated in</w:t>
      </w:r>
      <w:r w:rsidR="00EA6015">
        <w:rPr>
          <w:rFonts w:cs="Arial"/>
          <w:szCs w:val="20"/>
        </w:rPr>
        <w:t xml:space="preserve"> Figure </w:t>
      </w:r>
      <w:r w:rsidR="006D7C24">
        <w:rPr>
          <w:rFonts w:cs="Arial"/>
          <w:szCs w:val="20"/>
        </w:rPr>
        <w:t>10</w:t>
      </w:r>
      <w:r w:rsidR="00EA6015">
        <w:rPr>
          <w:rFonts w:cs="Arial"/>
          <w:szCs w:val="20"/>
        </w:rPr>
        <w:t>.</w:t>
      </w:r>
    </w:p>
    <w:p w:rsidR="00460371" w:rsidRDefault="00460371" w:rsidP="00AD4FFC">
      <w:pPr>
        <w:tabs>
          <w:tab w:val="left" w:pos="1162"/>
        </w:tabs>
        <w:rPr>
          <w:rFonts w:cs="Arial"/>
          <w:szCs w:val="20"/>
        </w:rPr>
      </w:pPr>
      <w:r w:rsidRPr="00F52F13">
        <w:rPr>
          <w:rFonts w:cs="Arial"/>
          <w:szCs w:val="20"/>
        </w:rPr>
        <w:t>The process is broken into four steps, each requiring variables created in previous steps, with the final step resulting i</w:t>
      </w:r>
      <w:r>
        <w:rPr>
          <w:rFonts w:cs="Arial"/>
          <w:szCs w:val="20"/>
        </w:rPr>
        <w:t xml:space="preserve">n a variable containing the </w:t>
      </w:r>
      <w:r w:rsidR="00384C96">
        <w:rPr>
          <w:rFonts w:cs="Arial"/>
          <w:szCs w:val="20"/>
        </w:rPr>
        <w:t>2016-17</w:t>
      </w:r>
      <w:r w:rsidR="004D2E3A">
        <w:rPr>
          <w:rFonts w:cs="Arial"/>
          <w:szCs w:val="20"/>
        </w:rPr>
        <w:t xml:space="preserve"> NWAU.</w:t>
      </w:r>
      <w:r w:rsidR="00BD63B9">
        <w:rPr>
          <w:rFonts w:cs="Arial"/>
          <w:szCs w:val="20"/>
        </w:rPr>
        <w:t xml:space="preserve"> </w:t>
      </w:r>
      <w:r w:rsidRPr="00F52F13">
        <w:rPr>
          <w:rFonts w:cs="Arial"/>
          <w:szCs w:val="20"/>
        </w:rPr>
        <w:t>The process requires the three input datasets or tables referred to in</w:t>
      </w:r>
      <w:r w:rsidR="004A2D22">
        <w:rPr>
          <w:rFonts w:cs="Arial"/>
          <w:szCs w:val="20"/>
        </w:rPr>
        <w:t xml:space="preserve"> Table 1</w:t>
      </w:r>
      <w:r w:rsidR="001D25A0">
        <w:rPr>
          <w:rFonts w:cs="Arial"/>
          <w:szCs w:val="20"/>
        </w:rPr>
        <w:t>7</w:t>
      </w:r>
      <w:r>
        <w:rPr>
          <w:rFonts w:cs="Arial"/>
          <w:szCs w:val="20"/>
        </w:rPr>
        <w:t>.</w:t>
      </w:r>
    </w:p>
    <w:p w:rsidR="00647634" w:rsidRDefault="00647634">
      <w:pPr>
        <w:pStyle w:val="table"/>
      </w:pPr>
      <w:r>
        <w:t>Figure</w:t>
      </w:r>
      <w:r w:rsidR="004D1764">
        <w:t xml:space="preserve"> </w:t>
      </w:r>
      <w:r w:rsidR="006D7C24">
        <w:t>10</w:t>
      </w:r>
      <w:r>
        <w:t xml:space="preserve">: </w:t>
      </w:r>
      <w:r w:rsidRPr="00DB5C26">
        <w:t>Assigning NWAU to non-admitted patient data</w:t>
      </w:r>
    </w:p>
    <w:p w:rsidR="00245D8E" w:rsidRPr="00051B10" w:rsidRDefault="00245D8E" w:rsidP="003156D1">
      <w:pPr>
        <w:spacing w:before="240" w:after="360"/>
        <w:jc w:val="center"/>
      </w:pPr>
      <w:r>
        <w:rPr>
          <w:noProof/>
          <w:lang w:eastAsia="en-AU"/>
        </w:rPr>
        <w:drawing>
          <wp:inline distT="0" distB="0" distL="0" distR="0" wp14:anchorId="559E936A" wp14:editId="3F8A327C">
            <wp:extent cx="3429135" cy="4369982"/>
            <wp:effectExtent l="19050" t="19050" r="1905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31151" cy="4372551"/>
                    </a:xfrm>
                    <a:prstGeom prst="rect">
                      <a:avLst/>
                    </a:prstGeom>
                    <a:ln>
                      <a:solidFill>
                        <a:schemeClr val="accent1"/>
                      </a:solidFill>
                    </a:ln>
                  </pic:spPr>
                </pic:pic>
              </a:graphicData>
            </a:graphic>
          </wp:inline>
        </w:drawing>
      </w:r>
    </w:p>
    <w:p w:rsidR="001016A1" w:rsidRDefault="001016A1">
      <w:pPr>
        <w:pStyle w:val="table"/>
      </w:pPr>
      <w:r>
        <w:t>Table 1</w:t>
      </w:r>
      <w:r w:rsidR="001D25A0">
        <w:t>7</w:t>
      </w:r>
      <w:r>
        <w:t xml:space="preserve">: </w:t>
      </w:r>
      <w:r w:rsidRPr="00C61ED0">
        <w:t>Dataset and tables required for assignment of NWAU to non-admitted patient data</w:t>
      </w:r>
    </w:p>
    <w:tbl>
      <w:tblPr>
        <w:tblStyle w:val="TableGrid"/>
        <w:tblW w:w="9498"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A summary of table 11 is outlined in the text prior to this table."/>
      </w:tblPr>
      <w:tblGrid>
        <w:gridCol w:w="3478"/>
        <w:gridCol w:w="6020"/>
      </w:tblGrid>
      <w:tr w:rsidR="001016A1" w:rsidRPr="00587976" w:rsidTr="001016A1">
        <w:trPr>
          <w:cantSplit/>
          <w:tblHeader/>
        </w:trPr>
        <w:tc>
          <w:tcPr>
            <w:tcW w:w="3478" w:type="dxa"/>
            <w:shd w:val="clear" w:color="auto" w:fill="BFBFBF" w:themeFill="background1" w:themeFillShade="BF"/>
          </w:tcPr>
          <w:p w:rsidR="001016A1" w:rsidRPr="00F14BA6" w:rsidRDefault="001016A1" w:rsidP="00AD4FFC">
            <w:pPr>
              <w:tabs>
                <w:tab w:val="left" w:pos="1162"/>
              </w:tabs>
              <w:spacing w:before="80" w:after="80"/>
              <w:rPr>
                <w:rFonts w:cs="Arial"/>
                <w:b/>
                <w:sz w:val="20"/>
                <w:szCs w:val="20"/>
              </w:rPr>
            </w:pPr>
            <w:r w:rsidRPr="00F14BA6">
              <w:rPr>
                <w:rFonts w:cs="Arial"/>
                <w:b/>
                <w:sz w:val="20"/>
                <w:szCs w:val="20"/>
              </w:rPr>
              <w:t>Input dataset or table</w:t>
            </w:r>
          </w:p>
        </w:tc>
        <w:tc>
          <w:tcPr>
            <w:tcW w:w="6020" w:type="dxa"/>
            <w:shd w:val="clear" w:color="auto" w:fill="BFBFBF" w:themeFill="background1" w:themeFillShade="BF"/>
          </w:tcPr>
          <w:p w:rsidR="001016A1" w:rsidRPr="00F14BA6" w:rsidRDefault="001016A1" w:rsidP="00AD4FFC">
            <w:pPr>
              <w:tabs>
                <w:tab w:val="left" w:pos="1162"/>
              </w:tabs>
              <w:spacing w:before="80" w:after="80"/>
              <w:rPr>
                <w:rFonts w:cs="Arial"/>
                <w:b/>
                <w:sz w:val="20"/>
                <w:szCs w:val="20"/>
              </w:rPr>
            </w:pPr>
            <w:r w:rsidRPr="00F14BA6">
              <w:rPr>
                <w:rFonts w:cs="Arial"/>
                <w:b/>
                <w:sz w:val="20"/>
                <w:szCs w:val="20"/>
              </w:rPr>
              <w:t>Description</w:t>
            </w:r>
          </w:p>
        </w:tc>
      </w:tr>
      <w:tr w:rsidR="001016A1" w:rsidRPr="00587976" w:rsidTr="001016A1">
        <w:trPr>
          <w:cantSplit/>
        </w:trPr>
        <w:tc>
          <w:tcPr>
            <w:tcW w:w="3478" w:type="dxa"/>
          </w:tcPr>
          <w:p w:rsidR="001016A1" w:rsidRPr="00E33EAE" w:rsidRDefault="001016A1" w:rsidP="00AD4FFC">
            <w:pPr>
              <w:tabs>
                <w:tab w:val="left" w:pos="1162"/>
              </w:tabs>
              <w:spacing w:before="40" w:after="40"/>
              <w:rPr>
                <w:rFonts w:cs="Arial"/>
                <w:sz w:val="18"/>
                <w:szCs w:val="20"/>
              </w:rPr>
            </w:pPr>
            <w:r w:rsidRPr="00E33EAE">
              <w:rPr>
                <w:rFonts w:cs="Arial"/>
                <w:sz w:val="18"/>
                <w:szCs w:val="20"/>
              </w:rPr>
              <w:t>Non-admitted patient ABF DSS Dataset</w:t>
            </w:r>
          </w:p>
        </w:tc>
        <w:tc>
          <w:tcPr>
            <w:tcW w:w="6020" w:type="dxa"/>
          </w:tcPr>
          <w:p w:rsidR="001016A1" w:rsidRPr="00E33EAE" w:rsidRDefault="001016A1" w:rsidP="00AD4FFC">
            <w:pPr>
              <w:tabs>
                <w:tab w:val="left" w:pos="1162"/>
              </w:tabs>
              <w:spacing w:before="40" w:after="40"/>
              <w:rPr>
                <w:rFonts w:cs="Arial"/>
                <w:sz w:val="18"/>
                <w:szCs w:val="20"/>
              </w:rPr>
            </w:pPr>
            <w:r w:rsidRPr="00E33EAE">
              <w:rPr>
                <w:rFonts w:cs="Arial"/>
                <w:sz w:val="18"/>
                <w:szCs w:val="20"/>
              </w:rPr>
              <w:t xml:space="preserve">Dataset based on the </w:t>
            </w:r>
            <w:r w:rsidR="00384C96" w:rsidRPr="00E33EAE">
              <w:rPr>
                <w:rFonts w:cs="Arial"/>
                <w:sz w:val="18"/>
                <w:szCs w:val="20"/>
              </w:rPr>
              <w:t>2016-17</w:t>
            </w:r>
            <w:r w:rsidRPr="00E33EAE">
              <w:rPr>
                <w:rFonts w:cs="Arial"/>
                <w:sz w:val="18"/>
                <w:szCs w:val="20"/>
              </w:rPr>
              <w:t xml:space="preserve"> Non-admitted patient ABF Data Set Specifications located on the IHPA website.</w:t>
            </w:r>
          </w:p>
        </w:tc>
      </w:tr>
      <w:tr w:rsidR="001016A1" w:rsidRPr="000B33D2" w:rsidTr="001016A1">
        <w:trPr>
          <w:cantSplit/>
        </w:trPr>
        <w:tc>
          <w:tcPr>
            <w:tcW w:w="3478" w:type="dxa"/>
          </w:tcPr>
          <w:p w:rsidR="001016A1" w:rsidRPr="00E33EAE" w:rsidRDefault="00384C96" w:rsidP="00AD4FFC">
            <w:pPr>
              <w:tabs>
                <w:tab w:val="left" w:pos="1162"/>
              </w:tabs>
              <w:spacing w:before="40" w:after="40"/>
              <w:rPr>
                <w:rFonts w:cs="Arial"/>
                <w:sz w:val="18"/>
                <w:szCs w:val="20"/>
              </w:rPr>
            </w:pPr>
            <w:r w:rsidRPr="00E33EAE">
              <w:rPr>
                <w:rFonts w:cs="Arial"/>
                <w:sz w:val="18"/>
                <w:szCs w:val="20"/>
              </w:rPr>
              <w:t>2016-17</w:t>
            </w:r>
            <w:r w:rsidR="001016A1" w:rsidRPr="00E33EAE">
              <w:rPr>
                <w:rFonts w:cs="Arial"/>
                <w:sz w:val="18"/>
                <w:szCs w:val="20"/>
              </w:rPr>
              <w:t xml:space="preserve"> NWAU Price Weight table</w:t>
            </w:r>
          </w:p>
        </w:tc>
        <w:tc>
          <w:tcPr>
            <w:tcW w:w="6020" w:type="dxa"/>
          </w:tcPr>
          <w:p w:rsidR="001016A1" w:rsidRPr="00E33EAE" w:rsidRDefault="00384C96" w:rsidP="00977133">
            <w:pPr>
              <w:tabs>
                <w:tab w:val="left" w:pos="1162"/>
              </w:tabs>
              <w:spacing w:before="40" w:after="40"/>
              <w:rPr>
                <w:rFonts w:cs="Arial"/>
                <w:sz w:val="18"/>
                <w:szCs w:val="20"/>
              </w:rPr>
            </w:pPr>
            <w:r w:rsidRPr="00E33EAE">
              <w:rPr>
                <w:rFonts w:cs="Arial"/>
                <w:sz w:val="18"/>
                <w:szCs w:val="20"/>
              </w:rPr>
              <w:t>2016-17</w:t>
            </w:r>
            <w:r w:rsidR="001016A1" w:rsidRPr="00E33EAE">
              <w:rPr>
                <w:rFonts w:cs="Arial"/>
                <w:sz w:val="18"/>
                <w:szCs w:val="20"/>
              </w:rPr>
              <w:t xml:space="preserve"> Non-Admitted NWAU Price Weight table, found in the </w:t>
            </w:r>
            <w:r w:rsidR="00977133" w:rsidRPr="00E33EAE">
              <w:rPr>
                <w:rFonts w:cs="Arial"/>
                <w:sz w:val="18"/>
                <w:szCs w:val="20"/>
              </w:rPr>
              <w:t xml:space="preserve">NEP16 </w:t>
            </w:r>
            <w:r w:rsidR="001016A1" w:rsidRPr="00E33EAE">
              <w:rPr>
                <w:rFonts w:cs="Arial"/>
                <w:sz w:val="18"/>
                <w:szCs w:val="20"/>
              </w:rPr>
              <w:t>Determination.</w:t>
            </w:r>
          </w:p>
        </w:tc>
      </w:tr>
      <w:tr w:rsidR="001016A1" w:rsidRPr="000B33D2" w:rsidTr="001016A1">
        <w:trPr>
          <w:cantSplit/>
        </w:trPr>
        <w:tc>
          <w:tcPr>
            <w:tcW w:w="3478" w:type="dxa"/>
          </w:tcPr>
          <w:p w:rsidR="001016A1" w:rsidRPr="00E33EAE" w:rsidRDefault="00384C96" w:rsidP="00AD4FFC">
            <w:pPr>
              <w:tabs>
                <w:tab w:val="left" w:pos="1162"/>
              </w:tabs>
              <w:spacing w:before="40" w:after="40"/>
              <w:rPr>
                <w:rFonts w:cs="Arial"/>
                <w:sz w:val="18"/>
                <w:szCs w:val="20"/>
              </w:rPr>
            </w:pPr>
            <w:r w:rsidRPr="00E33EAE">
              <w:rPr>
                <w:rFonts w:cs="Arial"/>
                <w:sz w:val="18"/>
                <w:szCs w:val="20"/>
              </w:rPr>
              <w:t>2016-17</w:t>
            </w:r>
            <w:r w:rsidR="001016A1" w:rsidRPr="00E33EAE">
              <w:rPr>
                <w:rFonts w:cs="Arial"/>
                <w:sz w:val="18"/>
                <w:szCs w:val="20"/>
              </w:rPr>
              <w:t xml:space="preserve"> NWAU Adjustment</w:t>
            </w:r>
            <w:r w:rsidR="00333F76" w:rsidRPr="00E33EAE">
              <w:rPr>
                <w:rFonts w:cs="Arial"/>
                <w:sz w:val="18"/>
                <w:szCs w:val="20"/>
              </w:rPr>
              <w:t>s</w:t>
            </w:r>
          </w:p>
        </w:tc>
        <w:tc>
          <w:tcPr>
            <w:tcW w:w="6020" w:type="dxa"/>
          </w:tcPr>
          <w:p w:rsidR="001016A1" w:rsidRPr="00E33EAE" w:rsidRDefault="00384C96" w:rsidP="00977133">
            <w:pPr>
              <w:tabs>
                <w:tab w:val="left" w:pos="1162"/>
              </w:tabs>
              <w:spacing w:before="40" w:after="40"/>
              <w:rPr>
                <w:rFonts w:cs="Arial"/>
                <w:sz w:val="18"/>
                <w:szCs w:val="20"/>
              </w:rPr>
            </w:pPr>
            <w:r w:rsidRPr="00E33EAE">
              <w:rPr>
                <w:rFonts w:cs="Arial"/>
                <w:sz w:val="18"/>
                <w:szCs w:val="20"/>
              </w:rPr>
              <w:t>2016-17</w:t>
            </w:r>
            <w:r w:rsidR="00667F5B" w:rsidRPr="00E33EAE">
              <w:rPr>
                <w:rFonts w:cs="Arial"/>
                <w:sz w:val="18"/>
                <w:szCs w:val="20"/>
              </w:rPr>
              <w:t xml:space="preserve"> Non-Admitted NWAU Adjustment</w:t>
            </w:r>
            <w:r w:rsidR="00333F76" w:rsidRPr="00E33EAE">
              <w:rPr>
                <w:rFonts w:cs="Arial"/>
                <w:sz w:val="18"/>
                <w:szCs w:val="20"/>
              </w:rPr>
              <w:t>s</w:t>
            </w:r>
            <w:r w:rsidR="00667F5B" w:rsidRPr="00E33EAE">
              <w:rPr>
                <w:rFonts w:cs="Arial"/>
                <w:sz w:val="18"/>
                <w:szCs w:val="20"/>
              </w:rPr>
              <w:t xml:space="preserve">, </w:t>
            </w:r>
            <w:r w:rsidR="001016A1" w:rsidRPr="00E33EAE">
              <w:rPr>
                <w:rFonts w:cs="Arial"/>
                <w:sz w:val="18"/>
                <w:szCs w:val="20"/>
              </w:rPr>
              <w:t xml:space="preserve">found in the </w:t>
            </w:r>
            <w:r w:rsidR="00977133" w:rsidRPr="00E33EAE">
              <w:rPr>
                <w:rFonts w:cs="Arial"/>
                <w:sz w:val="18"/>
                <w:szCs w:val="20"/>
              </w:rPr>
              <w:t>NEP16 </w:t>
            </w:r>
            <w:r w:rsidR="001016A1" w:rsidRPr="00E33EAE">
              <w:rPr>
                <w:rFonts w:cs="Arial"/>
                <w:sz w:val="18"/>
                <w:szCs w:val="20"/>
              </w:rPr>
              <w:t>Determination.</w:t>
            </w:r>
          </w:p>
        </w:tc>
      </w:tr>
    </w:tbl>
    <w:p w:rsidR="00A43FCA" w:rsidRPr="000B33D2" w:rsidRDefault="003156D1" w:rsidP="00AD4FFC">
      <w:pPr>
        <w:spacing w:before="240"/>
      </w:pPr>
      <w:bookmarkStart w:id="399" w:name="_Ref342308248"/>
      <w:bookmarkStart w:id="400" w:name="_Ref373494090"/>
      <w:bookmarkStart w:id="401" w:name="_Ref342306765"/>
      <w:r w:rsidRPr="000B33D2">
        <w:rPr>
          <w:rFonts w:cs="Arial"/>
          <w:szCs w:val="20"/>
        </w:rPr>
        <w:t>Five</w:t>
      </w:r>
      <w:r w:rsidR="00A43FCA" w:rsidRPr="000B33D2">
        <w:rPr>
          <w:rFonts w:cs="Arial"/>
          <w:szCs w:val="20"/>
        </w:rPr>
        <w:t xml:space="preserve"> variables are required to form the input non-admitted dataset:</w:t>
      </w:r>
    </w:p>
    <w:p w:rsidR="00A43FCA" w:rsidRPr="000B33D2" w:rsidRDefault="00A43FCA" w:rsidP="00C245E0">
      <w:pPr>
        <w:pStyle w:val="ListParagraph"/>
        <w:numPr>
          <w:ilvl w:val="0"/>
          <w:numId w:val="53"/>
        </w:numPr>
        <w:tabs>
          <w:tab w:val="left" w:pos="1162"/>
        </w:tabs>
        <w:spacing w:before="80" w:after="80"/>
        <w:ind w:left="714" w:hanging="357"/>
        <w:rPr>
          <w:rFonts w:cs="Arial"/>
        </w:rPr>
      </w:pPr>
      <w:r w:rsidRPr="000B33D2">
        <w:rPr>
          <w:rFonts w:cs="Arial"/>
          <w:color w:val="000000"/>
          <w:lang w:eastAsia="en-AU"/>
        </w:rPr>
        <w:t>Establishment Identifier;</w:t>
      </w:r>
    </w:p>
    <w:p w:rsidR="00A43FCA" w:rsidRPr="000B33D2" w:rsidRDefault="00A43FCA" w:rsidP="00C245E0">
      <w:pPr>
        <w:pStyle w:val="ListParagraph"/>
        <w:numPr>
          <w:ilvl w:val="0"/>
          <w:numId w:val="53"/>
        </w:numPr>
        <w:tabs>
          <w:tab w:val="left" w:pos="1162"/>
        </w:tabs>
        <w:spacing w:before="80" w:after="80"/>
        <w:ind w:left="714" w:hanging="357"/>
        <w:rPr>
          <w:rFonts w:cs="Arial"/>
        </w:rPr>
      </w:pPr>
      <w:r w:rsidRPr="000B33D2">
        <w:rPr>
          <w:rFonts w:cs="Arial"/>
          <w:color w:val="000000"/>
          <w:lang w:eastAsia="en-AU"/>
        </w:rPr>
        <w:t>Indigenous status;</w:t>
      </w:r>
    </w:p>
    <w:p w:rsidR="003156D1" w:rsidRPr="000B33D2" w:rsidRDefault="003156D1" w:rsidP="003156D1">
      <w:pPr>
        <w:pStyle w:val="ListParagraph"/>
        <w:numPr>
          <w:ilvl w:val="0"/>
          <w:numId w:val="53"/>
        </w:numPr>
        <w:tabs>
          <w:tab w:val="left" w:pos="1162"/>
        </w:tabs>
        <w:spacing w:before="80" w:after="80"/>
        <w:ind w:left="714" w:hanging="357"/>
        <w:rPr>
          <w:rFonts w:cs="Arial"/>
        </w:rPr>
      </w:pPr>
      <w:r w:rsidRPr="000B33D2">
        <w:rPr>
          <w:rFonts w:cs="Arial"/>
        </w:rPr>
        <w:t xml:space="preserve">Multiple health care provider indicator (see </w:t>
      </w:r>
      <w:r w:rsidR="00977133" w:rsidRPr="000B33D2">
        <w:rPr>
          <w:rFonts w:cs="Arial"/>
        </w:rPr>
        <w:t>NEP</w:t>
      </w:r>
      <w:r w:rsidR="00977133">
        <w:rPr>
          <w:rFonts w:cs="Arial"/>
        </w:rPr>
        <w:t>16</w:t>
      </w:r>
      <w:r w:rsidR="00977133" w:rsidRPr="000B33D2">
        <w:rPr>
          <w:rFonts w:cs="Arial"/>
        </w:rPr>
        <w:t xml:space="preserve"> </w:t>
      </w:r>
      <w:r w:rsidRPr="000B33D2">
        <w:rPr>
          <w:rFonts w:cs="Arial"/>
        </w:rPr>
        <w:t>Determination);</w:t>
      </w:r>
    </w:p>
    <w:p w:rsidR="00A43FCA" w:rsidRPr="002F0DD1" w:rsidRDefault="00A43FCA" w:rsidP="00C245E0">
      <w:pPr>
        <w:pStyle w:val="ListParagraph"/>
        <w:numPr>
          <w:ilvl w:val="0"/>
          <w:numId w:val="53"/>
        </w:numPr>
        <w:tabs>
          <w:tab w:val="left" w:pos="1162"/>
        </w:tabs>
        <w:spacing w:before="80" w:after="80"/>
        <w:ind w:left="714" w:hanging="357"/>
        <w:rPr>
          <w:rFonts w:cs="Arial"/>
        </w:rPr>
      </w:pPr>
      <w:r w:rsidRPr="002F0DD1">
        <w:rPr>
          <w:rFonts w:cs="Arial"/>
          <w:color w:val="000000"/>
          <w:lang w:eastAsia="en-AU"/>
        </w:rPr>
        <w:t>Outpatie</w:t>
      </w:r>
      <w:r w:rsidR="009D79AF">
        <w:rPr>
          <w:rFonts w:cs="Arial"/>
          <w:color w:val="000000"/>
          <w:lang w:eastAsia="en-AU"/>
        </w:rPr>
        <w:t>nt clinic type Tier 2 (Version 4</w:t>
      </w:r>
      <w:r w:rsidRPr="002F0DD1">
        <w:rPr>
          <w:rFonts w:cs="Arial"/>
          <w:color w:val="000000"/>
          <w:lang w:eastAsia="en-AU"/>
        </w:rPr>
        <w:t>.</w:t>
      </w:r>
      <w:r w:rsidR="006048E5">
        <w:rPr>
          <w:rFonts w:cs="Arial"/>
          <w:color w:val="000000"/>
          <w:lang w:eastAsia="en-AU"/>
        </w:rPr>
        <w:t>1</w:t>
      </w:r>
      <w:r w:rsidRPr="002F0DD1">
        <w:rPr>
          <w:rFonts w:cs="Arial"/>
          <w:color w:val="000000"/>
          <w:lang w:eastAsia="en-AU"/>
        </w:rPr>
        <w:t>)</w:t>
      </w:r>
      <w:r>
        <w:rPr>
          <w:rFonts w:cs="Arial"/>
          <w:color w:val="000000"/>
          <w:lang w:eastAsia="en-AU"/>
        </w:rPr>
        <w:t>; and the</w:t>
      </w:r>
    </w:p>
    <w:p w:rsidR="00A43FCA" w:rsidRPr="002F0DD1" w:rsidRDefault="00A43FCA" w:rsidP="00C245E0">
      <w:pPr>
        <w:pStyle w:val="ListParagraph"/>
        <w:numPr>
          <w:ilvl w:val="0"/>
          <w:numId w:val="53"/>
        </w:numPr>
        <w:tabs>
          <w:tab w:val="left" w:pos="1162"/>
        </w:tabs>
        <w:spacing w:before="80" w:after="80"/>
        <w:ind w:left="714" w:hanging="357"/>
        <w:rPr>
          <w:rFonts w:cs="Arial"/>
          <w:szCs w:val="20"/>
        </w:rPr>
      </w:pPr>
      <w:r w:rsidRPr="002F0DD1">
        <w:rPr>
          <w:rFonts w:cs="Arial"/>
          <w:color w:val="000000"/>
          <w:lang w:eastAsia="en-AU"/>
        </w:rPr>
        <w:t>Funding source</w:t>
      </w:r>
      <w:r>
        <w:rPr>
          <w:rFonts w:cs="Arial"/>
          <w:color w:val="000000"/>
          <w:lang w:eastAsia="en-AU"/>
        </w:rPr>
        <w:t xml:space="preserve">. </w:t>
      </w:r>
    </w:p>
    <w:p w:rsidR="00A43FCA" w:rsidRDefault="00A43FCA" w:rsidP="00AD4FFC">
      <w:pPr>
        <w:spacing w:before="240"/>
        <w:rPr>
          <w:rFonts w:cs="Arial"/>
          <w:szCs w:val="20"/>
        </w:rPr>
      </w:pPr>
      <w:r w:rsidRPr="00F52F13">
        <w:rPr>
          <w:rFonts w:cs="Arial"/>
          <w:szCs w:val="20"/>
        </w:rPr>
        <w:t>These variables form part of the Non-</w:t>
      </w:r>
      <w:r>
        <w:rPr>
          <w:rFonts w:cs="Arial"/>
          <w:szCs w:val="20"/>
        </w:rPr>
        <w:t>A</w:t>
      </w:r>
      <w:r w:rsidRPr="00F52F13">
        <w:rPr>
          <w:rFonts w:cs="Arial"/>
          <w:szCs w:val="20"/>
        </w:rPr>
        <w:t xml:space="preserve">dmitted </w:t>
      </w:r>
      <w:r>
        <w:rPr>
          <w:rFonts w:cs="Arial"/>
          <w:szCs w:val="20"/>
        </w:rPr>
        <w:t>P</w:t>
      </w:r>
      <w:r w:rsidRPr="00F52F13">
        <w:rPr>
          <w:rFonts w:cs="Arial"/>
          <w:szCs w:val="20"/>
        </w:rPr>
        <w:t>atient ABF Data Set Specifications on the IHPA website.</w:t>
      </w:r>
    </w:p>
    <w:p w:rsidR="00A43FCA" w:rsidRDefault="00A43FCA" w:rsidP="00AD4FFC">
      <w:r>
        <w:t>Table 1</w:t>
      </w:r>
      <w:r w:rsidR="001D25A0">
        <w:t>8</w:t>
      </w:r>
      <w:r>
        <w:t xml:space="preserve"> </w:t>
      </w:r>
      <w:r w:rsidRPr="00C86B41">
        <w:t xml:space="preserve">details the </w:t>
      </w:r>
      <w:r>
        <w:t xml:space="preserve">variables created in the process of </w:t>
      </w:r>
      <w:r w:rsidRPr="00C86B41">
        <w:t xml:space="preserve">assigning NWAU to </w:t>
      </w:r>
      <w:r>
        <w:t>non-admitted</w:t>
      </w:r>
      <w:r w:rsidRPr="00C86B41">
        <w:t xml:space="preserve"> patient</w:t>
      </w:r>
      <w:r>
        <w:t xml:space="preserve"> data.</w:t>
      </w:r>
    </w:p>
    <w:p w:rsidR="00A43FCA" w:rsidRDefault="00A43FCA">
      <w:pPr>
        <w:pStyle w:val="table"/>
      </w:pPr>
      <w:bookmarkStart w:id="402" w:name="_Ref342308317"/>
      <w:bookmarkEnd w:id="399"/>
      <w:bookmarkEnd w:id="400"/>
      <w:r>
        <w:t>Table 1</w:t>
      </w:r>
      <w:bookmarkEnd w:id="402"/>
      <w:r w:rsidR="001D25A0">
        <w:t>8</w:t>
      </w:r>
      <w:r>
        <w:t xml:space="preserve">: </w:t>
      </w:r>
      <w:r w:rsidRPr="0071490D">
        <w:t>Assigning NWAU to non-admitted patient data – variable definitions</w:t>
      </w:r>
    </w:p>
    <w:tbl>
      <w:tblPr>
        <w:tblW w:w="9796" w:type="dxa"/>
        <w:tblInd w:w="9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Description w:val="A summary of table 12  is outlined in the text prior to this table."/>
      </w:tblPr>
      <w:tblGrid>
        <w:gridCol w:w="866"/>
        <w:gridCol w:w="992"/>
        <w:gridCol w:w="1843"/>
        <w:gridCol w:w="1843"/>
        <w:gridCol w:w="4252"/>
      </w:tblGrid>
      <w:tr w:rsidR="003156D1" w:rsidRPr="00587976" w:rsidTr="00DF31C8">
        <w:trPr>
          <w:cantSplit/>
          <w:trHeight w:val="225"/>
          <w:tblHeader/>
        </w:trPr>
        <w:tc>
          <w:tcPr>
            <w:tcW w:w="866" w:type="dxa"/>
            <w:shd w:val="clear" w:color="auto" w:fill="BFBFBF" w:themeFill="background1" w:themeFillShade="BF"/>
            <w:noWrap/>
            <w:hideMark/>
          </w:tcPr>
          <w:p w:rsidR="003156D1" w:rsidRPr="001016A1" w:rsidRDefault="003156D1" w:rsidP="00DF31C8">
            <w:pPr>
              <w:tabs>
                <w:tab w:val="left" w:pos="1162"/>
              </w:tabs>
              <w:spacing w:before="80" w:after="80"/>
              <w:rPr>
                <w:rFonts w:cs="Arial"/>
                <w:b/>
                <w:bCs/>
                <w:color w:val="000000"/>
                <w:sz w:val="18"/>
                <w:szCs w:val="18"/>
                <w:lang w:eastAsia="en-AU"/>
              </w:rPr>
            </w:pPr>
            <w:r w:rsidRPr="001016A1">
              <w:rPr>
                <w:rFonts w:cs="Arial"/>
                <w:b/>
                <w:bCs/>
                <w:color w:val="000000"/>
                <w:sz w:val="18"/>
                <w:szCs w:val="18"/>
                <w:lang w:eastAsia="en-AU"/>
              </w:rPr>
              <w:t>Step</w:t>
            </w:r>
          </w:p>
        </w:tc>
        <w:tc>
          <w:tcPr>
            <w:tcW w:w="992" w:type="dxa"/>
            <w:shd w:val="clear" w:color="auto" w:fill="BFBFBF" w:themeFill="background1" w:themeFillShade="BF"/>
            <w:noWrap/>
            <w:vAlign w:val="center"/>
            <w:hideMark/>
          </w:tcPr>
          <w:p w:rsidR="003156D1" w:rsidRPr="001016A1" w:rsidRDefault="003156D1" w:rsidP="00DF31C8">
            <w:pPr>
              <w:tabs>
                <w:tab w:val="left" w:pos="1162"/>
              </w:tabs>
              <w:spacing w:before="80" w:after="80"/>
              <w:jc w:val="center"/>
              <w:rPr>
                <w:rFonts w:cs="Arial"/>
                <w:b/>
                <w:bCs/>
                <w:color w:val="000000"/>
                <w:sz w:val="18"/>
                <w:szCs w:val="18"/>
                <w:lang w:eastAsia="en-AU"/>
              </w:rPr>
            </w:pPr>
            <w:r w:rsidRPr="001016A1">
              <w:rPr>
                <w:rFonts w:cs="Arial"/>
                <w:b/>
                <w:bCs/>
                <w:color w:val="000000"/>
                <w:sz w:val="18"/>
                <w:szCs w:val="18"/>
                <w:lang w:eastAsia="en-AU"/>
              </w:rPr>
              <w:t>Variable</w:t>
            </w:r>
          </w:p>
        </w:tc>
        <w:tc>
          <w:tcPr>
            <w:tcW w:w="1843" w:type="dxa"/>
            <w:shd w:val="clear" w:color="auto" w:fill="BFBFBF" w:themeFill="background1" w:themeFillShade="BF"/>
            <w:noWrap/>
            <w:vAlign w:val="center"/>
            <w:hideMark/>
          </w:tcPr>
          <w:p w:rsidR="003156D1" w:rsidRPr="001016A1" w:rsidRDefault="003156D1" w:rsidP="00DF31C8">
            <w:pPr>
              <w:tabs>
                <w:tab w:val="left" w:pos="1162"/>
              </w:tabs>
              <w:spacing w:before="80" w:after="80"/>
              <w:rPr>
                <w:rFonts w:cs="Arial"/>
                <w:b/>
                <w:bCs/>
                <w:color w:val="000000"/>
                <w:sz w:val="18"/>
                <w:szCs w:val="18"/>
                <w:lang w:eastAsia="en-AU"/>
              </w:rPr>
            </w:pPr>
            <w:r w:rsidRPr="001016A1">
              <w:rPr>
                <w:rFonts w:cs="Arial"/>
                <w:b/>
                <w:bCs/>
                <w:color w:val="000000"/>
                <w:sz w:val="18"/>
                <w:szCs w:val="18"/>
                <w:lang w:eastAsia="en-AU"/>
              </w:rPr>
              <w:t>Name</w:t>
            </w:r>
          </w:p>
        </w:tc>
        <w:tc>
          <w:tcPr>
            <w:tcW w:w="1843" w:type="dxa"/>
            <w:shd w:val="clear" w:color="auto" w:fill="BFBFBF" w:themeFill="background1" w:themeFillShade="BF"/>
            <w:vAlign w:val="center"/>
            <w:hideMark/>
          </w:tcPr>
          <w:p w:rsidR="003156D1" w:rsidRPr="001016A1" w:rsidRDefault="003156D1" w:rsidP="00DF31C8">
            <w:pPr>
              <w:tabs>
                <w:tab w:val="left" w:pos="1162"/>
              </w:tabs>
              <w:spacing w:before="80" w:after="80"/>
              <w:rPr>
                <w:rFonts w:cs="Arial"/>
                <w:b/>
                <w:bCs/>
                <w:color w:val="000000"/>
                <w:sz w:val="18"/>
                <w:szCs w:val="18"/>
                <w:lang w:eastAsia="en-AU"/>
              </w:rPr>
            </w:pPr>
            <w:r w:rsidRPr="001016A1">
              <w:rPr>
                <w:rFonts w:cs="Arial"/>
                <w:b/>
                <w:bCs/>
                <w:color w:val="000000"/>
                <w:sz w:val="18"/>
                <w:szCs w:val="18"/>
                <w:lang w:eastAsia="en-AU"/>
              </w:rPr>
              <w:t>Description</w:t>
            </w:r>
          </w:p>
        </w:tc>
        <w:tc>
          <w:tcPr>
            <w:tcW w:w="4252" w:type="dxa"/>
            <w:shd w:val="clear" w:color="auto" w:fill="BFBFBF" w:themeFill="background1" w:themeFillShade="BF"/>
            <w:vAlign w:val="center"/>
            <w:hideMark/>
          </w:tcPr>
          <w:p w:rsidR="003156D1" w:rsidRPr="001016A1" w:rsidRDefault="003156D1" w:rsidP="00DF31C8">
            <w:pPr>
              <w:tabs>
                <w:tab w:val="left" w:pos="1162"/>
              </w:tabs>
              <w:spacing w:before="80" w:after="80"/>
              <w:rPr>
                <w:rFonts w:cs="Arial"/>
                <w:b/>
                <w:bCs/>
                <w:color w:val="000000"/>
                <w:sz w:val="18"/>
                <w:szCs w:val="18"/>
                <w:lang w:eastAsia="en-AU"/>
              </w:rPr>
            </w:pPr>
            <w:r w:rsidRPr="001016A1">
              <w:rPr>
                <w:rFonts w:cs="Arial"/>
                <w:b/>
                <w:bCs/>
                <w:color w:val="000000"/>
                <w:sz w:val="18"/>
                <w:szCs w:val="18"/>
                <w:lang w:eastAsia="en-AU"/>
              </w:rPr>
              <w:t>Definition</w:t>
            </w:r>
          </w:p>
        </w:tc>
      </w:tr>
      <w:tr w:rsidR="003156D1" w:rsidRPr="00587976" w:rsidTr="00DF31C8">
        <w:trPr>
          <w:cantSplit/>
          <w:trHeight w:val="450"/>
        </w:trPr>
        <w:tc>
          <w:tcPr>
            <w:tcW w:w="866" w:type="dxa"/>
            <w:tcBorders>
              <w:bottom w:val="single" w:sz="4" w:space="0" w:color="595959" w:themeColor="text1" w:themeTint="A6"/>
            </w:tcBorders>
            <w:shd w:val="clear" w:color="auto" w:fill="auto"/>
            <w:noWrap/>
            <w:hideMark/>
          </w:tcPr>
          <w:p w:rsidR="003156D1" w:rsidRPr="00771DEF" w:rsidRDefault="003156D1" w:rsidP="00DF31C8">
            <w:pPr>
              <w:tabs>
                <w:tab w:val="left" w:pos="1162"/>
              </w:tabs>
              <w:spacing w:before="80" w:after="80"/>
              <w:rPr>
                <w:rFonts w:cs="Arial"/>
                <w:color w:val="000000"/>
                <w:sz w:val="18"/>
                <w:szCs w:val="18"/>
                <w:lang w:eastAsia="en-AU"/>
              </w:rPr>
            </w:pPr>
            <w:r w:rsidRPr="00771DEF">
              <w:rPr>
                <w:rFonts w:cs="Arial"/>
                <w:color w:val="000000"/>
                <w:sz w:val="18"/>
                <w:szCs w:val="18"/>
                <w:lang w:eastAsia="en-AU"/>
              </w:rPr>
              <w:t>Step 1</w:t>
            </w:r>
          </w:p>
        </w:tc>
        <w:tc>
          <w:tcPr>
            <w:tcW w:w="992" w:type="dxa"/>
            <w:shd w:val="clear" w:color="auto" w:fill="auto"/>
            <w:noWrap/>
            <w:hideMark/>
          </w:tcPr>
          <w:p w:rsidR="003156D1" w:rsidRPr="00771DEF" w:rsidRDefault="003156D1" w:rsidP="00DF31C8">
            <w:pPr>
              <w:tabs>
                <w:tab w:val="left" w:pos="1162"/>
              </w:tabs>
              <w:spacing w:before="80" w:after="80"/>
              <w:jc w:val="center"/>
              <w:rPr>
                <w:rFonts w:cs="Arial"/>
                <w:color w:val="000000"/>
                <w:sz w:val="18"/>
                <w:szCs w:val="18"/>
                <w:lang w:eastAsia="en-AU"/>
              </w:rPr>
            </w:pPr>
            <w:r w:rsidRPr="00771DEF">
              <w:rPr>
                <w:rFonts w:cs="Arial"/>
                <w:color w:val="000000"/>
                <w:sz w:val="18"/>
                <w:szCs w:val="18"/>
                <w:lang w:eastAsia="en-AU"/>
              </w:rPr>
              <w:t>N01</w:t>
            </w:r>
          </w:p>
        </w:tc>
        <w:tc>
          <w:tcPr>
            <w:tcW w:w="1843" w:type="dxa"/>
            <w:shd w:val="clear" w:color="auto" w:fill="auto"/>
            <w:noWrap/>
            <w:hideMark/>
          </w:tcPr>
          <w:p w:rsidR="003156D1" w:rsidRPr="00771DEF" w:rsidRDefault="003156D1" w:rsidP="00DF31C8">
            <w:pPr>
              <w:tabs>
                <w:tab w:val="left" w:pos="1162"/>
              </w:tabs>
              <w:spacing w:before="80" w:after="80"/>
              <w:rPr>
                <w:rFonts w:cs="Arial"/>
                <w:color w:val="000000"/>
                <w:sz w:val="18"/>
                <w:szCs w:val="18"/>
                <w:lang w:eastAsia="en-AU"/>
              </w:rPr>
            </w:pPr>
            <w:r w:rsidRPr="00771DEF">
              <w:rPr>
                <w:rFonts w:cs="Arial"/>
                <w:color w:val="000000"/>
                <w:sz w:val="18"/>
                <w:szCs w:val="18"/>
                <w:lang w:eastAsia="en-AU"/>
              </w:rPr>
              <w:t>_</w:t>
            </w:r>
            <w:proofErr w:type="spellStart"/>
            <w:r w:rsidRPr="00771DEF">
              <w:rPr>
                <w:rFonts w:cs="Arial"/>
                <w:color w:val="000000"/>
                <w:sz w:val="18"/>
                <w:szCs w:val="18"/>
                <w:lang w:eastAsia="en-AU"/>
              </w:rPr>
              <w:t>pat_ind_flag</w:t>
            </w:r>
            <w:proofErr w:type="spellEnd"/>
          </w:p>
        </w:tc>
        <w:tc>
          <w:tcPr>
            <w:tcW w:w="1843" w:type="dxa"/>
            <w:shd w:val="clear" w:color="auto" w:fill="auto"/>
            <w:hideMark/>
          </w:tcPr>
          <w:p w:rsidR="003156D1" w:rsidRPr="00771DEF" w:rsidRDefault="003156D1" w:rsidP="00DF31C8">
            <w:pPr>
              <w:tabs>
                <w:tab w:val="left" w:pos="1162"/>
              </w:tabs>
              <w:spacing w:before="80" w:after="80"/>
              <w:rPr>
                <w:rFonts w:cs="Arial"/>
                <w:color w:val="000000"/>
                <w:sz w:val="18"/>
                <w:szCs w:val="18"/>
                <w:lang w:eastAsia="en-AU"/>
              </w:rPr>
            </w:pPr>
            <w:r w:rsidRPr="00771DEF">
              <w:rPr>
                <w:rFonts w:cs="Arial"/>
                <w:color w:val="000000"/>
                <w:sz w:val="18"/>
                <w:szCs w:val="18"/>
                <w:lang w:eastAsia="en-AU"/>
              </w:rPr>
              <w:t>Indigenous patient flag</w:t>
            </w:r>
          </w:p>
        </w:tc>
        <w:tc>
          <w:tcPr>
            <w:tcW w:w="4252" w:type="dxa"/>
            <w:shd w:val="clear" w:color="auto" w:fill="auto"/>
            <w:hideMark/>
          </w:tcPr>
          <w:p w:rsidR="003156D1" w:rsidRPr="00497236" w:rsidRDefault="003156D1">
            <w:pPr>
              <w:tabs>
                <w:tab w:val="left" w:pos="1162"/>
              </w:tabs>
              <w:spacing w:before="80" w:after="80"/>
              <w:rPr>
                <w:rFonts w:cs="Arial"/>
                <w:color w:val="000000"/>
                <w:sz w:val="18"/>
                <w:szCs w:val="18"/>
                <w:lang w:eastAsia="en-AU"/>
              </w:rPr>
            </w:pPr>
            <w:r w:rsidRPr="00497236">
              <w:rPr>
                <w:rFonts w:cs="Arial"/>
                <w:color w:val="000000"/>
                <w:sz w:val="18"/>
                <w:szCs w:val="18"/>
                <w:lang w:eastAsia="en-AU"/>
              </w:rPr>
              <w:t>1 if Patient Indigenous Status = 1, 2 or 3; else</w:t>
            </w:r>
            <w:r w:rsidR="00DD3660">
              <w:rPr>
                <w:rFonts w:cs="Arial"/>
                <w:color w:val="000000"/>
                <w:sz w:val="18"/>
                <w:szCs w:val="18"/>
                <w:lang w:eastAsia="en-AU"/>
              </w:rPr>
              <w:t xml:space="preserve"> </w:t>
            </w:r>
            <w:r w:rsidRPr="00497236">
              <w:rPr>
                <w:rFonts w:cs="Arial"/>
                <w:color w:val="000000"/>
                <w:sz w:val="18"/>
                <w:szCs w:val="18"/>
                <w:lang w:eastAsia="en-AU"/>
              </w:rPr>
              <w:t>0.</w:t>
            </w:r>
          </w:p>
        </w:tc>
      </w:tr>
      <w:tr w:rsidR="003156D1" w:rsidRPr="00587976" w:rsidTr="00DF31C8">
        <w:trPr>
          <w:cantSplit/>
          <w:trHeight w:val="225"/>
        </w:trPr>
        <w:tc>
          <w:tcPr>
            <w:tcW w:w="866" w:type="dxa"/>
            <w:vMerge w:val="restart"/>
            <w:shd w:val="clear" w:color="auto" w:fill="auto"/>
            <w:noWrap/>
            <w:hideMark/>
          </w:tcPr>
          <w:p w:rsidR="003156D1" w:rsidRPr="00771DEF" w:rsidRDefault="003156D1" w:rsidP="00DF31C8">
            <w:pPr>
              <w:tabs>
                <w:tab w:val="left" w:pos="1162"/>
              </w:tabs>
              <w:spacing w:before="80" w:after="80"/>
              <w:rPr>
                <w:rFonts w:cs="Arial"/>
                <w:color w:val="000000"/>
                <w:sz w:val="18"/>
                <w:szCs w:val="18"/>
                <w:lang w:eastAsia="en-AU"/>
              </w:rPr>
            </w:pPr>
            <w:r w:rsidRPr="00771DEF">
              <w:rPr>
                <w:rFonts w:cs="Arial"/>
                <w:color w:val="000000"/>
                <w:sz w:val="18"/>
                <w:szCs w:val="18"/>
                <w:lang w:eastAsia="en-AU"/>
              </w:rPr>
              <w:t>Step 2</w:t>
            </w:r>
          </w:p>
        </w:tc>
        <w:tc>
          <w:tcPr>
            <w:tcW w:w="992" w:type="dxa"/>
            <w:shd w:val="clear" w:color="auto" w:fill="auto"/>
            <w:noWrap/>
            <w:hideMark/>
          </w:tcPr>
          <w:p w:rsidR="003156D1" w:rsidRPr="00771DEF" w:rsidRDefault="003156D1" w:rsidP="00DF31C8">
            <w:pPr>
              <w:tabs>
                <w:tab w:val="left" w:pos="1162"/>
              </w:tabs>
              <w:spacing w:before="80" w:after="80"/>
              <w:jc w:val="center"/>
              <w:rPr>
                <w:rFonts w:cs="Arial"/>
                <w:color w:val="000000"/>
                <w:sz w:val="18"/>
                <w:szCs w:val="18"/>
                <w:lang w:eastAsia="en-AU"/>
              </w:rPr>
            </w:pPr>
            <w:r w:rsidRPr="00771DEF">
              <w:rPr>
                <w:rFonts w:cs="Arial"/>
                <w:color w:val="000000"/>
                <w:sz w:val="18"/>
                <w:szCs w:val="18"/>
                <w:lang w:eastAsia="en-AU"/>
              </w:rPr>
              <w:t>N02</w:t>
            </w:r>
          </w:p>
        </w:tc>
        <w:tc>
          <w:tcPr>
            <w:tcW w:w="1843" w:type="dxa"/>
            <w:shd w:val="clear" w:color="auto" w:fill="auto"/>
            <w:noWrap/>
            <w:hideMark/>
          </w:tcPr>
          <w:p w:rsidR="003156D1" w:rsidRPr="00497236" w:rsidRDefault="003156D1" w:rsidP="00DF31C8">
            <w:pPr>
              <w:tabs>
                <w:tab w:val="left" w:pos="1162"/>
              </w:tabs>
              <w:spacing w:before="80" w:after="80"/>
              <w:rPr>
                <w:rFonts w:cs="Arial"/>
                <w:color w:val="000000"/>
                <w:sz w:val="18"/>
                <w:szCs w:val="18"/>
                <w:lang w:eastAsia="en-AU"/>
              </w:rPr>
            </w:pPr>
            <w:proofErr w:type="spellStart"/>
            <w:r w:rsidRPr="00771DEF">
              <w:rPr>
                <w:rFonts w:cs="Arial"/>
                <w:color w:val="000000"/>
                <w:sz w:val="18"/>
                <w:szCs w:val="18"/>
                <w:lang w:eastAsia="en-AU"/>
              </w:rPr>
              <w:t>clinic_pw</w:t>
            </w:r>
            <w:proofErr w:type="spellEnd"/>
          </w:p>
        </w:tc>
        <w:tc>
          <w:tcPr>
            <w:tcW w:w="1843" w:type="dxa"/>
            <w:shd w:val="clear" w:color="auto" w:fill="auto"/>
            <w:noWrap/>
            <w:hideMark/>
          </w:tcPr>
          <w:p w:rsidR="003156D1" w:rsidRPr="00497236" w:rsidRDefault="003156D1" w:rsidP="00DF31C8">
            <w:pPr>
              <w:tabs>
                <w:tab w:val="left" w:pos="1162"/>
              </w:tabs>
              <w:spacing w:before="80" w:after="80"/>
              <w:rPr>
                <w:rFonts w:cs="Arial"/>
                <w:color w:val="000000"/>
                <w:sz w:val="18"/>
                <w:szCs w:val="18"/>
                <w:lang w:eastAsia="en-AU"/>
              </w:rPr>
            </w:pPr>
            <w:r w:rsidRPr="00497236">
              <w:rPr>
                <w:rFonts w:cs="Arial"/>
                <w:color w:val="000000"/>
                <w:sz w:val="18"/>
                <w:szCs w:val="18"/>
                <w:lang w:eastAsia="en-AU"/>
              </w:rPr>
              <w:t>See definition</w:t>
            </w:r>
          </w:p>
        </w:tc>
        <w:tc>
          <w:tcPr>
            <w:tcW w:w="4252" w:type="dxa"/>
            <w:shd w:val="clear" w:color="auto" w:fill="auto"/>
            <w:noWrap/>
            <w:hideMark/>
          </w:tcPr>
          <w:p w:rsidR="003156D1" w:rsidRPr="00497236" w:rsidRDefault="003156D1" w:rsidP="00DF31C8">
            <w:pPr>
              <w:tabs>
                <w:tab w:val="left" w:pos="1162"/>
              </w:tabs>
              <w:spacing w:before="80" w:after="80"/>
              <w:rPr>
                <w:rFonts w:cs="Arial"/>
                <w:color w:val="000000"/>
                <w:sz w:val="18"/>
                <w:szCs w:val="18"/>
                <w:lang w:eastAsia="en-AU"/>
              </w:rPr>
            </w:pPr>
            <w:r w:rsidRPr="00497236">
              <w:rPr>
                <w:rFonts w:cs="Arial"/>
                <w:color w:val="000000"/>
                <w:sz w:val="18"/>
                <w:szCs w:val="18"/>
                <w:lang w:eastAsia="en-AU"/>
              </w:rPr>
              <w:t>Tier 2 Clinic price weight, taken from NWAU Price Weight table.</w:t>
            </w:r>
          </w:p>
        </w:tc>
      </w:tr>
      <w:tr w:rsidR="003156D1" w:rsidRPr="00587976" w:rsidTr="00DF31C8">
        <w:trPr>
          <w:cantSplit/>
          <w:trHeight w:val="225"/>
        </w:trPr>
        <w:tc>
          <w:tcPr>
            <w:tcW w:w="866" w:type="dxa"/>
            <w:vMerge/>
            <w:tcBorders>
              <w:bottom w:val="nil"/>
            </w:tcBorders>
            <w:shd w:val="clear" w:color="auto" w:fill="auto"/>
            <w:noWrap/>
            <w:hideMark/>
          </w:tcPr>
          <w:p w:rsidR="003156D1" w:rsidRPr="00163EB6" w:rsidRDefault="003156D1" w:rsidP="00DF31C8">
            <w:pPr>
              <w:tabs>
                <w:tab w:val="left" w:pos="1162"/>
              </w:tabs>
              <w:spacing w:before="80" w:after="80"/>
              <w:rPr>
                <w:rFonts w:cs="Arial"/>
                <w:color w:val="000000"/>
                <w:sz w:val="18"/>
                <w:szCs w:val="18"/>
                <w:lang w:eastAsia="en-AU"/>
              </w:rPr>
            </w:pPr>
          </w:p>
        </w:tc>
        <w:tc>
          <w:tcPr>
            <w:tcW w:w="992" w:type="dxa"/>
            <w:tcBorders>
              <w:bottom w:val="single" w:sz="4" w:space="0" w:color="595959" w:themeColor="text1" w:themeTint="A6"/>
            </w:tcBorders>
            <w:shd w:val="clear" w:color="auto" w:fill="auto"/>
            <w:noWrap/>
            <w:hideMark/>
          </w:tcPr>
          <w:p w:rsidR="003156D1" w:rsidRPr="00163EB6" w:rsidRDefault="003156D1" w:rsidP="00DF31C8">
            <w:pPr>
              <w:tabs>
                <w:tab w:val="left" w:pos="1162"/>
              </w:tabs>
              <w:spacing w:before="80" w:after="80"/>
              <w:jc w:val="center"/>
              <w:rPr>
                <w:rFonts w:cs="Arial"/>
                <w:color w:val="000000"/>
                <w:sz w:val="18"/>
                <w:szCs w:val="18"/>
                <w:lang w:eastAsia="en-AU"/>
              </w:rPr>
            </w:pPr>
            <w:r w:rsidRPr="00163EB6">
              <w:rPr>
                <w:rFonts w:cs="Arial"/>
                <w:color w:val="000000"/>
                <w:sz w:val="18"/>
                <w:szCs w:val="18"/>
                <w:lang w:eastAsia="en-AU"/>
              </w:rPr>
              <w:t>N03</w:t>
            </w:r>
          </w:p>
        </w:tc>
        <w:tc>
          <w:tcPr>
            <w:tcW w:w="1843" w:type="dxa"/>
            <w:shd w:val="clear" w:color="auto" w:fill="auto"/>
            <w:noWrap/>
            <w:hideMark/>
          </w:tcPr>
          <w:p w:rsidR="003156D1" w:rsidRPr="00163EB6" w:rsidRDefault="003156D1" w:rsidP="00DF31C8">
            <w:pPr>
              <w:tabs>
                <w:tab w:val="left" w:pos="1162"/>
              </w:tabs>
              <w:spacing w:before="80" w:after="80"/>
              <w:rPr>
                <w:rFonts w:cs="Arial"/>
                <w:color w:val="000000"/>
                <w:sz w:val="18"/>
                <w:szCs w:val="18"/>
                <w:lang w:eastAsia="en-AU"/>
              </w:rPr>
            </w:pPr>
            <w:proofErr w:type="spellStart"/>
            <w:r w:rsidRPr="00163EB6">
              <w:rPr>
                <w:rFonts w:cs="Arial"/>
                <w:color w:val="000000"/>
                <w:sz w:val="18"/>
                <w:szCs w:val="18"/>
                <w:lang w:eastAsia="en-AU"/>
              </w:rPr>
              <w:t>adj_indigenous</w:t>
            </w:r>
            <w:proofErr w:type="spellEnd"/>
          </w:p>
        </w:tc>
        <w:tc>
          <w:tcPr>
            <w:tcW w:w="1843" w:type="dxa"/>
            <w:shd w:val="clear" w:color="auto" w:fill="auto"/>
            <w:noWrap/>
            <w:hideMark/>
          </w:tcPr>
          <w:p w:rsidR="003156D1" w:rsidRPr="00163EB6" w:rsidRDefault="003156D1" w:rsidP="00DF31C8">
            <w:pPr>
              <w:tabs>
                <w:tab w:val="left" w:pos="1162"/>
              </w:tabs>
              <w:spacing w:before="80" w:after="80"/>
              <w:rPr>
                <w:rFonts w:cs="Arial"/>
                <w:color w:val="000000"/>
                <w:sz w:val="18"/>
                <w:szCs w:val="18"/>
                <w:lang w:eastAsia="en-AU"/>
              </w:rPr>
            </w:pPr>
            <w:r w:rsidRPr="00163EB6">
              <w:rPr>
                <w:rFonts w:cs="Arial"/>
                <w:color w:val="000000"/>
                <w:sz w:val="18"/>
                <w:szCs w:val="18"/>
                <w:lang w:eastAsia="en-AU"/>
              </w:rPr>
              <w:t>See definition</w:t>
            </w:r>
          </w:p>
        </w:tc>
        <w:tc>
          <w:tcPr>
            <w:tcW w:w="4252" w:type="dxa"/>
            <w:shd w:val="clear" w:color="auto" w:fill="auto"/>
            <w:noWrap/>
            <w:hideMark/>
          </w:tcPr>
          <w:p w:rsidR="003156D1" w:rsidRPr="00163EB6" w:rsidRDefault="003156D1" w:rsidP="00DF31C8">
            <w:pPr>
              <w:tabs>
                <w:tab w:val="left" w:pos="1162"/>
              </w:tabs>
              <w:spacing w:before="80" w:after="80"/>
              <w:rPr>
                <w:rFonts w:cs="Arial"/>
                <w:color w:val="000000"/>
                <w:sz w:val="18"/>
                <w:szCs w:val="18"/>
                <w:lang w:eastAsia="en-AU"/>
              </w:rPr>
            </w:pPr>
            <w:r w:rsidRPr="00163EB6">
              <w:rPr>
                <w:rFonts w:cs="Arial"/>
                <w:color w:val="000000"/>
                <w:sz w:val="18"/>
                <w:szCs w:val="18"/>
                <w:lang w:eastAsia="en-AU"/>
              </w:rPr>
              <w:t>Indigenous adjustment from NWAU Adjustment table.</w:t>
            </w:r>
          </w:p>
        </w:tc>
      </w:tr>
      <w:tr w:rsidR="003156D1" w:rsidRPr="00587976" w:rsidTr="00DF31C8">
        <w:trPr>
          <w:cantSplit/>
          <w:trHeight w:val="225"/>
        </w:trPr>
        <w:tc>
          <w:tcPr>
            <w:tcW w:w="866" w:type="dxa"/>
            <w:tcBorders>
              <w:top w:val="single" w:sz="4" w:space="0" w:color="auto"/>
              <w:bottom w:val="single" w:sz="4" w:space="0" w:color="595959" w:themeColor="text1" w:themeTint="A6"/>
            </w:tcBorders>
            <w:shd w:val="clear" w:color="auto" w:fill="auto"/>
            <w:noWrap/>
            <w:hideMark/>
          </w:tcPr>
          <w:p w:rsidR="003156D1" w:rsidRPr="00771DEF" w:rsidRDefault="003156D1" w:rsidP="00DF31C8">
            <w:pPr>
              <w:tabs>
                <w:tab w:val="left" w:pos="1162"/>
              </w:tabs>
              <w:spacing w:before="80" w:after="80"/>
              <w:rPr>
                <w:rFonts w:cs="Arial"/>
                <w:color w:val="000000"/>
                <w:sz w:val="18"/>
                <w:szCs w:val="18"/>
                <w:lang w:eastAsia="en-AU"/>
              </w:rPr>
            </w:pPr>
            <w:r w:rsidRPr="00771DEF">
              <w:rPr>
                <w:rFonts w:cs="Arial"/>
                <w:color w:val="000000"/>
                <w:sz w:val="18"/>
                <w:szCs w:val="18"/>
                <w:lang w:eastAsia="en-AU"/>
              </w:rPr>
              <w:t>Step 3</w:t>
            </w:r>
          </w:p>
        </w:tc>
        <w:tc>
          <w:tcPr>
            <w:tcW w:w="992" w:type="dxa"/>
            <w:tcBorders>
              <w:bottom w:val="single" w:sz="4" w:space="0" w:color="auto"/>
            </w:tcBorders>
            <w:shd w:val="clear" w:color="auto" w:fill="auto"/>
            <w:noWrap/>
            <w:hideMark/>
          </w:tcPr>
          <w:p w:rsidR="003156D1" w:rsidRPr="00771DEF" w:rsidRDefault="003156D1" w:rsidP="00DF31C8">
            <w:pPr>
              <w:tabs>
                <w:tab w:val="left" w:pos="1162"/>
              </w:tabs>
              <w:spacing w:before="80" w:after="80"/>
              <w:jc w:val="center"/>
              <w:rPr>
                <w:rFonts w:cs="Arial"/>
                <w:color w:val="000000"/>
                <w:sz w:val="18"/>
                <w:szCs w:val="18"/>
                <w:lang w:eastAsia="en-AU"/>
              </w:rPr>
            </w:pPr>
            <w:r w:rsidRPr="00771DEF">
              <w:rPr>
                <w:rFonts w:cs="Arial"/>
                <w:color w:val="000000"/>
                <w:sz w:val="18"/>
                <w:szCs w:val="18"/>
                <w:lang w:eastAsia="en-AU"/>
              </w:rPr>
              <w:t>N04</w:t>
            </w:r>
          </w:p>
        </w:tc>
        <w:tc>
          <w:tcPr>
            <w:tcW w:w="1843" w:type="dxa"/>
            <w:shd w:val="clear" w:color="auto" w:fill="auto"/>
            <w:noWrap/>
            <w:hideMark/>
          </w:tcPr>
          <w:p w:rsidR="003156D1" w:rsidRPr="00497236" w:rsidRDefault="003156D1" w:rsidP="00DF31C8">
            <w:pPr>
              <w:tabs>
                <w:tab w:val="left" w:pos="1162"/>
              </w:tabs>
              <w:spacing w:before="80" w:after="80"/>
              <w:rPr>
                <w:rFonts w:cs="Arial"/>
                <w:color w:val="000000"/>
                <w:sz w:val="18"/>
                <w:szCs w:val="18"/>
                <w:lang w:eastAsia="en-AU"/>
              </w:rPr>
            </w:pPr>
            <w:proofErr w:type="spellStart"/>
            <w:r w:rsidRPr="00497236">
              <w:rPr>
                <w:rFonts w:cs="Arial"/>
                <w:color w:val="000000"/>
                <w:sz w:val="18"/>
                <w:szCs w:val="18"/>
                <w:lang w:eastAsia="en-AU"/>
              </w:rPr>
              <w:t>Error_Code</w:t>
            </w:r>
            <w:proofErr w:type="spellEnd"/>
          </w:p>
        </w:tc>
        <w:tc>
          <w:tcPr>
            <w:tcW w:w="1843" w:type="dxa"/>
            <w:shd w:val="clear" w:color="auto" w:fill="auto"/>
            <w:noWrap/>
            <w:hideMark/>
          </w:tcPr>
          <w:p w:rsidR="003156D1" w:rsidRPr="00497236" w:rsidRDefault="003156D1" w:rsidP="00DF31C8">
            <w:pPr>
              <w:tabs>
                <w:tab w:val="left" w:pos="1162"/>
              </w:tabs>
              <w:spacing w:before="80" w:after="80"/>
              <w:rPr>
                <w:rFonts w:cs="Arial"/>
                <w:color w:val="000000"/>
                <w:sz w:val="18"/>
                <w:szCs w:val="18"/>
                <w:lang w:eastAsia="en-AU"/>
              </w:rPr>
            </w:pPr>
            <w:r w:rsidRPr="00497236">
              <w:rPr>
                <w:rFonts w:cs="Arial"/>
                <w:color w:val="000000"/>
                <w:sz w:val="18"/>
                <w:szCs w:val="18"/>
                <w:lang w:eastAsia="en-AU"/>
              </w:rPr>
              <w:t>See definition</w:t>
            </w:r>
          </w:p>
        </w:tc>
        <w:tc>
          <w:tcPr>
            <w:tcW w:w="4252" w:type="dxa"/>
            <w:shd w:val="clear" w:color="auto" w:fill="auto"/>
            <w:hideMark/>
          </w:tcPr>
          <w:p w:rsidR="003156D1" w:rsidRPr="00497236" w:rsidRDefault="003156D1" w:rsidP="00DF31C8">
            <w:pPr>
              <w:tabs>
                <w:tab w:val="left" w:pos="1162"/>
              </w:tabs>
              <w:spacing w:before="80" w:after="80"/>
              <w:rPr>
                <w:rFonts w:cs="Arial"/>
                <w:color w:val="000000"/>
                <w:sz w:val="18"/>
                <w:szCs w:val="18"/>
                <w:lang w:eastAsia="en-AU"/>
              </w:rPr>
            </w:pPr>
            <w:r w:rsidRPr="00497236">
              <w:rPr>
                <w:rFonts w:cs="Arial"/>
                <w:color w:val="000000"/>
                <w:sz w:val="18"/>
                <w:szCs w:val="18"/>
                <w:lang w:eastAsia="en-AU"/>
              </w:rPr>
              <w:t>Outlines Errors in calculations</w:t>
            </w:r>
          </w:p>
        </w:tc>
      </w:tr>
      <w:tr w:rsidR="003156D1" w:rsidRPr="00587976" w:rsidTr="00DF31C8">
        <w:trPr>
          <w:cantSplit/>
          <w:trHeight w:val="225"/>
        </w:trPr>
        <w:tc>
          <w:tcPr>
            <w:tcW w:w="866" w:type="dxa"/>
            <w:vMerge w:val="restart"/>
            <w:shd w:val="clear" w:color="auto" w:fill="auto"/>
            <w:noWrap/>
          </w:tcPr>
          <w:p w:rsidR="003156D1" w:rsidRPr="00771DEF" w:rsidRDefault="003156D1" w:rsidP="00DF31C8">
            <w:pPr>
              <w:tabs>
                <w:tab w:val="left" w:pos="1162"/>
              </w:tabs>
              <w:spacing w:before="80" w:after="80"/>
              <w:rPr>
                <w:rFonts w:cs="Arial"/>
                <w:color w:val="000000"/>
                <w:sz w:val="18"/>
                <w:szCs w:val="18"/>
                <w:lang w:eastAsia="en-AU"/>
              </w:rPr>
            </w:pPr>
            <w:r w:rsidRPr="00771DEF">
              <w:rPr>
                <w:rFonts w:cs="Arial"/>
                <w:color w:val="000000"/>
                <w:sz w:val="18"/>
                <w:szCs w:val="18"/>
                <w:lang w:eastAsia="en-AU"/>
              </w:rPr>
              <w:t>Step 4</w:t>
            </w:r>
          </w:p>
        </w:tc>
        <w:tc>
          <w:tcPr>
            <w:tcW w:w="992" w:type="dxa"/>
            <w:tcBorders>
              <w:top w:val="single" w:sz="4" w:space="0" w:color="auto"/>
              <w:bottom w:val="single" w:sz="4" w:space="0" w:color="auto"/>
            </w:tcBorders>
            <w:shd w:val="clear" w:color="auto" w:fill="auto"/>
            <w:noWrap/>
          </w:tcPr>
          <w:p w:rsidR="003156D1" w:rsidRPr="00771DEF" w:rsidRDefault="003156D1" w:rsidP="00DF31C8">
            <w:pPr>
              <w:tabs>
                <w:tab w:val="left" w:pos="1162"/>
              </w:tabs>
              <w:spacing w:before="80" w:after="80"/>
              <w:jc w:val="center"/>
              <w:rPr>
                <w:rFonts w:cs="Arial"/>
                <w:color w:val="000000"/>
                <w:sz w:val="18"/>
                <w:szCs w:val="18"/>
                <w:lang w:eastAsia="en-AU"/>
              </w:rPr>
            </w:pPr>
            <w:r w:rsidRPr="00771DEF">
              <w:rPr>
                <w:rFonts w:cs="Arial"/>
                <w:color w:val="000000"/>
                <w:sz w:val="18"/>
                <w:szCs w:val="18"/>
                <w:lang w:eastAsia="en-AU"/>
              </w:rPr>
              <w:t>N05</w:t>
            </w:r>
          </w:p>
        </w:tc>
        <w:tc>
          <w:tcPr>
            <w:tcW w:w="1843" w:type="dxa"/>
            <w:shd w:val="clear" w:color="auto" w:fill="auto"/>
            <w:noWrap/>
          </w:tcPr>
          <w:p w:rsidR="003156D1" w:rsidRPr="00497236" w:rsidRDefault="002216A2" w:rsidP="002216A2">
            <w:pPr>
              <w:tabs>
                <w:tab w:val="left" w:pos="1162"/>
              </w:tabs>
              <w:spacing w:before="80" w:after="80"/>
              <w:rPr>
                <w:rFonts w:cs="Arial"/>
                <w:color w:val="000000"/>
                <w:sz w:val="18"/>
                <w:szCs w:val="18"/>
                <w:lang w:eastAsia="en-AU"/>
              </w:rPr>
            </w:pPr>
            <w:r w:rsidRPr="00771DEF">
              <w:rPr>
                <w:rFonts w:cs="Arial"/>
                <w:color w:val="000000"/>
                <w:sz w:val="18"/>
                <w:szCs w:val="18"/>
                <w:lang w:eastAsia="en-AU"/>
              </w:rPr>
              <w:t>GWAU16</w:t>
            </w:r>
          </w:p>
        </w:tc>
        <w:tc>
          <w:tcPr>
            <w:tcW w:w="1843" w:type="dxa"/>
            <w:shd w:val="clear" w:color="auto" w:fill="auto"/>
            <w:noWrap/>
          </w:tcPr>
          <w:p w:rsidR="003156D1" w:rsidRPr="00771DEF" w:rsidRDefault="003156D1" w:rsidP="00DF31C8">
            <w:pPr>
              <w:tabs>
                <w:tab w:val="left" w:pos="1162"/>
              </w:tabs>
              <w:spacing w:before="80" w:after="80"/>
              <w:rPr>
                <w:rFonts w:cs="Arial"/>
                <w:color w:val="000000"/>
                <w:sz w:val="18"/>
                <w:szCs w:val="18"/>
                <w:lang w:eastAsia="en-AU"/>
              </w:rPr>
            </w:pPr>
            <w:r w:rsidRPr="00E33EAE">
              <w:rPr>
                <w:rFonts w:cs="Arial"/>
                <w:color w:val="000000"/>
                <w:sz w:val="18"/>
                <w:szCs w:val="20"/>
                <w:lang w:eastAsia="en-AU"/>
              </w:rPr>
              <w:t>Gross Weighted Activity Unit</w:t>
            </w:r>
          </w:p>
        </w:tc>
        <w:tc>
          <w:tcPr>
            <w:tcW w:w="4252" w:type="dxa"/>
            <w:shd w:val="clear" w:color="auto" w:fill="auto"/>
          </w:tcPr>
          <w:p w:rsidR="003156D1" w:rsidRPr="00771DEF" w:rsidRDefault="003156D1" w:rsidP="00DF31C8">
            <w:pPr>
              <w:tabs>
                <w:tab w:val="left" w:pos="1162"/>
              </w:tabs>
              <w:spacing w:before="80" w:after="80"/>
              <w:rPr>
                <w:rFonts w:cs="Arial"/>
                <w:color w:val="000000"/>
                <w:sz w:val="18"/>
                <w:szCs w:val="18"/>
                <w:lang w:eastAsia="en-AU"/>
              </w:rPr>
            </w:pPr>
            <w:proofErr w:type="spellStart"/>
            <w:r w:rsidRPr="00771DEF">
              <w:rPr>
                <w:rFonts w:cs="Arial"/>
                <w:color w:val="000000"/>
                <w:sz w:val="18"/>
                <w:szCs w:val="18"/>
                <w:lang w:eastAsia="en-AU"/>
              </w:rPr>
              <w:t>clinic_pw</w:t>
            </w:r>
            <w:proofErr w:type="spellEnd"/>
            <w:r w:rsidRPr="00771DEF">
              <w:rPr>
                <w:rFonts w:cs="Arial"/>
                <w:color w:val="000000"/>
                <w:sz w:val="18"/>
                <w:szCs w:val="18"/>
                <w:lang w:eastAsia="en-AU"/>
              </w:rPr>
              <w:t>*(1+adj_indigenous+adj_multiprov*)</w:t>
            </w:r>
          </w:p>
        </w:tc>
      </w:tr>
      <w:tr w:rsidR="003156D1" w:rsidRPr="00587976" w:rsidTr="00DF31C8">
        <w:trPr>
          <w:cantSplit/>
          <w:trHeight w:val="225"/>
        </w:trPr>
        <w:tc>
          <w:tcPr>
            <w:tcW w:w="866" w:type="dxa"/>
            <w:vMerge/>
            <w:shd w:val="clear" w:color="auto" w:fill="auto"/>
            <w:noWrap/>
          </w:tcPr>
          <w:p w:rsidR="003156D1" w:rsidRPr="00163EB6" w:rsidRDefault="003156D1" w:rsidP="00DF31C8">
            <w:pPr>
              <w:tabs>
                <w:tab w:val="left" w:pos="1162"/>
              </w:tabs>
              <w:spacing w:before="80" w:after="80"/>
              <w:rPr>
                <w:rFonts w:cs="Arial"/>
                <w:color w:val="000000"/>
                <w:sz w:val="18"/>
                <w:szCs w:val="18"/>
                <w:lang w:eastAsia="en-AU"/>
              </w:rPr>
            </w:pPr>
          </w:p>
        </w:tc>
        <w:tc>
          <w:tcPr>
            <w:tcW w:w="992" w:type="dxa"/>
            <w:tcBorders>
              <w:top w:val="single" w:sz="4" w:space="0" w:color="auto"/>
            </w:tcBorders>
            <w:shd w:val="clear" w:color="auto" w:fill="auto"/>
            <w:noWrap/>
          </w:tcPr>
          <w:p w:rsidR="003156D1" w:rsidRPr="00163EB6" w:rsidRDefault="003156D1" w:rsidP="00DF31C8">
            <w:pPr>
              <w:tabs>
                <w:tab w:val="left" w:pos="1162"/>
              </w:tabs>
              <w:spacing w:before="80" w:after="80"/>
              <w:jc w:val="center"/>
              <w:rPr>
                <w:rFonts w:cs="Arial"/>
                <w:color w:val="000000"/>
                <w:sz w:val="18"/>
                <w:szCs w:val="18"/>
                <w:lang w:eastAsia="en-AU"/>
              </w:rPr>
            </w:pPr>
            <w:r w:rsidRPr="00163EB6">
              <w:rPr>
                <w:rFonts w:cs="Arial"/>
                <w:color w:val="000000"/>
                <w:sz w:val="18"/>
                <w:szCs w:val="18"/>
                <w:lang w:eastAsia="en-AU"/>
              </w:rPr>
              <w:t>N06</w:t>
            </w:r>
          </w:p>
        </w:tc>
        <w:tc>
          <w:tcPr>
            <w:tcW w:w="1843" w:type="dxa"/>
            <w:shd w:val="clear" w:color="auto" w:fill="auto"/>
            <w:noWrap/>
          </w:tcPr>
          <w:p w:rsidR="003156D1" w:rsidRPr="00163EB6" w:rsidRDefault="002216A2" w:rsidP="002216A2">
            <w:pPr>
              <w:tabs>
                <w:tab w:val="left" w:pos="1162"/>
              </w:tabs>
              <w:spacing w:before="80" w:after="80"/>
              <w:rPr>
                <w:rFonts w:cs="Arial"/>
                <w:color w:val="000000"/>
                <w:sz w:val="18"/>
                <w:szCs w:val="18"/>
                <w:lang w:eastAsia="en-AU"/>
              </w:rPr>
            </w:pPr>
            <w:r w:rsidRPr="00163EB6">
              <w:rPr>
                <w:rFonts w:cs="Arial"/>
                <w:color w:val="000000"/>
                <w:sz w:val="18"/>
                <w:szCs w:val="18"/>
                <w:lang w:eastAsia="en-AU"/>
              </w:rPr>
              <w:t>NWAU16</w:t>
            </w:r>
          </w:p>
        </w:tc>
        <w:tc>
          <w:tcPr>
            <w:tcW w:w="1843" w:type="dxa"/>
            <w:shd w:val="clear" w:color="auto" w:fill="auto"/>
            <w:noWrap/>
          </w:tcPr>
          <w:p w:rsidR="003156D1" w:rsidRPr="00771DEF" w:rsidRDefault="003156D1" w:rsidP="0073435B">
            <w:pPr>
              <w:tabs>
                <w:tab w:val="left" w:pos="1162"/>
              </w:tabs>
              <w:spacing w:before="80" w:after="80"/>
              <w:rPr>
                <w:rFonts w:cs="Arial"/>
                <w:color w:val="000000"/>
                <w:sz w:val="18"/>
                <w:szCs w:val="18"/>
                <w:lang w:eastAsia="en-AU"/>
              </w:rPr>
            </w:pPr>
            <w:r w:rsidRPr="00E33EAE">
              <w:rPr>
                <w:rFonts w:cs="Arial"/>
                <w:color w:val="000000"/>
                <w:sz w:val="18"/>
                <w:szCs w:val="20"/>
                <w:lang w:eastAsia="en-AU"/>
              </w:rPr>
              <w:t xml:space="preserve">National Weighted Activity </w:t>
            </w:r>
            <w:r w:rsidR="0073435B" w:rsidRPr="00E33EAE">
              <w:rPr>
                <w:rFonts w:cs="Arial"/>
                <w:color w:val="000000"/>
                <w:sz w:val="18"/>
                <w:szCs w:val="20"/>
                <w:lang w:eastAsia="en-AU"/>
              </w:rPr>
              <w:t>U</w:t>
            </w:r>
            <w:r w:rsidRPr="00E33EAE">
              <w:rPr>
                <w:rFonts w:cs="Arial"/>
                <w:color w:val="000000"/>
                <w:sz w:val="18"/>
                <w:szCs w:val="20"/>
                <w:lang w:eastAsia="en-AU"/>
              </w:rPr>
              <w:t>nit</w:t>
            </w:r>
          </w:p>
        </w:tc>
        <w:tc>
          <w:tcPr>
            <w:tcW w:w="4252" w:type="dxa"/>
            <w:shd w:val="clear" w:color="auto" w:fill="auto"/>
          </w:tcPr>
          <w:p w:rsidR="003156D1" w:rsidRPr="00771DEF" w:rsidRDefault="002216A2" w:rsidP="002216A2">
            <w:pPr>
              <w:tabs>
                <w:tab w:val="left" w:pos="1162"/>
              </w:tabs>
              <w:spacing w:before="80" w:after="80"/>
              <w:rPr>
                <w:rFonts w:cs="Arial"/>
                <w:color w:val="000000"/>
                <w:sz w:val="18"/>
                <w:szCs w:val="18"/>
                <w:lang w:eastAsia="en-AU"/>
              </w:rPr>
            </w:pPr>
            <w:r w:rsidRPr="00771DEF">
              <w:rPr>
                <w:rFonts w:cs="Arial"/>
                <w:color w:val="000000"/>
                <w:sz w:val="18"/>
                <w:szCs w:val="18"/>
                <w:lang w:eastAsia="en-AU"/>
              </w:rPr>
              <w:t xml:space="preserve">GWAU16 </w:t>
            </w:r>
            <w:r w:rsidR="003156D1" w:rsidRPr="00771DEF">
              <w:rPr>
                <w:rFonts w:cs="Arial"/>
                <w:color w:val="000000"/>
                <w:sz w:val="18"/>
                <w:szCs w:val="18"/>
                <w:lang w:eastAsia="en-AU"/>
              </w:rPr>
              <w:t xml:space="preserve">for </w:t>
            </w:r>
            <w:r w:rsidR="00347801">
              <w:rPr>
                <w:rFonts w:cs="Arial"/>
                <w:color w:val="000000"/>
                <w:sz w:val="18"/>
                <w:szCs w:val="18"/>
                <w:lang w:eastAsia="en-AU"/>
              </w:rPr>
              <w:t>in-scope</w:t>
            </w:r>
            <w:r w:rsidR="003156D1" w:rsidRPr="00771DEF">
              <w:rPr>
                <w:rFonts w:cs="Arial"/>
                <w:color w:val="000000"/>
                <w:sz w:val="18"/>
                <w:szCs w:val="18"/>
                <w:lang w:eastAsia="en-AU"/>
              </w:rPr>
              <w:t xml:space="preserve"> funding sources</w:t>
            </w:r>
          </w:p>
        </w:tc>
      </w:tr>
    </w:tbl>
    <w:p w:rsidR="00647634" w:rsidRDefault="003156D1" w:rsidP="00AD4FFC">
      <w:pPr>
        <w:rPr>
          <w:rFonts w:ascii="Arial" w:eastAsia="Times New Roman" w:hAnsi="Arial" w:cs="Times New Roman"/>
          <w:b/>
          <w:sz w:val="20"/>
        </w:rPr>
      </w:pPr>
      <w:r>
        <w:t>*</w:t>
      </w:r>
      <w:r w:rsidRPr="00C14325">
        <w:rPr>
          <w:rFonts w:cs="Arial"/>
          <w:color w:val="000000"/>
          <w:sz w:val="18"/>
          <w:szCs w:val="18"/>
          <w:lang w:eastAsia="en-AU"/>
        </w:rPr>
        <w:t xml:space="preserve"> </w:t>
      </w:r>
      <w:r>
        <w:rPr>
          <w:rFonts w:cs="Arial"/>
          <w:color w:val="000000"/>
          <w:sz w:val="18"/>
          <w:szCs w:val="18"/>
          <w:lang w:eastAsia="en-AU"/>
        </w:rPr>
        <w:t>Multidisciplinary adjustment from NWAU Adjustment table.</w:t>
      </w:r>
      <w:r w:rsidR="00647634">
        <w:br w:type="page"/>
      </w:r>
    </w:p>
    <w:p w:rsidR="00460371" w:rsidRDefault="00460371" w:rsidP="00174700">
      <w:pPr>
        <w:pStyle w:val="Heading1"/>
        <w:pageBreakBefore/>
        <w:numPr>
          <w:ilvl w:val="0"/>
          <w:numId w:val="72"/>
        </w:numPr>
        <w:spacing w:before="100" w:beforeAutospacing="1" w:after="100" w:afterAutospacing="1"/>
      </w:pPr>
      <w:bookmarkStart w:id="403" w:name="_Toc380754762"/>
      <w:bookmarkStart w:id="404" w:name="_Toc444528644"/>
      <w:bookmarkEnd w:id="401"/>
      <w:r>
        <w:t>Cost model for block funded hospitals</w:t>
      </w:r>
      <w:bookmarkEnd w:id="403"/>
      <w:bookmarkEnd w:id="404"/>
    </w:p>
    <w:p w:rsidR="00460371" w:rsidRDefault="00460371" w:rsidP="00174700">
      <w:pPr>
        <w:pStyle w:val="Heading2"/>
        <w:keepLines w:val="0"/>
        <w:numPr>
          <w:ilvl w:val="1"/>
          <w:numId w:val="73"/>
        </w:numPr>
        <w:tabs>
          <w:tab w:val="left" w:pos="1162"/>
        </w:tabs>
        <w:spacing w:after="60"/>
      </w:pPr>
      <w:bookmarkStart w:id="405" w:name="_Toc380754763"/>
      <w:bookmarkStart w:id="406" w:name="_Toc444528645"/>
      <w:r>
        <w:t>General issues</w:t>
      </w:r>
      <w:bookmarkEnd w:id="405"/>
      <w:bookmarkEnd w:id="406"/>
    </w:p>
    <w:p w:rsidR="00460371" w:rsidRDefault="00460371" w:rsidP="00174700">
      <w:pPr>
        <w:pStyle w:val="Heading3"/>
        <w:keepLines w:val="0"/>
        <w:numPr>
          <w:ilvl w:val="2"/>
          <w:numId w:val="73"/>
        </w:numPr>
        <w:tabs>
          <w:tab w:val="left" w:pos="1162"/>
        </w:tabs>
        <w:spacing w:before="240" w:after="120"/>
      </w:pPr>
      <w:bookmarkStart w:id="407" w:name="_Toc380754764"/>
      <w:bookmarkStart w:id="408" w:name="_Toc444528646"/>
      <w:r>
        <w:t>Cost unit</w:t>
      </w:r>
      <w:bookmarkEnd w:id="407"/>
      <w:bookmarkEnd w:id="408"/>
    </w:p>
    <w:p w:rsidR="00460371" w:rsidRDefault="00460371" w:rsidP="00AD4FFC">
      <w:pPr>
        <w:tabs>
          <w:tab w:val="left" w:pos="1162"/>
        </w:tabs>
        <w:rPr>
          <w:rFonts w:cs="Arial"/>
          <w:szCs w:val="20"/>
        </w:rPr>
      </w:pPr>
      <w:r w:rsidRPr="00D130B9">
        <w:rPr>
          <w:rFonts w:cs="Arial"/>
          <w:szCs w:val="20"/>
        </w:rPr>
        <w:t xml:space="preserve">The </w:t>
      </w:r>
      <w:r>
        <w:rPr>
          <w:rFonts w:cs="Arial"/>
          <w:szCs w:val="20"/>
        </w:rPr>
        <w:t>cost</w:t>
      </w:r>
      <w:r w:rsidRPr="00D130B9">
        <w:rPr>
          <w:rFonts w:cs="Arial"/>
          <w:szCs w:val="20"/>
        </w:rPr>
        <w:t xml:space="preserve"> unit is a hospital.</w:t>
      </w:r>
    </w:p>
    <w:p w:rsidR="00460371" w:rsidRDefault="00460371" w:rsidP="00174700">
      <w:pPr>
        <w:pStyle w:val="Heading3"/>
        <w:keepLines w:val="0"/>
        <w:numPr>
          <w:ilvl w:val="2"/>
          <w:numId w:val="73"/>
        </w:numPr>
        <w:tabs>
          <w:tab w:val="left" w:pos="1162"/>
        </w:tabs>
        <w:spacing w:before="240" w:after="120"/>
      </w:pPr>
      <w:bookmarkStart w:id="409" w:name="_Toc380754765"/>
      <w:bookmarkStart w:id="410" w:name="_Toc444528647"/>
      <w:r>
        <w:t>Scope</w:t>
      </w:r>
      <w:bookmarkEnd w:id="409"/>
      <w:bookmarkEnd w:id="410"/>
    </w:p>
    <w:p w:rsidR="00B54134" w:rsidRDefault="00460371" w:rsidP="00AD4FFC">
      <w:pPr>
        <w:tabs>
          <w:tab w:val="left" w:pos="1162"/>
        </w:tabs>
      </w:pPr>
      <w:r w:rsidRPr="00D130B9">
        <w:rPr>
          <w:rFonts w:cs="Arial"/>
          <w:szCs w:val="20"/>
        </w:rPr>
        <w:t>Hospitals are in-scope if they have been nominated by a jurisdiction</w:t>
      </w:r>
      <w:r w:rsidR="008E0156">
        <w:rPr>
          <w:rFonts w:cs="Arial"/>
          <w:szCs w:val="20"/>
        </w:rPr>
        <w:t xml:space="preserve"> and</w:t>
      </w:r>
      <w:r w:rsidRPr="00D130B9">
        <w:rPr>
          <w:rFonts w:cs="Arial"/>
          <w:szCs w:val="20"/>
        </w:rPr>
        <w:t xml:space="preserve"> meet the criteria for </w:t>
      </w:r>
      <w:r>
        <w:rPr>
          <w:rFonts w:cs="Arial"/>
          <w:szCs w:val="20"/>
        </w:rPr>
        <w:t>block fund</w:t>
      </w:r>
      <w:r w:rsidRPr="00D130B9">
        <w:rPr>
          <w:rFonts w:cs="Arial"/>
          <w:szCs w:val="20"/>
        </w:rPr>
        <w:t>ed hospitals.</w:t>
      </w:r>
      <w:r>
        <w:t xml:space="preserve"> </w:t>
      </w:r>
    </w:p>
    <w:p w:rsidR="00C32D1A" w:rsidRDefault="00D954B7" w:rsidP="00AD4FFC">
      <w:pPr>
        <w:tabs>
          <w:tab w:val="left" w:pos="1162"/>
        </w:tabs>
      </w:pPr>
      <w:r>
        <w:t>The criteria</w:t>
      </w:r>
      <w:r w:rsidR="00C32D1A">
        <w:t xml:space="preserve"> that defines </w:t>
      </w:r>
      <w:r w:rsidR="00C269E5">
        <w:t>a block funded hospital is less than</w:t>
      </w:r>
      <w:r w:rsidR="00C32D1A">
        <w:t xml:space="preserve"> 3</w:t>
      </w:r>
      <w:r>
        <w:t>,</w:t>
      </w:r>
      <w:r w:rsidR="00C32D1A">
        <w:t xml:space="preserve">500 </w:t>
      </w:r>
      <w:r w:rsidR="00C269E5">
        <w:t xml:space="preserve">total </w:t>
      </w:r>
      <w:r w:rsidR="00C32D1A">
        <w:t>NWAU</w:t>
      </w:r>
      <w:r w:rsidR="0095521F">
        <w:t xml:space="preserve"> per annum for rural hospitals and </w:t>
      </w:r>
      <w:r>
        <w:t>less than 1,800</w:t>
      </w:r>
      <w:r w:rsidR="00C269E5">
        <w:t xml:space="preserve"> admitted acute</w:t>
      </w:r>
      <w:r>
        <w:t xml:space="preserve"> NWAU per annum for city hospitals.</w:t>
      </w:r>
      <w:r w:rsidR="00C32D1A">
        <w:t xml:space="preserve">  </w:t>
      </w:r>
    </w:p>
    <w:p w:rsidR="00460371" w:rsidRDefault="00460371" w:rsidP="00174700">
      <w:pPr>
        <w:pStyle w:val="Heading3"/>
        <w:keepLines w:val="0"/>
        <w:numPr>
          <w:ilvl w:val="2"/>
          <w:numId w:val="73"/>
        </w:numPr>
        <w:tabs>
          <w:tab w:val="left" w:pos="1162"/>
        </w:tabs>
        <w:spacing w:before="240" w:after="120"/>
      </w:pPr>
      <w:bookmarkStart w:id="411" w:name="_Toc436228477"/>
      <w:bookmarkStart w:id="412" w:name="_Toc380754766"/>
      <w:bookmarkStart w:id="413" w:name="_Toc444528648"/>
      <w:bookmarkEnd w:id="411"/>
      <w:r>
        <w:t>Classification</w:t>
      </w:r>
      <w:bookmarkEnd w:id="412"/>
      <w:bookmarkEnd w:id="413"/>
    </w:p>
    <w:p w:rsidR="00D954B7" w:rsidRDefault="00D954B7" w:rsidP="00AD4FFC">
      <w:pPr>
        <w:tabs>
          <w:tab w:val="left" w:pos="1162"/>
        </w:tabs>
        <w:rPr>
          <w:rFonts w:cs="Arial"/>
          <w:szCs w:val="20"/>
        </w:rPr>
      </w:pPr>
      <w:r>
        <w:rPr>
          <w:rFonts w:cs="Arial"/>
          <w:szCs w:val="20"/>
        </w:rPr>
        <w:t xml:space="preserve">The cost model for NEC16 comprises of 384 small rural hospitals, one less than the 385 hospitals in NEC15.  The 12 major city and 16 specialist psychiatric hospitals are block funded on a separate basis. The NEC16 model remains largely unchanged from NEC15, comprising of the following key features: </w:t>
      </w:r>
    </w:p>
    <w:p w:rsidR="008D4C15" w:rsidRDefault="00D954B7" w:rsidP="008D4C15">
      <w:pPr>
        <w:pStyle w:val="ListParagraph"/>
        <w:numPr>
          <w:ilvl w:val="0"/>
          <w:numId w:val="59"/>
        </w:numPr>
        <w:tabs>
          <w:tab w:val="left" w:pos="1162"/>
        </w:tabs>
        <w:rPr>
          <w:rFonts w:cs="Arial"/>
          <w:szCs w:val="20"/>
        </w:rPr>
      </w:pPr>
      <w:r>
        <w:rPr>
          <w:rFonts w:cs="Arial"/>
          <w:szCs w:val="20"/>
        </w:rPr>
        <w:t>Eight size groups</w:t>
      </w:r>
      <w:r w:rsidR="008D4C15">
        <w:rPr>
          <w:rFonts w:cs="Arial"/>
          <w:szCs w:val="20"/>
        </w:rPr>
        <w:t>:</w:t>
      </w:r>
    </w:p>
    <w:p w:rsidR="008D4C15" w:rsidRDefault="008D4C15" w:rsidP="009B622C">
      <w:pPr>
        <w:pStyle w:val="ListParagraph"/>
        <w:numPr>
          <w:ilvl w:val="1"/>
          <w:numId w:val="59"/>
        </w:numPr>
        <w:tabs>
          <w:tab w:val="left" w:pos="1162"/>
        </w:tabs>
        <w:ind w:left="1434" w:hanging="357"/>
        <w:rPr>
          <w:rFonts w:cs="Arial"/>
          <w:szCs w:val="20"/>
        </w:rPr>
      </w:pPr>
      <w:r>
        <w:rPr>
          <w:rFonts w:cs="Arial"/>
          <w:szCs w:val="20"/>
        </w:rPr>
        <w:t>Group 0:</w:t>
      </w:r>
      <w:r w:rsidR="00B3571F">
        <w:rPr>
          <w:rFonts w:cs="Arial"/>
          <w:szCs w:val="20"/>
        </w:rPr>
        <w:t xml:space="preserve"> </w:t>
      </w:r>
      <w:r>
        <w:rPr>
          <w:rFonts w:cs="Arial"/>
          <w:szCs w:val="20"/>
        </w:rPr>
        <w:t>Less than $0.5 million</w:t>
      </w:r>
    </w:p>
    <w:p w:rsidR="008D4C15" w:rsidRDefault="008D4C15" w:rsidP="009B622C">
      <w:pPr>
        <w:pStyle w:val="ListParagraph"/>
        <w:numPr>
          <w:ilvl w:val="1"/>
          <w:numId w:val="59"/>
        </w:numPr>
        <w:tabs>
          <w:tab w:val="left" w:pos="1162"/>
        </w:tabs>
        <w:ind w:left="1434" w:hanging="357"/>
        <w:rPr>
          <w:rFonts w:cs="Arial"/>
          <w:szCs w:val="20"/>
        </w:rPr>
      </w:pPr>
      <w:r>
        <w:rPr>
          <w:rFonts w:cs="Arial"/>
          <w:szCs w:val="20"/>
        </w:rPr>
        <w:t>Group A:</w:t>
      </w:r>
      <w:r w:rsidR="00B3571F">
        <w:rPr>
          <w:rFonts w:cs="Arial"/>
          <w:szCs w:val="20"/>
        </w:rPr>
        <w:t xml:space="preserve"> </w:t>
      </w:r>
      <w:r>
        <w:rPr>
          <w:rFonts w:cs="Arial"/>
          <w:szCs w:val="20"/>
        </w:rPr>
        <w:t>0 - 259.9</w:t>
      </w:r>
      <w:r w:rsidR="00B3571F">
        <w:rPr>
          <w:rFonts w:cs="Arial"/>
          <w:szCs w:val="20"/>
        </w:rPr>
        <w:t xml:space="preserve"> </w:t>
      </w:r>
      <w:r>
        <w:rPr>
          <w:rFonts w:cs="Arial"/>
          <w:szCs w:val="20"/>
        </w:rPr>
        <w:t>NWAU</w:t>
      </w:r>
    </w:p>
    <w:p w:rsidR="008D4C15" w:rsidRDefault="008D4C15" w:rsidP="009B622C">
      <w:pPr>
        <w:pStyle w:val="ListParagraph"/>
        <w:numPr>
          <w:ilvl w:val="1"/>
          <w:numId w:val="59"/>
        </w:numPr>
        <w:tabs>
          <w:tab w:val="left" w:pos="1162"/>
        </w:tabs>
        <w:ind w:left="1434" w:hanging="357"/>
        <w:rPr>
          <w:rFonts w:cs="Arial"/>
          <w:szCs w:val="20"/>
        </w:rPr>
      </w:pPr>
      <w:r>
        <w:rPr>
          <w:rFonts w:cs="Arial"/>
          <w:szCs w:val="20"/>
        </w:rPr>
        <w:t>Group B:</w:t>
      </w:r>
      <w:r w:rsidR="00B3571F">
        <w:rPr>
          <w:rFonts w:cs="Arial"/>
          <w:szCs w:val="20"/>
        </w:rPr>
        <w:t xml:space="preserve"> </w:t>
      </w:r>
      <w:r>
        <w:rPr>
          <w:rFonts w:cs="Arial"/>
          <w:szCs w:val="20"/>
        </w:rPr>
        <w:t>260 – 459.9</w:t>
      </w:r>
      <w:r w:rsidR="00B3571F">
        <w:rPr>
          <w:rFonts w:cs="Arial"/>
          <w:szCs w:val="20"/>
        </w:rPr>
        <w:t xml:space="preserve"> </w:t>
      </w:r>
      <w:r>
        <w:rPr>
          <w:rFonts w:cs="Arial"/>
          <w:szCs w:val="20"/>
        </w:rPr>
        <w:t>NWAU</w:t>
      </w:r>
    </w:p>
    <w:p w:rsidR="008D4C15" w:rsidRDefault="008D4C15" w:rsidP="009B622C">
      <w:pPr>
        <w:pStyle w:val="ListParagraph"/>
        <w:numPr>
          <w:ilvl w:val="1"/>
          <w:numId w:val="59"/>
        </w:numPr>
        <w:tabs>
          <w:tab w:val="left" w:pos="1162"/>
        </w:tabs>
        <w:ind w:left="1434" w:hanging="357"/>
        <w:rPr>
          <w:rFonts w:cs="Arial"/>
          <w:szCs w:val="20"/>
        </w:rPr>
      </w:pPr>
      <w:r>
        <w:rPr>
          <w:rFonts w:cs="Arial"/>
          <w:szCs w:val="20"/>
        </w:rPr>
        <w:t>Group C:</w:t>
      </w:r>
      <w:r w:rsidR="00B3571F">
        <w:rPr>
          <w:rFonts w:cs="Arial"/>
          <w:szCs w:val="20"/>
        </w:rPr>
        <w:t xml:space="preserve"> </w:t>
      </w:r>
      <w:r>
        <w:rPr>
          <w:rFonts w:cs="Arial"/>
          <w:szCs w:val="20"/>
        </w:rPr>
        <w:t>460 – 659.9 NWAU</w:t>
      </w:r>
    </w:p>
    <w:p w:rsidR="008D4C15" w:rsidRDefault="008D4C15" w:rsidP="009B622C">
      <w:pPr>
        <w:pStyle w:val="ListParagraph"/>
        <w:numPr>
          <w:ilvl w:val="1"/>
          <w:numId w:val="59"/>
        </w:numPr>
        <w:tabs>
          <w:tab w:val="left" w:pos="1162"/>
        </w:tabs>
        <w:ind w:left="1434" w:hanging="357"/>
        <w:rPr>
          <w:rFonts w:cs="Arial"/>
          <w:szCs w:val="20"/>
        </w:rPr>
      </w:pPr>
      <w:r>
        <w:rPr>
          <w:rFonts w:cs="Arial"/>
          <w:szCs w:val="20"/>
        </w:rPr>
        <w:t>Group D:</w:t>
      </w:r>
      <w:r w:rsidR="00B3571F">
        <w:rPr>
          <w:rFonts w:cs="Arial"/>
          <w:szCs w:val="20"/>
        </w:rPr>
        <w:t xml:space="preserve"> </w:t>
      </w:r>
      <w:r>
        <w:rPr>
          <w:rFonts w:cs="Arial"/>
          <w:szCs w:val="20"/>
        </w:rPr>
        <w:t>660 – 1049.9 NWAU</w:t>
      </w:r>
    </w:p>
    <w:p w:rsidR="008D4C15" w:rsidRDefault="008D4C15" w:rsidP="009B622C">
      <w:pPr>
        <w:pStyle w:val="ListParagraph"/>
        <w:numPr>
          <w:ilvl w:val="1"/>
          <w:numId w:val="59"/>
        </w:numPr>
        <w:tabs>
          <w:tab w:val="left" w:pos="1162"/>
        </w:tabs>
        <w:ind w:left="1434" w:hanging="357"/>
        <w:rPr>
          <w:rFonts w:cs="Arial"/>
          <w:szCs w:val="20"/>
        </w:rPr>
      </w:pPr>
      <w:r>
        <w:rPr>
          <w:rFonts w:cs="Arial"/>
          <w:szCs w:val="20"/>
        </w:rPr>
        <w:t>Group E:</w:t>
      </w:r>
      <w:r w:rsidR="00B3571F">
        <w:rPr>
          <w:rFonts w:cs="Arial"/>
          <w:szCs w:val="20"/>
        </w:rPr>
        <w:t xml:space="preserve"> </w:t>
      </w:r>
      <w:r>
        <w:rPr>
          <w:rFonts w:cs="Arial"/>
          <w:szCs w:val="20"/>
        </w:rPr>
        <w:t>1050 – 1699.9 NWAU</w:t>
      </w:r>
    </w:p>
    <w:p w:rsidR="008D4C15" w:rsidRDefault="008D4C15" w:rsidP="009B622C">
      <w:pPr>
        <w:pStyle w:val="ListParagraph"/>
        <w:numPr>
          <w:ilvl w:val="1"/>
          <w:numId w:val="59"/>
        </w:numPr>
        <w:tabs>
          <w:tab w:val="left" w:pos="1162"/>
        </w:tabs>
        <w:ind w:left="1434" w:hanging="357"/>
        <w:rPr>
          <w:rFonts w:cs="Arial"/>
          <w:szCs w:val="20"/>
        </w:rPr>
      </w:pPr>
      <w:r>
        <w:rPr>
          <w:rFonts w:cs="Arial"/>
          <w:szCs w:val="20"/>
        </w:rPr>
        <w:t>Group F:</w:t>
      </w:r>
      <w:r w:rsidR="00B3571F">
        <w:rPr>
          <w:rFonts w:cs="Arial"/>
          <w:szCs w:val="20"/>
        </w:rPr>
        <w:t xml:space="preserve"> </w:t>
      </w:r>
      <w:r>
        <w:rPr>
          <w:rFonts w:cs="Arial"/>
          <w:szCs w:val="20"/>
        </w:rPr>
        <w:t>1070 – 2499.9 NWAU</w:t>
      </w:r>
    </w:p>
    <w:p w:rsidR="008D4C15" w:rsidRDefault="008D4C15" w:rsidP="009B622C">
      <w:pPr>
        <w:pStyle w:val="ListParagraph"/>
        <w:numPr>
          <w:ilvl w:val="1"/>
          <w:numId w:val="59"/>
        </w:numPr>
        <w:tabs>
          <w:tab w:val="left" w:pos="1162"/>
        </w:tabs>
        <w:ind w:left="1434" w:hanging="357"/>
        <w:rPr>
          <w:rFonts w:cs="Arial"/>
          <w:szCs w:val="20"/>
        </w:rPr>
      </w:pPr>
      <w:r>
        <w:rPr>
          <w:rFonts w:cs="Arial"/>
          <w:szCs w:val="20"/>
        </w:rPr>
        <w:t>Group G:</w:t>
      </w:r>
      <w:r w:rsidR="00B3571F">
        <w:rPr>
          <w:rFonts w:cs="Arial"/>
          <w:szCs w:val="20"/>
        </w:rPr>
        <w:t xml:space="preserve"> </w:t>
      </w:r>
      <w:r>
        <w:rPr>
          <w:rFonts w:cs="Arial"/>
          <w:szCs w:val="20"/>
        </w:rPr>
        <w:t>2500 – 3500</w:t>
      </w:r>
      <w:r w:rsidR="00B3571F">
        <w:rPr>
          <w:rFonts w:cs="Arial"/>
          <w:szCs w:val="20"/>
        </w:rPr>
        <w:t>.0</w:t>
      </w:r>
      <w:r>
        <w:rPr>
          <w:rFonts w:cs="Arial"/>
          <w:szCs w:val="20"/>
        </w:rPr>
        <w:t xml:space="preserve">  NWAU</w:t>
      </w:r>
    </w:p>
    <w:p w:rsidR="00255A3C" w:rsidRDefault="00D954B7" w:rsidP="009B622C">
      <w:pPr>
        <w:pStyle w:val="ListParagraph"/>
        <w:numPr>
          <w:ilvl w:val="0"/>
          <w:numId w:val="59"/>
        </w:numPr>
        <w:tabs>
          <w:tab w:val="left" w:pos="1162"/>
        </w:tabs>
        <w:spacing w:before="120"/>
        <w:ind w:left="714" w:hanging="357"/>
        <w:rPr>
          <w:rFonts w:cs="Arial"/>
          <w:szCs w:val="20"/>
        </w:rPr>
      </w:pPr>
      <w:r>
        <w:rPr>
          <w:rFonts w:cs="Arial"/>
          <w:szCs w:val="20"/>
        </w:rPr>
        <w:t>Two locality groups</w:t>
      </w:r>
      <w:r w:rsidR="00255A3C">
        <w:rPr>
          <w:rFonts w:cs="Arial"/>
          <w:szCs w:val="20"/>
        </w:rPr>
        <w:t>:</w:t>
      </w:r>
    </w:p>
    <w:p w:rsidR="00255A3C" w:rsidRDefault="008D4C15" w:rsidP="009B622C">
      <w:pPr>
        <w:pStyle w:val="ListParagraph"/>
        <w:numPr>
          <w:ilvl w:val="1"/>
          <w:numId w:val="59"/>
        </w:numPr>
        <w:tabs>
          <w:tab w:val="left" w:pos="1162"/>
        </w:tabs>
        <w:ind w:left="1434" w:hanging="357"/>
        <w:rPr>
          <w:rFonts w:cs="Arial"/>
          <w:szCs w:val="20"/>
        </w:rPr>
      </w:pPr>
      <w:r>
        <w:rPr>
          <w:rFonts w:cs="Arial"/>
          <w:szCs w:val="20"/>
        </w:rPr>
        <w:t>Region</w:t>
      </w:r>
      <w:r w:rsidRPr="007C7689">
        <w:rPr>
          <w:rFonts w:cs="Arial"/>
          <w:szCs w:val="20"/>
        </w:rPr>
        <w:t xml:space="preserve"> </w:t>
      </w:r>
      <w:r w:rsidR="007C7689" w:rsidRPr="007C7689">
        <w:rPr>
          <w:rFonts w:cs="Arial"/>
          <w:szCs w:val="20"/>
        </w:rPr>
        <w:t>1: inner regiona</w:t>
      </w:r>
      <w:r w:rsidR="00255A3C">
        <w:rPr>
          <w:rFonts w:cs="Arial"/>
          <w:szCs w:val="20"/>
        </w:rPr>
        <w:t>l, outer regional, remote</w:t>
      </w:r>
    </w:p>
    <w:p w:rsidR="007C7689" w:rsidRPr="007C7689" w:rsidRDefault="008D4C15" w:rsidP="00C245E0">
      <w:pPr>
        <w:pStyle w:val="ListParagraph"/>
        <w:numPr>
          <w:ilvl w:val="1"/>
          <w:numId w:val="59"/>
        </w:numPr>
        <w:tabs>
          <w:tab w:val="left" w:pos="1162"/>
        </w:tabs>
        <w:spacing w:after="0"/>
        <w:ind w:left="1434" w:hanging="357"/>
        <w:rPr>
          <w:rFonts w:cs="Arial"/>
          <w:szCs w:val="20"/>
        </w:rPr>
      </w:pPr>
      <w:r>
        <w:rPr>
          <w:rFonts w:cs="Arial"/>
          <w:szCs w:val="20"/>
        </w:rPr>
        <w:t>Region</w:t>
      </w:r>
      <w:r w:rsidR="00255A3C">
        <w:rPr>
          <w:rFonts w:cs="Arial"/>
          <w:szCs w:val="20"/>
        </w:rPr>
        <w:t xml:space="preserve"> 2: very remote. </w:t>
      </w:r>
    </w:p>
    <w:p w:rsidR="00255A3C" w:rsidRDefault="00D954B7" w:rsidP="009B622C">
      <w:pPr>
        <w:pStyle w:val="ListParagraph"/>
        <w:numPr>
          <w:ilvl w:val="0"/>
          <w:numId w:val="59"/>
        </w:numPr>
        <w:tabs>
          <w:tab w:val="left" w:pos="1162"/>
        </w:tabs>
        <w:spacing w:before="240"/>
        <w:rPr>
          <w:rFonts w:cs="Arial"/>
          <w:szCs w:val="20"/>
        </w:rPr>
      </w:pPr>
      <w:r>
        <w:rPr>
          <w:rFonts w:cs="Arial"/>
          <w:szCs w:val="20"/>
        </w:rPr>
        <w:t>Three hospital type groups</w:t>
      </w:r>
      <w:r w:rsidR="00255A3C">
        <w:rPr>
          <w:rFonts w:cs="Arial"/>
          <w:szCs w:val="20"/>
        </w:rPr>
        <w:t>:</w:t>
      </w:r>
    </w:p>
    <w:p w:rsidR="008D4C15" w:rsidRDefault="007C7689" w:rsidP="008D4C15">
      <w:pPr>
        <w:pStyle w:val="ListParagraph"/>
        <w:numPr>
          <w:ilvl w:val="1"/>
          <w:numId w:val="59"/>
        </w:numPr>
        <w:tabs>
          <w:tab w:val="left" w:pos="1162"/>
        </w:tabs>
        <w:spacing w:after="0"/>
        <w:ind w:left="1434" w:hanging="357"/>
        <w:rPr>
          <w:rFonts w:cs="Arial"/>
          <w:szCs w:val="20"/>
        </w:rPr>
      </w:pPr>
      <w:r w:rsidRPr="007C7689">
        <w:rPr>
          <w:rFonts w:cs="Arial"/>
          <w:szCs w:val="20"/>
        </w:rPr>
        <w:t xml:space="preserve">Type </w:t>
      </w:r>
      <w:r w:rsidR="00255A3C">
        <w:rPr>
          <w:rFonts w:cs="Arial"/>
          <w:szCs w:val="20"/>
        </w:rPr>
        <w:t xml:space="preserve">A: </w:t>
      </w:r>
      <w:r w:rsidR="008D4C15">
        <w:rPr>
          <w:rFonts w:cs="Arial"/>
          <w:szCs w:val="20"/>
        </w:rPr>
        <w:t>hospitals with more than 30 NWAUs of either surgical or obstetric episodes.</w:t>
      </w:r>
    </w:p>
    <w:p w:rsidR="008D4C15" w:rsidRDefault="00024012" w:rsidP="0070055C">
      <w:pPr>
        <w:pStyle w:val="ListParagraph"/>
        <w:numPr>
          <w:ilvl w:val="1"/>
          <w:numId w:val="59"/>
        </w:numPr>
        <w:tabs>
          <w:tab w:val="left" w:pos="1162"/>
        </w:tabs>
        <w:spacing w:before="120" w:after="0"/>
        <w:ind w:left="1434" w:hanging="357"/>
        <w:rPr>
          <w:rFonts w:cs="Arial"/>
          <w:szCs w:val="20"/>
        </w:rPr>
      </w:pPr>
      <w:r w:rsidRPr="00C46AF8">
        <w:rPr>
          <w:rFonts w:cs="Arial"/>
          <w:szCs w:val="20"/>
        </w:rPr>
        <w:t>Type B</w:t>
      </w:r>
      <w:r w:rsidR="007C7689" w:rsidRPr="00A24E5A">
        <w:rPr>
          <w:rFonts w:cs="Arial"/>
          <w:szCs w:val="20"/>
        </w:rPr>
        <w:t xml:space="preserve">: </w:t>
      </w:r>
      <w:r w:rsidR="008D4C15">
        <w:rPr>
          <w:rFonts w:cs="Arial"/>
          <w:szCs w:val="20"/>
        </w:rPr>
        <w:t xml:space="preserve">hospitals not in Type A that have more than </w:t>
      </w:r>
      <w:r w:rsidR="00C46EB2">
        <w:rPr>
          <w:rFonts w:cs="Arial"/>
          <w:szCs w:val="20"/>
        </w:rPr>
        <w:t>40</w:t>
      </w:r>
      <w:r w:rsidR="004156FF">
        <w:rPr>
          <w:rFonts w:cs="Arial"/>
          <w:szCs w:val="20"/>
        </w:rPr>
        <w:t xml:space="preserve"> per cent</w:t>
      </w:r>
      <w:r w:rsidR="008D4C15">
        <w:rPr>
          <w:rFonts w:cs="Arial"/>
          <w:szCs w:val="20"/>
        </w:rPr>
        <w:t xml:space="preserve"> of their total NWAU as admitted activity</w:t>
      </w:r>
      <w:r w:rsidR="00D14FC2">
        <w:rPr>
          <w:rFonts w:cs="Arial"/>
          <w:szCs w:val="20"/>
        </w:rPr>
        <w:t xml:space="preserve">. </w:t>
      </w:r>
    </w:p>
    <w:p w:rsidR="007C7689" w:rsidRPr="00267717" w:rsidRDefault="00024012" w:rsidP="009B622C">
      <w:pPr>
        <w:pStyle w:val="ListParagraph"/>
        <w:numPr>
          <w:ilvl w:val="1"/>
          <w:numId w:val="59"/>
        </w:numPr>
        <w:tabs>
          <w:tab w:val="left" w:pos="1162"/>
        </w:tabs>
        <w:spacing w:before="120"/>
        <w:ind w:left="1434" w:hanging="357"/>
        <w:rPr>
          <w:rFonts w:cs="Arial"/>
          <w:szCs w:val="20"/>
        </w:rPr>
      </w:pPr>
      <w:r w:rsidRPr="00267717">
        <w:rPr>
          <w:rFonts w:cs="Arial"/>
          <w:szCs w:val="20"/>
        </w:rPr>
        <w:t>Type C</w:t>
      </w:r>
      <w:r w:rsidR="00255A3C" w:rsidRPr="00600132">
        <w:rPr>
          <w:rFonts w:cs="Arial"/>
          <w:szCs w:val="20"/>
        </w:rPr>
        <w:t xml:space="preserve">: </w:t>
      </w:r>
      <w:r w:rsidR="008D4C15">
        <w:rPr>
          <w:rFonts w:cs="Arial"/>
          <w:szCs w:val="20"/>
        </w:rPr>
        <w:t>Other hospitals in Region 1 but not in Types A or B</w:t>
      </w:r>
      <w:r w:rsidR="00255A3C" w:rsidRPr="00A24E5A">
        <w:rPr>
          <w:rFonts w:cs="Arial"/>
          <w:szCs w:val="20"/>
        </w:rPr>
        <w:t xml:space="preserve">. </w:t>
      </w:r>
    </w:p>
    <w:p w:rsidR="007C7689" w:rsidRPr="007C7689" w:rsidRDefault="007C7689" w:rsidP="00C245E0">
      <w:pPr>
        <w:pStyle w:val="ListParagraph"/>
        <w:numPr>
          <w:ilvl w:val="0"/>
          <w:numId w:val="59"/>
        </w:numPr>
        <w:tabs>
          <w:tab w:val="left" w:pos="1162"/>
        </w:tabs>
        <w:spacing w:before="120"/>
        <w:ind w:left="714" w:hanging="357"/>
        <w:rPr>
          <w:rFonts w:cs="Arial"/>
          <w:szCs w:val="20"/>
        </w:rPr>
      </w:pPr>
      <w:r w:rsidRPr="007C7689">
        <w:rPr>
          <w:rFonts w:cs="Arial"/>
          <w:szCs w:val="20"/>
        </w:rPr>
        <w:t xml:space="preserve">Using regression analysis to determine the cost weights. </w:t>
      </w:r>
    </w:p>
    <w:p w:rsidR="00460371" w:rsidRDefault="00460371" w:rsidP="00174700">
      <w:pPr>
        <w:pStyle w:val="Heading2"/>
        <w:keepLines w:val="0"/>
        <w:numPr>
          <w:ilvl w:val="1"/>
          <w:numId w:val="73"/>
        </w:numPr>
        <w:tabs>
          <w:tab w:val="left" w:pos="1162"/>
        </w:tabs>
        <w:spacing w:after="60"/>
      </w:pPr>
      <w:bookmarkStart w:id="414" w:name="_Toc380754767"/>
      <w:bookmarkStart w:id="415" w:name="_Toc444528649"/>
      <w:r>
        <w:t>Analysis of costs</w:t>
      </w:r>
      <w:bookmarkEnd w:id="414"/>
      <w:bookmarkEnd w:id="415"/>
      <w:r>
        <w:t xml:space="preserve"> </w:t>
      </w:r>
    </w:p>
    <w:p w:rsidR="00460371" w:rsidRDefault="00460371" w:rsidP="00174700">
      <w:pPr>
        <w:pStyle w:val="Heading3"/>
        <w:keepLines w:val="0"/>
        <w:numPr>
          <w:ilvl w:val="2"/>
          <w:numId w:val="73"/>
        </w:numPr>
        <w:spacing w:before="240" w:after="120"/>
      </w:pPr>
      <w:bookmarkStart w:id="416" w:name="_Ref373492455"/>
      <w:bookmarkStart w:id="417" w:name="_Ref373492460"/>
      <w:bookmarkStart w:id="418" w:name="_Toc380754768"/>
      <w:bookmarkStart w:id="419" w:name="_Toc444528650"/>
      <w:r>
        <w:t>Data preparation</w:t>
      </w:r>
      <w:bookmarkEnd w:id="416"/>
      <w:bookmarkEnd w:id="417"/>
      <w:bookmarkEnd w:id="418"/>
      <w:bookmarkEnd w:id="419"/>
    </w:p>
    <w:p w:rsidR="00460371" w:rsidRPr="001F6FD3" w:rsidRDefault="00024012" w:rsidP="00AD4FFC">
      <w:pPr>
        <w:tabs>
          <w:tab w:val="left" w:pos="1162"/>
        </w:tabs>
        <w:rPr>
          <w:rFonts w:cs="Arial"/>
          <w:szCs w:val="20"/>
        </w:rPr>
      </w:pPr>
      <w:r>
        <w:rPr>
          <w:rFonts w:cs="Arial"/>
          <w:szCs w:val="20"/>
        </w:rPr>
        <w:t xml:space="preserve">The </w:t>
      </w:r>
      <w:r w:rsidR="00460371" w:rsidRPr="001F6FD3">
        <w:rPr>
          <w:rFonts w:cs="Arial"/>
          <w:szCs w:val="20"/>
        </w:rPr>
        <w:t xml:space="preserve">approach underpinning IHPA’s data preparation process for </w:t>
      </w:r>
      <w:r w:rsidR="00C32D1A">
        <w:rPr>
          <w:rFonts w:cs="Arial"/>
          <w:szCs w:val="20"/>
        </w:rPr>
        <w:t xml:space="preserve">NEC16 </w:t>
      </w:r>
      <w:r w:rsidR="0095259F">
        <w:rPr>
          <w:rFonts w:cs="Arial"/>
          <w:szCs w:val="20"/>
        </w:rPr>
        <w:t>is broad</w:t>
      </w:r>
      <w:r>
        <w:rPr>
          <w:rFonts w:cs="Arial"/>
          <w:szCs w:val="20"/>
        </w:rPr>
        <w:t xml:space="preserve">ly the same as that used for </w:t>
      </w:r>
      <w:r w:rsidR="00C32D1A">
        <w:rPr>
          <w:rFonts w:cs="Arial"/>
          <w:szCs w:val="20"/>
        </w:rPr>
        <w:t>NEC15</w:t>
      </w:r>
      <w:r w:rsidR="00460371" w:rsidRPr="001F6FD3">
        <w:rPr>
          <w:rFonts w:cs="Arial"/>
          <w:szCs w:val="20"/>
        </w:rPr>
        <w:t xml:space="preserve">, </w:t>
      </w:r>
      <w:r w:rsidR="0095259F">
        <w:rPr>
          <w:rFonts w:cs="Arial"/>
          <w:szCs w:val="20"/>
        </w:rPr>
        <w:t>and</w:t>
      </w:r>
      <w:r w:rsidR="00460371" w:rsidRPr="001F6FD3">
        <w:rPr>
          <w:rFonts w:cs="Arial"/>
          <w:szCs w:val="20"/>
        </w:rPr>
        <w:t xml:space="preserve"> involves:</w:t>
      </w:r>
    </w:p>
    <w:p w:rsidR="00460371" w:rsidRPr="001F6FD3" w:rsidRDefault="000F7CC7" w:rsidP="00C245E0">
      <w:pPr>
        <w:pStyle w:val="ListParagraph"/>
        <w:numPr>
          <w:ilvl w:val="0"/>
          <w:numId w:val="58"/>
        </w:numPr>
        <w:tabs>
          <w:tab w:val="left" w:pos="1162"/>
        </w:tabs>
        <w:rPr>
          <w:rFonts w:cs="Arial"/>
          <w:szCs w:val="20"/>
        </w:rPr>
      </w:pPr>
      <w:r>
        <w:rPr>
          <w:rFonts w:cs="Arial"/>
          <w:szCs w:val="20"/>
        </w:rPr>
        <w:t>E</w:t>
      </w:r>
      <w:r w:rsidR="00460371" w:rsidRPr="001F6FD3">
        <w:rPr>
          <w:rFonts w:cs="Arial"/>
          <w:szCs w:val="20"/>
        </w:rPr>
        <w:t>xtrac</w:t>
      </w:r>
      <w:r w:rsidR="00024012">
        <w:rPr>
          <w:rFonts w:cs="Arial"/>
          <w:szCs w:val="20"/>
        </w:rPr>
        <w:t>tion of activity data from</w:t>
      </w:r>
      <w:r>
        <w:rPr>
          <w:rFonts w:cs="Arial"/>
          <w:szCs w:val="20"/>
        </w:rPr>
        <w:t xml:space="preserve"> the</w:t>
      </w:r>
      <w:r w:rsidR="00024012">
        <w:rPr>
          <w:rFonts w:cs="Arial"/>
          <w:szCs w:val="20"/>
        </w:rPr>
        <w:t xml:space="preserve"> </w:t>
      </w:r>
      <w:r w:rsidR="00460371" w:rsidRPr="001F6FD3">
        <w:rPr>
          <w:rFonts w:cs="Arial"/>
          <w:szCs w:val="20"/>
        </w:rPr>
        <w:t xml:space="preserve">IHPA ABF DSS and </w:t>
      </w:r>
      <w:r w:rsidR="0095259F" w:rsidRPr="001F6FD3">
        <w:rPr>
          <w:rFonts w:cs="Arial"/>
          <w:szCs w:val="20"/>
        </w:rPr>
        <w:t>N</w:t>
      </w:r>
      <w:r w:rsidR="0095259F">
        <w:rPr>
          <w:rFonts w:cs="Arial"/>
          <w:szCs w:val="20"/>
        </w:rPr>
        <w:t>PH</w:t>
      </w:r>
      <w:r w:rsidR="0095259F" w:rsidRPr="001F6FD3">
        <w:rPr>
          <w:rFonts w:cs="Arial"/>
          <w:szCs w:val="20"/>
        </w:rPr>
        <w:t xml:space="preserve">ED </w:t>
      </w:r>
      <w:r w:rsidR="00460371" w:rsidRPr="001F6FD3">
        <w:rPr>
          <w:rFonts w:cs="Arial"/>
          <w:szCs w:val="20"/>
        </w:rPr>
        <w:t xml:space="preserve">for each </w:t>
      </w:r>
      <w:r w:rsidR="00460371">
        <w:rPr>
          <w:rFonts w:cs="Arial"/>
          <w:szCs w:val="20"/>
        </w:rPr>
        <w:t>b</w:t>
      </w:r>
      <w:r w:rsidR="00460371" w:rsidRPr="001F6FD3">
        <w:rPr>
          <w:rFonts w:cs="Arial"/>
          <w:szCs w:val="20"/>
        </w:rPr>
        <w:t xml:space="preserve">lock funded hospital and conversion of that data into </w:t>
      </w:r>
      <w:r w:rsidR="00460371">
        <w:rPr>
          <w:rFonts w:cs="Arial"/>
          <w:szCs w:val="20"/>
        </w:rPr>
        <w:t>in-scope</w:t>
      </w:r>
      <w:r>
        <w:rPr>
          <w:rFonts w:cs="Arial"/>
          <w:szCs w:val="20"/>
        </w:rPr>
        <w:t xml:space="preserve"> NWAUs. </w:t>
      </w:r>
    </w:p>
    <w:p w:rsidR="00460371" w:rsidRPr="001F6FD3" w:rsidRDefault="000F7CC7" w:rsidP="00C245E0">
      <w:pPr>
        <w:pStyle w:val="ListParagraph"/>
        <w:numPr>
          <w:ilvl w:val="0"/>
          <w:numId w:val="58"/>
        </w:numPr>
        <w:tabs>
          <w:tab w:val="left" w:pos="1162"/>
        </w:tabs>
        <w:ind w:left="714" w:hanging="357"/>
        <w:rPr>
          <w:rFonts w:cs="Arial"/>
          <w:szCs w:val="20"/>
        </w:rPr>
      </w:pPr>
      <w:r>
        <w:rPr>
          <w:rFonts w:cs="Arial"/>
          <w:szCs w:val="20"/>
        </w:rPr>
        <w:t>E</w:t>
      </w:r>
      <w:r w:rsidR="00460371" w:rsidRPr="001F6FD3">
        <w:rPr>
          <w:rFonts w:cs="Arial"/>
          <w:szCs w:val="20"/>
        </w:rPr>
        <w:t xml:space="preserve">xtraction of patient and aggregate establishment cost data from the NHCDC and aggregate establishment expenditure data from </w:t>
      </w:r>
      <w:r>
        <w:rPr>
          <w:rFonts w:cs="Arial"/>
          <w:szCs w:val="20"/>
        </w:rPr>
        <w:t xml:space="preserve">NPHED. </w:t>
      </w:r>
    </w:p>
    <w:p w:rsidR="00460371" w:rsidRDefault="00FE101E" w:rsidP="00C245E0">
      <w:pPr>
        <w:pStyle w:val="ListParagraph"/>
        <w:numPr>
          <w:ilvl w:val="0"/>
          <w:numId w:val="58"/>
        </w:numPr>
        <w:tabs>
          <w:tab w:val="left" w:pos="1162"/>
        </w:tabs>
        <w:ind w:left="714" w:hanging="357"/>
        <w:rPr>
          <w:rFonts w:cs="Arial"/>
          <w:szCs w:val="20"/>
        </w:rPr>
      </w:pPr>
      <w:r>
        <w:rPr>
          <w:rFonts w:cs="Arial"/>
          <w:szCs w:val="20"/>
        </w:rPr>
        <w:t xml:space="preserve">Adoption of the </w:t>
      </w:r>
      <w:r w:rsidR="00460371" w:rsidRPr="001F6FD3">
        <w:rPr>
          <w:rFonts w:cs="Arial"/>
          <w:szCs w:val="20"/>
        </w:rPr>
        <w:t>total in-scope expenditure</w:t>
      </w:r>
      <w:r>
        <w:rPr>
          <w:rFonts w:cs="Arial"/>
          <w:szCs w:val="20"/>
        </w:rPr>
        <w:t xml:space="preserve"> proportions from NEC15 by establishment to determine the total in-scope expenditure for NEC16.</w:t>
      </w:r>
    </w:p>
    <w:p w:rsidR="00460371" w:rsidRPr="001F6FD3" w:rsidRDefault="00460371" w:rsidP="00AD4FFC">
      <w:pPr>
        <w:tabs>
          <w:tab w:val="left" w:pos="1162"/>
        </w:tabs>
        <w:rPr>
          <w:rFonts w:cs="Arial"/>
          <w:szCs w:val="20"/>
        </w:rPr>
      </w:pPr>
      <w:r w:rsidRPr="001F6FD3">
        <w:rPr>
          <w:rFonts w:cs="Arial"/>
          <w:szCs w:val="20"/>
        </w:rPr>
        <w:t xml:space="preserve">The establishment data required to populate the </w:t>
      </w:r>
      <w:r w:rsidR="00C32D1A">
        <w:rPr>
          <w:rFonts w:cs="Arial"/>
          <w:szCs w:val="20"/>
        </w:rPr>
        <w:t>2013-14</w:t>
      </w:r>
      <w:r w:rsidRPr="001F6FD3">
        <w:rPr>
          <w:rFonts w:cs="Arial"/>
          <w:szCs w:val="20"/>
        </w:rPr>
        <w:t xml:space="preserve"> cost model table are:</w:t>
      </w:r>
    </w:p>
    <w:p w:rsidR="00460371" w:rsidRPr="001F6FD3" w:rsidRDefault="00460371" w:rsidP="00C245E0">
      <w:pPr>
        <w:pStyle w:val="ListParagraph"/>
        <w:numPr>
          <w:ilvl w:val="0"/>
          <w:numId w:val="37"/>
        </w:numPr>
        <w:tabs>
          <w:tab w:val="left" w:pos="1162"/>
        </w:tabs>
        <w:ind w:left="714" w:hanging="357"/>
        <w:rPr>
          <w:rFonts w:cs="Arial"/>
          <w:szCs w:val="20"/>
        </w:rPr>
      </w:pPr>
      <w:r w:rsidRPr="001F6FD3">
        <w:rPr>
          <w:rFonts w:cs="Arial"/>
          <w:szCs w:val="20"/>
        </w:rPr>
        <w:t xml:space="preserve">Latest 3-year average of </w:t>
      </w:r>
      <w:r w:rsidR="001C6800">
        <w:rPr>
          <w:rFonts w:cs="Arial"/>
          <w:szCs w:val="20"/>
        </w:rPr>
        <w:t>admitted acute</w:t>
      </w:r>
      <w:r w:rsidR="00024012">
        <w:rPr>
          <w:rFonts w:cs="Arial"/>
          <w:szCs w:val="20"/>
        </w:rPr>
        <w:t xml:space="preserve"> and </w:t>
      </w:r>
      <w:r w:rsidRPr="001F6FD3">
        <w:rPr>
          <w:rFonts w:cs="Arial"/>
          <w:szCs w:val="20"/>
        </w:rPr>
        <w:t xml:space="preserve">total </w:t>
      </w:r>
      <w:r>
        <w:rPr>
          <w:rFonts w:cs="Arial"/>
          <w:szCs w:val="20"/>
        </w:rPr>
        <w:t>in-scope</w:t>
      </w:r>
      <w:r w:rsidR="000F7CC7">
        <w:rPr>
          <w:rFonts w:cs="Arial"/>
          <w:szCs w:val="20"/>
        </w:rPr>
        <w:t xml:space="preserve"> NWAU per annum (</w:t>
      </w:r>
      <w:r w:rsidR="00C32D1A">
        <w:rPr>
          <w:rFonts w:cs="Arial"/>
          <w:szCs w:val="20"/>
        </w:rPr>
        <w:t>2011-12</w:t>
      </w:r>
      <w:r w:rsidRPr="001F6FD3">
        <w:rPr>
          <w:rFonts w:cs="Arial"/>
          <w:szCs w:val="20"/>
        </w:rPr>
        <w:t xml:space="preserve"> to </w:t>
      </w:r>
      <w:r w:rsidR="00C32D1A">
        <w:rPr>
          <w:rFonts w:cs="Arial"/>
          <w:szCs w:val="20"/>
        </w:rPr>
        <w:t>2013-14</w:t>
      </w:r>
      <w:r w:rsidR="000F7CC7">
        <w:rPr>
          <w:rFonts w:cs="Arial"/>
          <w:szCs w:val="20"/>
        </w:rPr>
        <w:t>)</w:t>
      </w:r>
      <w:r w:rsidR="000176B1">
        <w:rPr>
          <w:rFonts w:cs="Arial"/>
          <w:szCs w:val="20"/>
        </w:rPr>
        <w:t>.</w:t>
      </w:r>
      <w:r w:rsidRPr="001F6FD3">
        <w:rPr>
          <w:rFonts w:cs="Arial"/>
          <w:szCs w:val="20"/>
        </w:rPr>
        <w:t xml:space="preserve"> </w:t>
      </w:r>
    </w:p>
    <w:p w:rsidR="00460371" w:rsidRDefault="00460371" w:rsidP="00C245E0">
      <w:pPr>
        <w:pStyle w:val="ListParagraph"/>
        <w:numPr>
          <w:ilvl w:val="0"/>
          <w:numId w:val="37"/>
        </w:numPr>
        <w:tabs>
          <w:tab w:val="left" w:pos="1162"/>
        </w:tabs>
        <w:ind w:left="714" w:hanging="357"/>
        <w:rPr>
          <w:rFonts w:cs="Arial"/>
          <w:szCs w:val="20"/>
        </w:rPr>
      </w:pPr>
      <w:r w:rsidRPr="001F6FD3">
        <w:rPr>
          <w:rFonts w:cs="Arial"/>
          <w:szCs w:val="20"/>
        </w:rPr>
        <w:t xml:space="preserve">Total </w:t>
      </w:r>
      <w:r>
        <w:rPr>
          <w:rFonts w:cs="Arial"/>
          <w:szCs w:val="20"/>
        </w:rPr>
        <w:t>in-scope</w:t>
      </w:r>
      <w:r w:rsidRPr="001F6FD3">
        <w:rPr>
          <w:rFonts w:cs="Arial"/>
          <w:szCs w:val="20"/>
        </w:rPr>
        <w:t xml:space="preserve"> establishment expenditure in </w:t>
      </w:r>
      <w:r w:rsidR="00C32D1A">
        <w:rPr>
          <w:rFonts w:cs="Arial"/>
          <w:szCs w:val="20"/>
        </w:rPr>
        <w:t>2013-14</w:t>
      </w:r>
      <w:r w:rsidR="000F7CC7">
        <w:rPr>
          <w:rFonts w:cs="Arial"/>
          <w:szCs w:val="20"/>
        </w:rPr>
        <w:t>.</w:t>
      </w:r>
    </w:p>
    <w:p w:rsidR="0095259F" w:rsidRPr="001F6FD3" w:rsidRDefault="00024012" w:rsidP="00C245E0">
      <w:pPr>
        <w:pStyle w:val="ListParagraph"/>
        <w:numPr>
          <w:ilvl w:val="0"/>
          <w:numId w:val="37"/>
        </w:numPr>
        <w:tabs>
          <w:tab w:val="left" w:pos="1162"/>
        </w:tabs>
        <w:ind w:left="714" w:hanging="357"/>
        <w:rPr>
          <w:rFonts w:cs="Arial"/>
          <w:szCs w:val="20"/>
        </w:rPr>
      </w:pPr>
      <w:r w:rsidRPr="00024012">
        <w:rPr>
          <w:rFonts w:cs="Arial"/>
          <w:szCs w:val="20"/>
        </w:rPr>
        <w:t xml:space="preserve">Latest 3-year average NWAU assigned to surgical </w:t>
      </w:r>
      <w:r w:rsidR="00AE0449">
        <w:rPr>
          <w:rFonts w:cs="Arial"/>
          <w:szCs w:val="20"/>
        </w:rPr>
        <w:t xml:space="preserve">and </w:t>
      </w:r>
      <w:r w:rsidRPr="00024012">
        <w:rPr>
          <w:rFonts w:cs="Arial"/>
          <w:szCs w:val="20"/>
        </w:rPr>
        <w:t>obstetric delivery DRGs</w:t>
      </w:r>
      <w:r w:rsidR="0095259F">
        <w:rPr>
          <w:rFonts w:cs="Arial"/>
          <w:szCs w:val="20"/>
        </w:rPr>
        <w:t xml:space="preserve">. </w:t>
      </w:r>
    </w:p>
    <w:p w:rsidR="00460371" w:rsidRPr="001F6FD3" w:rsidRDefault="00460371" w:rsidP="00AD4FFC">
      <w:pPr>
        <w:tabs>
          <w:tab w:val="left" w:pos="1162"/>
        </w:tabs>
        <w:rPr>
          <w:rFonts w:cs="Arial"/>
          <w:szCs w:val="20"/>
        </w:rPr>
      </w:pPr>
      <w:r w:rsidRPr="001F6FD3">
        <w:rPr>
          <w:rFonts w:cs="Arial"/>
          <w:szCs w:val="20"/>
        </w:rPr>
        <w:t xml:space="preserve">The first step is to check the eligibility of hospitals for block funding by ensuring that the latest </w:t>
      </w:r>
      <w:r w:rsidR="000A20CE">
        <w:rPr>
          <w:rFonts w:cs="Arial"/>
          <w:szCs w:val="20"/>
        </w:rPr>
        <w:t>three</w:t>
      </w:r>
      <w:r w:rsidRPr="001F6FD3">
        <w:rPr>
          <w:rFonts w:cs="Arial"/>
          <w:szCs w:val="20"/>
        </w:rPr>
        <w:t xml:space="preserve">-year average of </w:t>
      </w:r>
      <w:r w:rsidR="00C121BC">
        <w:rPr>
          <w:rFonts w:cs="Arial"/>
          <w:szCs w:val="20"/>
        </w:rPr>
        <w:t xml:space="preserve">total </w:t>
      </w:r>
      <w:r w:rsidRPr="001F6FD3">
        <w:rPr>
          <w:rFonts w:cs="Arial"/>
          <w:szCs w:val="20"/>
        </w:rPr>
        <w:t xml:space="preserve">NWAU is less than 3,500 NWAU per annum for rural hospitals and </w:t>
      </w:r>
      <w:r w:rsidR="000A20CE">
        <w:rPr>
          <w:rFonts w:cs="Arial"/>
          <w:szCs w:val="20"/>
        </w:rPr>
        <w:t xml:space="preserve">the </w:t>
      </w:r>
      <w:r w:rsidR="001C6800">
        <w:rPr>
          <w:rFonts w:cs="Arial"/>
          <w:szCs w:val="20"/>
        </w:rPr>
        <w:t>admitted acute</w:t>
      </w:r>
      <w:r w:rsidR="000A20CE">
        <w:rPr>
          <w:rFonts w:cs="Arial"/>
          <w:szCs w:val="20"/>
        </w:rPr>
        <w:t xml:space="preserve"> activity for city hospitals is less than</w:t>
      </w:r>
      <w:r w:rsidRPr="001F6FD3">
        <w:rPr>
          <w:rFonts w:cs="Arial"/>
          <w:szCs w:val="20"/>
        </w:rPr>
        <w:t xml:space="preserve"> 1800 NWAU per annum.</w:t>
      </w:r>
    </w:p>
    <w:p w:rsidR="00460371" w:rsidRDefault="00460371" w:rsidP="00AD4FFC">
      <w:pPr>
        <w:tabs>
          <w:tab w:val="left" w:pos="1162"/>
        </w:tabs>
        <w:rPr>
          <w:rFonts w:cs="Arial"/>
          <w:szCs w:val="20"/>
        </w:rPr>
      </w:pPr>
      <w:r w:rsidRPr="001F6FD3">
        <w:rPr>
          <w:rFonts w:cs="Arial"/>
          <w:szCs w:val="20"/>
        </w:rPr>
        <w:t xml:space="preserve">The NWAU activity measure is calculated first and then the best estimate of </w:t>
      </w:r>
      <w:r w:rsidR="00C059C2">
        <w:rPr>
          <w:rFonts w:cs="Arial"/>
          <w:szCs w:val="20"/>
        </w:rPr>
        <w:t>2013-14</w:t>
      </w:r>
      <w:r w:rsidRPr="001F6FD3">
        <w:rPr>
          <w:rFonts w:cs="Arial"/>
          <w:szCs w:val="20"/>
        </w:rPr>
        <w:t xml:space="preserve"> </w:t>
      </w:r>
      <w:r w:rsidR="002B0212">
        <w:rPr>
          <w:rFonts w:cs="Arial"/>
          <w:szCs w:val="20"/>
        </w:rPr>
        <w:br/>
      </w:r>
      <w:r>
        <w:rPr>
          <w:rFonts w:cs="Arial"/>
          <w:szCs w:val="20"/>
        </w:rPr>
        <w:t>in</w:t>
      </w:r>
      <w:r w:rsidR="002B0212">
        <w:rPr>
          <w:rFonts w:cs="Arial"/>
          <w:szCs w:val="20"/>
        </w:rPr>
        <w:t>-</w:t>
      </w:r>
      <w:r>
        <w:rPr>
          <w:rFonts w:cs="Arial"/>
          <w:szCs w:val="20"/>
        </w:rPr>
        <w:t>scope</w:t>
      </w:r>
      <w:r w:rsidRPr="001F6FD3">
        <w:rPr>
          <w:rFonts w:cs="Arial"/>
          <w:szCs w:val="20"/>
        </w:rPr>
        <w:t xml:space="preserve"> expenditure is derived</w:t>
      </w:r>
      <w:r>
        <w:rPr>
          <w:rFonts w:cs="Arial"/>
          <w:szCs w:val="20"/>
        </w:rPr>
        <w:t>,</w:t>
      </w:r>
      <w:r w:rsidRPr="001F6FD3">
        <w:rPr>
          <w:rFonts w:cs="Arial"/>
          <w:szCs w:val="20"/>
        </w:rPr>
        <w:t xml:space="preserve"> as set out below.</w:t>
      </w:r>
      <w:r>
        <w:rPr>
          <w:rFonts w:cs="Arial"/>
          <w:szCs w:val="20"/>
        </w:rPr>
        <w:t xml:space="preserve"> </w:t>
      </w:r>
      <w:r w:rsidR="002B0212">
        <w:rPr>
          <w:rFonts w:cs="Arial"/>
          <w:szCs w:val="20"/>
        </w:rPr>
        <w:t xml:space="preserve">A guide to the process used to prepare data for NEC16 is set out in </w:t>
      </w:r>
      <w:r w:rsidRPr="00F92BE4">
        <w:rPr>
          <w:rStyle w:val="Hyperlink"/>
          <w:b/>
        </w:rPr>
        <w:t xml:space="preserve">Attachment </w:t>
      </w:r>
      <w:r w:rsidR="00F46BD4">
        <w:rPr>
          <w:rStyle w:val="Hyperlink"/>
          <w:b/>
        </w:rPr>
        <w:t>D</w:t>
      </w:r>
      <w:r w:rsidRPr="00D61580">
        <w:rPr>
          <w:rFonts w:cs="Arial"/>
          <w:szCs w:val="20"/>
        </w:rPr>
        <w:t>.</w:t>
      </w:r>
    </w:p>
    <w:p w:rsidR="00460371" w:rsidRPr="00D50577" w:rsidRDefault="00460371" w:rsidP="00AD4FFC">
      <w:pPr>
        <w:pStyle w:val="Heading4"/>
      </w:pPr>
      <w:r w:rsidRPr="00D50577">
        <w:t>In-scope Activity</w:t>
      </w:r>
    </w:p>
    <w:p w:rsidR="00460371" w:rsidRPr="001F6FD3" w:rsidRDefault="00460371" w:rsidP="00F30AC0">
      <w:pPr>
        <w:pStyle w:val="Headingnonumber"/>
      </w:pPr>
      <w:r w:rsidRPr="001F6FD3">
        <w:t>Acute and subacute admitted NWAU</w:t>
      </w:r>
    </w:p>
    <w:p w:rsidR="00460371" w:rsidRPr="001F6FD3" w:rsidRDefault="00460371" w:rsidP="00AD4FFC">
      <w:pPr>
        <w:tabs>
          <w:tab w:val="left" w:pos="1162"/>
        </w:tabs>
        <w:rPr>
          <w:rFonts w:cs="Arial"/>
          <w:szCs w:val="20"/>
        </w:rPr>
      </w:pPr>
      <w:r w:rsidRPr="001F6FD3">
        <w:rPr>
          <w:rFonts w:cs="Arial"/>
          <w:szCs w:val="20"/>
        </w:rPr>
        <w:t xml:space="preserve">Patient-level admitted data is available for all but a few hospitals in the </w:t>
      </w:r>
      <w:r w:rsidR="009F697A">
        <w:rPr>
          <w:rFonts w:cs="Arial"/>
          <w:szCs w:val="20"/>
        </w:rPr>
        <w:t>APC NMDS</w:t>
      </w:r>
      <w:r w:rsidRPr="001F6FD3">
        <w:rPr>
          <w:rFonts w:cs="Arial"/>
          <w:szCs w:val="20"/>
        </w:rPr>
        <w:t>.</w:t>
      </w:r>
      <w:r>
        <w:rPr>
          <w:rFonts w:cs="Arial"/>
          <w:szCs w:val="20"/>
        </w:rPr>
        <w:t xml:space="preserve"> </w:t>
      </w:r>
    </w:p>
    <w:p w:rsidR="00460371" w:rsidRPr="001F6FD3" w:rsidRDefault="00460371" w:rsidP="00AD4FFC">
      <w:pPr>
        <w:tabs>
          <w:tab w:val="left" w:pos="1162"/>
        </w:tabs>
        <w:rPr>
          <w:rFonts w:cs="Arial"/>
          <w:szCs w:val="20"/>
        </w:rPr>
      </w:pPr>
      <w:r w:rsidRPr="001F6FD3">
        <w:rPr>
          <w:rFonts w:cs="Arial"/>
          <w:szCs w:val="20"/>
        </w:rPr>
        <w:t xml:space="preserve">The patient-level admitted data has been fed through the </w:t>
      </w:r>
      <w:r w:rsidR="00C059C2" w:rsidRPr="001F6FD3">
        <w:rPr>
          <w:rFonts w:cs="Arial"/>
          <w:szCs w:val="20"/>
        </w:rPr>
        <w:t>NEP</w:t>
      </w:r>
      <w:r w:rsidR="00C059C2">
        <w:rPr>
          <w:rFonts w:cs="Arial"/>
          <w:szCs w:val="20"/>
        </w:rPr>
        <w:t>15</w:t>
      </w:r>
      <w:r w:rsidR="00C059C2" w:rsidRPr="001F6FD3">
        <w:rPr>
          <w:rFonts w:cs="Arial"/>
          <w:szCs w:val="20"/>
        </w:rPr>
        <w:t xml:space="preserve"> </w:t>
      </w:r>
      <w:r w:rsidRPr="001F6FD3">
        <w:rPr>
          <w:rFonts w:cs="Arial"/>
          <w:szCs w:val="20"/>
        </w:rPr>
        <w:t xml:space="preserve">NWAU calculator to calculate the </w:t>
      </w:r>
      <w:r>
        <w:rPr>
          <w:rFonts w:cs="Arial"/>
          <w:szCs w:val="20"/>
        </w:rPr>
        <w:t>in-scope</w:t>
      </w:r>
      <w:r w:rsidRPr="001F6FD3">
        <w:rPr>
          <w:rFonts w:cs="Arial"/>
          <w:szCs w:val="20"/>
        </w:rPr>
        <w:t xml:space="preserve"> NWAU and public patient equivalent NWAU of all </w:t>
      </w:r>
      <w:r>
        <w:rPr>
          <w:rFonts w:cs="Arial"/>
          <w:szCs w:val="20"/>
        </w:rPr>
        <w:t>in-scope</w:t>
      </w:r>
      <w:r w:rsidRPr="001F6FD3">
        <w:rPr>
          <w:rFonts w:cs="Arial"/>
          <w:szCs w:val="20"/>
        </w:rPr>
        <w:t xml:space="preserve"> hospital activity</w:t>
      </w:r>
      <w:r w:rsidR="00104D8E">
        <w:rPr>
          <w:rFonts w:cs="Arial"/>
          <w:szCs w:val="20"/>
        </w:rPr>
        <w:t xml:space="preserve">. </w:t>
      </w:r>
      <w:r w:rsidR="00024012" w:rsidRPr="00024012">
        <w:rPr>
          <w:rFonts w:cs="Arial"/>
          <w:szCs w:val="20"/>
        </w:rPr>
        <w:t xml:space="preserve">A slightly modified version of the calculator is used for episodes with an admission date prior to 1 July </w:t>
      </w:r>
      <w:r w:rsidR="00C059C2" w:rsidRPr="00024012">
        <w:rPr>
          <w:rFonts w:cs="Arial"/>
          <w:szCs w:val="20"/>
        </w:rPr>
        <w:t>20</w:t>
      </w:r>
      <w:r w:rsidR="00C059C2">
        <w:rPr>
          <w:rFonts w:cs="Arial"/>
          <w:szCs w:val="20"/>
        </w:rPr>
        <w:t>13</w:t>
      </w:r>
      <w:r w:rsidR="00C059C2" w:rsidRPr="00024012">
        <w:rPr>
          <w:rFonts w:cs="Arial"/>
          <w:szCs w:val="20"/>
        </w:rPr>
        <w:t xml:space="preserve"> </w:t>
      </w:r>
      <w:r w:rsidR="00024012" w:rsidRPr="00024012">
        <w:rPr>
          <w:rFonts w:cs="Arial"/>
          <w:szCs w:val="20"/>
        </w:rPr>
        <w:t>in order to determine the NWAU associated to the portion of the episode</w:t>
      </w:r>
      <w:r w:rsidR="00024012">
        <w:rPr>
          <w:rFonts w:cs="Arial"/>
          <w:szCs w:val="20"/>
        </w:rPr>
        <w:t>s</w:t>
      </w:r>
      <w:r w:rsidR="00024012" w:rsidRPr="00024012">
        <w:rPr>
          <w:rFonts w:cs="Arial"/>
          <w:szCs w:val="20"/>
        </w:rPr>
        <w:t xml:space="preserve"> occurring in </w:t>
      </w:r>
      <w:r w:rsidR="00C059C2">
        <w:rPr>
          <w:rFonts w:cs="Arial"/>
          <w:szCs w:val="20"/>
        </w:rPr>
        <w:t>2013-14</w:t>
      </w:r>
      <w:r w:rsidR="00024012" w:rsidRPr="00024012">
        <w:rPr>
          <w:rFonts w:cs="Arial"/>
          <w:szCs w:val="20"/>
        </w:rPr>
        <w:t>.</w:t>
      </w:r>
    </w:p>
    <w:p w:rsidR="00460371" w:rsidRPr="001F6FD3" w:rsidRDefault="00460371" w:rsidP="00AD4FFC">
      <w:pPr>
        <w:tabs>
          <w:tab w:val="left" w:pos="1162"/>
        </w:tabs>
        <w:rPr>
          <w:rFonts w:cs="Arial"/>
          <w:szCs w:val="20"/>
        </w:rPr>
      </w:pPr>
      <w:r w:rsidRPr="001F6FD3">
        <w:rPr>
          <w:rFonts w:cs="Arial"/>
          <w:szCs w:val="20"/>
        </w:rPr>
        <w:t>For the few hospitals that do not supply patient level admitted data, the NWAU needs to be calculated from NPHED establishment level data.</w:t>
      </w:r>
      <w:r>
        <w:rPr>
          <w:rFonts w:cs="Arial"/>
          <w:szCs w:val="20"/>
        </w:rPr>
        <w:t xml:space="preserve"> </w:t>
      </w:r>
      <w:r w:rsidRPr="001F6FD3">
        <w:rPr>
          <w:rFonts w:cs="Arial"/>
          <w:szCs w:val="20"/>
        </w:rPr>
        <w:t>The only available information on admitted activity is the</w:t>
      </w:r>
      <w:r w:rsidR="00C269E5">
        <w:rPr>
          <w:rFonts w:cs="Arial"/>
          <w:szCs w:val="20"/>
        </w:rPr>
        <w:t xml:space="preserve"> </w:t>
      </w:r>
      <w:r w:rsidR="00A84C4C">
        <w:rPr>
          <w:rFonts w:cs="Arial"/>
          <w:szCs w:val="20"/>
        </w:rPr>
        <w:t>Admitted Patient Cost Proportion (APCP)</w:t>
      </w:r>
      <w:r w:rsidRPr="001F6FD3">
        <w:rPr>
          <w:rFonts w:cs="Arial"/>
          <w:szCs w:val="20"/>
        </w:rPr>
        <w:t xml:space="preserve"> which when multiplied by the total NPHED expenditure gives the estimated expenditure on admitted activity.</w:t>
      </w:r>
      <w:r>
        <w:rPr>
          <w:rFonts w:cs="Arial"/>
          <w:szCs w:val="20"/>
        </w:rPr>
        <w:t xml:space="preserve"> </w:t>
      </w:r>
      <w:r w:rsidRPr="001F6FD3">
        <w:rPr>
          <w:rFonts w:cs="Arial"/>
          <w:szCs w:val="20"/>
        </w:rPr>
        <w:t xml:space="preserve">The number of admitted NWAU is calculated by </w:t>
      </w:r>
      <w:r w:rsidR="00E9769E">
        <w:rPr>
          <w:rFonts w:cs="Arial"/>
          <w:szCs w:val="20"/>
        </w:rPr>
        <w:t>multiplying this amount by the a</w:t>
      </w:r>
      <w:r w:rsidRPr="001F6FD3">
        <w:rPr>
          <w:rFonts w:cs="Arial"/>
          <w:szCs w:val="20"/>
        </w:rPr>
        <w:t xml:space="preserve">cute multiplier of </w:t>
      </w:r>
      <w:r w:rsidR="00024012" w:rsidRPr="00024012">
        <w:rPr>
          <w:rFonts w:cs="Arial"/>
          <w:szCs w:val="20"/>
        </w:rPr>
        <w:t>0</w:t>
      </w:r>
      <w:r w:rsidR="00024012" w:rsidRPr="00A95C8E">
        <w:rPr>
          <w:rFonts w:cs="Arial"/>
          <w:szCs w:val="20"/>
        </w:rPr>
        <w:t>.</w:t>
      </w:r>
      <w:r w:rsidR="00CB541A" w:rsidRPr="00A95C8E">
        <w:rPr>
          <w:rFonts w:cs="Arial"/>
          <w:szCs w:val="20"/>
        </w:rPr>
        <w:t>0001</w:t>
      </w:r>
      <w:r w:rsidR="00CB541A">
        <w:rPr>
          <w:rFonts w:cs="Arial"/>
          <w:szCs w:val="20"/>
        </w:rPr>
        <w:t xml:space="preserve">76 </w:t>
      </w:r>
      <w:r w:rsidRPr="005550F1">
        <w:rPr>
          <w:rFonts w:cs="Arial"/>
          <w:szCs w:val="20"/>
        </w:rPr>
        <w:t>NWAU</w:t>
      </w:r>
      <w:r w:rsidRPr="001F6FD3">
        <w:rPr>
          <w:rFonts w:cs="Arial"/>
          <w:szCs w:val="20"/>
        </w:rPr>
        <w:t xml:space="preserve"> per </w:t>
      </w:r>
      <w:r>
        <w:rPr>
          <w:rFonts w:cs="Arial"/>
          <w:szCs w:val="20"/>
        </w:rPr>
        <w:t>in-scope</w:t>
      </w:r>
      <w:r w:rsidRPr="001F6FD3">
        <w:rPr>
          <w:rFonts w:cs="Arial"/>
          <w:szCs w:val="20"/>
        </w:rPr>
        <w:t xml:space="preserve"> admitted </w:t>
      </w:r>
      <w:r>
        <w:rPr>
          <w:rFonts w:cs="Arial"/>
          <w:szCs w:val="20"/>
        </w:rPr>
        <w:t>dollars</w:t>
      </w:r>
      <w:r w:rsidRPr="001F6FD3">
        <w:rPr>
          <w:rFonts w:cs="Arial"/>
          <w:szCs w:val="20"/>
        </w:rPr>
        <w:t>.</w:t>
      </w:r>
    </w:p>
    <w:p w:rsidR="00460371" w:rsidRPr="001F6FD3" w:rsidRDefault="00460371" w:rsidP="00AD4FFC">
      <w:pPr>
        <w:pStyle w:val="ListParagraph"/>
        <w:numPr>
          <w:ilvl w:val="0"/>
          <w:numId w:val="29"/>
        </w:numPr>
        <w:tabs>
          <w:tab w:val="left" w:pos="1162"/>
        </w:tabs>
        <w:spacing w:before="120"/>
        <w:rPr>
          <w:rFonts w:cs="Arial"/>
          <w:szCs w:val="20"/>
        </w:rPr>
      </w:pPr>
      <w:r w:rsidRPr="001F6FD3">
        <w:rPr>
          <w:rFonts w:cs="Arial"/>
          <w:szCs w:val="20"/>
        </w:rPr>
        <w:t xml:space="preserve">The acute multiplier is derived by the regression slope of </w:t>
      </w:r>
      <w:r w:rsidR="00024012">
        <w:rPr>
          <w:rFonts w:cs="Arial"/>
          <w:szCs w:val="20"/>
        </w:rPr>
        <w:t xml:space="preserve">a plot of NWAUs (using the </w:t>
      </w:r>
      <w:r w:rsidR="00C059C2">
        <w:rPr>
          <w:rFonts w:cs="Arial"/>
          <w:szCs w:val="20"/>
        </w:rPr>
        <w:t>NEP15</w:t>
      </w:r>
      <w:r w:rsidR="00C059C2" w:rsidRPr="001F6FD3">
        <w:rPr>
          <w:rFonts w:cs="Arial"/>
          <w:szCs w:val="20"/>
        </w:rPr>
        <w:t xml:space="preserve"> </w:t>
      </w:r>
      <w:r w:rsidRPr="001F6FD3">
        <w:rPr>
          <w:rFonts w:cs="Arial"/>
          <w:szCs w:val="20"/>
        </w:rPr>
        <w:t xml:space="preserve">NWAU calculator) versus </w:t>
      </w:r>
      <w:r w:rsidR="00A95C8E">
        <w:rPr>
          <w:rFonts w:cs="Arial"/>
          <w:szCs w:val="20"/>
        </w:rPr>
        <w:t>APCP</w:t>
      </w:r>
      <w:r w:rsidRPr="001F6FD3">
        <w:rPr>
          <w:rFonts w:cs="Arial"/>
          <w:szCs w:val="20"/>
        </w:rPr>
        <w:t xml:space="preserve"> </w:t>
      </w:r>
      <w:r>
        <w:rPr>
          <w:rFonts w:cs="Arial"/>
          <w:szCs w:val="20"/>
        </w:rPr>
        <w:t>dollar</w:t>
      </w:r>
      <w:r w:rsidRPr="001F6FD3">
        <w:rPr>
          <w:rFonts w:cs="Arial"/>
          <w:szCs w:val="20"/>
        </w:rPr>
        <w:t xml:space="preserve"> amount for </w:t>
      </w:r>
      <w:r w:rsidR="001A7406">
        <w:rPr>
          <w:rFonts w:cs="Arial"/>
          <w:szCs w:val="20"/>
        </w:rPr>
        <w:t xml:space="preserve">block funded </w:t>
      </w:r>
      <w:r w:rsidRPr="001F6FD3">
        <w:rPr>
          <w:rFonts w:cs="Arial"/>
          <w:szCs w:val="20"/>
        </w:rPr>
        <w:t xml:space="preserve">hospitals that have patient-level data. </w:t>
      </w:r>
    </w:p>
    <w:p w:rsidR="00597C96" w:rsidRDefault="00597C96" w:rsidP="00F30AC0">
      <w:pPr>
        <w:pStyle w:val="Headingnonumber"/>
      </w:pPr>
    </w:p>
    <w:p w:rsidR="00460371" w:rsidRPr="001F6FD3" w:rsidRDefault="00460371" w:rsidP="00501235">
      <w:pPr>
        <w:pStyle w:val="Headingnonumber"/>
      </w:pPr>
      <w:r w:rsidRPr="001F6FD3">
        <w:t xml:space="preserve">ED </w:t>
      </w:r>
      <w:r>
        <w:t>in-scope</w:t>
      </w:r>
      <w:r w:rsidRPr="001F6FD3">
        <w:t xml:space="preserve"> NWAU</w:t>
      </w:r>
    </w:p>
    <w:p w:rsidR="00F93F5E" w:rsidRDefault="001A7406" w:rsidP="00F93F5E">
      <w:pPr>
        <w:tabs>
          <w:tab w:val="left" w:pos="1162"/>
        </w:tabs>
        <w:rPr>
          <w:rFonts w:cs="Arial"/>
          <w:szCs w:val="20"/>
        </w:rPr>
      </w:pPr>
      <w:r w:rsidRPr="00A95C8E">
        <w:rPr>
          <w:rFonts w:cs="Arial"/>
          <w:szCs w:val="20"/>
        </w:rPr>
        <w:t>Less than one per</w:t>
      </w:r>
      <w:r>
        <w:rPr>
          <w:rFonts w:cs="Arial"/>
          <w:szCs w:val="20"/>
        </w:rPr>
        <w:t xml:space="preserve"> cent of block funded hospitals with ED activity reported at the patient level. Approximately </w:t>
      </w:r>
      <w:r w:rsidR="00A95C8E">
        <w:rPr>
          <w:rFonts w:cs="Arial"/>
          <w:szCs w:val="20"/>
        </w:rPr>
        <w:t xml:space="preserve">54 </w:t>
      </w:r>
      <w:r>
        <w:rPr>
          <w:rFonts w:cs="Arial"/>
          <w:szCs w:val="20"/>
        </w:rPr>
        <w:t xml:space="preserve">per cent report aggregate </w:t>
      </w:r>
      <w:r w:rsidR="00F93F5E">
        <w:rPr>
          <w:rFonts w:cs="Arial"/>
          <w:szCs w:val="20"/>
        </w:rPr>
        <w:t>presentation</w:t>
      </w:r>
      <w:r w:rsidR="00F93F5E" w:rsidRPr="001F6FD3">
        <w:rPr>
          <w:rFonts w:cs="Arial"/>
          <w:szCs w:val="20"/>
        </w:rPr>
        <w:t xml:space="preserve"> information at the </w:t>
      </w:r>
      <w:r w:rsidR="00F93F5E">
        <w:rPr>
          <w:rFonts w:cs="Arial"/>
          <w:szCs w:val="20"/>
        </w:rPr>
        <w:t>UDG</w:t>
      </w:r>
      <w:r w:rsidR="00F93F5E" w:rsidRPr="001F6FD3">
        <w:rPr>
          <w:rFonts w:cs="Arial"/>
          <w:szCs w:val="20"/>
        </w:rPr>
        <w:t xml:space="preserve"> level and where available, these data are used to determine NWAU values utilising the </w:t>
      </w:r>
      <w:r w:rsidR="00C059C2" w:rsidRPr="001F6FD3">
        <w:rPr>
          <w:rFonts w:cs="Arial"/>
          <w:szCs w:val="20"/>
        </w:rPr>
        <w:t>NEP</w:t>
      </w:r>
      <w:r w:rsidR="00C059C2">
        <w:rPr>
          <w:rFonts w:cs="Arial"/>
          <w:szCs w:val="20"/>
        </w:rPr>
        <w:t>15</w:t>
      </w:r>
      <w:r w:rsidR="00C059C2" w:rsidRPr="001F6FD3">
        <w:rPr>
          <w:rFonts w:cs="Arial"/>
          <w:szCs w:val="20"/>
        </w:rPr>
        <w:t xml:space="preserve"> </w:t>
      </w:r>
      <w:r w:rsidR="00F93F5E" w:rsidRPr="001F6FD3">
        <w:rPr>
          <w:rFonts w:cs="Arial"/>
          <w:szCs w:val="20"/>
        </w:rPr>
        <w:t>price weights.</w:t>
      </w:r>
    </w:p>
    <w:p w:rsidR="00460371" w:rsidRPr="001F6FD3" w:rsidRDefault="00460371" w:rsidP="00AD4FFC">
      <w:pPr>
        <w:tabs>
          <w:tab w:val="left" w:pos="1162"/>
        </w:tabs>
        <w:rPr>
          <w:rFonts w:cs="Arial"/>
          <w:szCs w:val="20"/>
        </w:rPr>
      </w:pPr>
      <w:r w:rsidRPr="001F6FD3">
        <w:rPr>
          <w:rFonts w:cs="Arial"/>
          <w:szCs w:val="20"/>
        </w:rPr>
        <w:t xml:space="preserve">Where ED data is not available </w:t>
      </w:r>
      <w:r w:rsidR="008073EB">
        <w:rPr>
          <w:rFonts w:cs="Arial"/>
          <w:szCs w:val="20"/>
        </w:rPr>
        <w:t xml:space="preserve">from the IHPA datasets </w:t>
      </w:r>
      <w:r w:rsidRPr="001F6FD3">
        <w:rPr>
          <w:rFonts w:cs="Arial"/>
          <w:szCs w:val="20"/>
        </w:rPr>
        <w:t>for a particular hospital, the establishment level count of ED presentations is extracted from the NPHED.</w:t>
      </w:r>
      <w:r>
        <w:rPr>
          <w:rFonts w:cs="Arial"/>
          <w:szCs w:val="20"/>
        </w:rPr>
        <w:t xml:space="preserve"> </w:t>
      </w:r>
      <w:r w:rsidRPr="001F6FD3">
        <w:rPr>
          <w:rFonts w:cs="Arial"/>
          <w:szCs w:val="20"/>
        </w:rPr>
        <w:t xml:space="preserve">The NWAU for a particular hospital is calculated by multiplying the count of ED presentations by the ED multiplier of </w:t>
      </w:r>
      <w:r w:rsidR="00024012" w:rsidRPr="00A95C8E">
        <w:rPr>
          <w:rFonts w:cs="Arial"/>
          <w:szCs w:val="20"/>
        </w:rPr>
        <w:t>0.</w:t>
      </w:r>
      <w:r w:rsidR="00CB541A" w:rsidRPr="00A95C8E">
        <w:rPr>
          <w:rFonts w:cs="Arial"/>
          <w:szCs w:val="20"/>
        </w:rPr>
        <w:t>09</w:t>
      </w:r>
      <w:r w:rsidR="00CB541A">
        <w:rPr>
          <w:rFonts w:cs="Arial"/>
          <w:szCs w:val="20"/>
        </w:rPr>
        <w:t>46</w:t>
      </w:r>
      <w:r w:rsidR="00CB541A" w:rsidRPr="001F6FD3">
        <w:rPr>
          <w:rFonts w:cs="Arial"/>
          <w:szCs w:val="20"/>
        </w:rPr>
        <w:t xml:space="preserve"> </w:t>
      </w:r>
      <w:r w:rsidRPr="001F6FD3">
        <w:rPr>
          <w:rFonts w:cs="Arial"/>
          <w:szCs w:val="20"/>
        </w:rPr>
        <w:t>NWAU per NPHED ED presentation.</w:t>
      </w:r>
    </w:p>
    <w:p w:rsidR="00460371" w:rsidRPr="00606C27" w:rsidRDefault="00460371" w:rsidP="00606C27">
      <w:pPr>
        <w:tabs>
          <w:tab w:val="left" w:pos="1162"/>
        </w:tabs>
        <w:spacing w:before="120"/>
        <w:rPr>
          <w:rFonts w:cs="Arial"/>
          <w:szCs w:val="20"/>
        </w:rPr>
      </w:pPr>
      <w:r w:rsidRPr="00606C27">
        <w:rPr>
          <w:rFonts w:cs="Arial"/>
          <w:szCs w:val="20"/>
        </w:rPr>
        <w:t xml:space="preserve">The ED multiplier is derived by the regression slope of a plot of NWAUs (using the </w:t>
      </w:r>
      <w:r w:rsidR="00C059C2" w:rsidRPr="00606C27">
        <w:rPr>
          <w:rFonts w:cs="Arial"/>
          <w:szCs w:val="20"/>
        </w:rPr>
        <w:t>NEP</w:t>
      </w:r>
      <w:r w:rsidR="00C059C2">
        <w:rPr>
          <w:rFonts w:cs="Arial"/>
          <w:szCs w:val="20"/>
        </w:rPr>
        <w:t>15</w:t>
      </w:r>
      <w:r w:rsidR="00C059C2" w:rsidRPr="00606C27">
        <w:rPr>
          <w:rFonts w:cs="Arial"/>
          <w:szCs w:val="20"/>
        </w:rPr>
        <w:t xml:space="preserve"> </w:t>
      </w:r>
      <w:r w:rsidRPr="00606C27">
        <w:rPr>
          <w:rFonts w:cs="Arial"/>
          <w:szCs w:val="20"/>
        </w:rPr>
        <w:t xml:space="preserve">NWAU calculator) versus NPHED ED presentation for all those many hospitals that have patient-level </w:t>
      </w:r>
      <w:r w:rsidR="00F93F5E" w:rsidRPr="00606C27">
        <w:rPr>
          <w:rFonts w:cs="Arial"/>
          <w:szCs w:val="20"/>
        </w:rPr>
        <w:t xml:space="preserve">or UDG-level </w:t>
      </w:r>
      <w:r w:rsidRPr="00606C27">
        <w:rPr>
          <w:rFonts w:cs="Arial"/>
          <w:szCs w:val="20"/>
        </w:rPr>
        <w:t xml:space="preserve">data. </w:t>
      </w:r>
    </w:p>
    <w:p w:rsidR="008073EB" w:rsidRPr="00CB6EB9" w:rsidRDefault="008073EB" w:rsidP="00606C27">
      <w:pPr>
        <w:tabs>
          <w:tab w:val="left" w:pos="1162"/>
        </w:tabs>
        <w:spacing w:before="120"/>
        <w:rPr>
          <w:rFonts w:cs="Arial"/>
          <w:szCs w:val="20"/>
        </w:rPr>
      </w:pPr>
      <w:r w:rsidRPr="008073EB">
        <w:rPr>
          <w:rFonts w:cs="Arial"/>
          <w:szCs w:val="20"/>
        </w:rPr>
        <w:t>The ED multiplier can be calculated with a high-level of statistical confidence because the sample size still comprises about half the total number of block funded hospitals.</w:t>
      </w:r>
    </w:p>
    <w:p w:rsidR="00460371" w:rsidRPr="00A75588" w:rsidRDefault="00460371" w:rsidP="00F30AC0">
      <w:pPr>
        <w:pStyle w:val="Headingnonumber"/>
      </w:pPr>
      <w:r w:rsidRPr="00A75588">
        <w:t>Non-admitted in-scope NWAU</w:t>
      </w:r>
    </w:p>
    <w:p w:rsidR="008073EB" w:rsidRPr="001F6FD3" w:rsidRDefault="008073EB" w:rsidP="008073EB">
      <w:pPr>
        <w:tabs>
          <w:tab w:val="left" w:pos="1162"/>
        </w:tabs>
        <w:rPr>
          <w:rFonts w:cs="Arial"/>
          <w:szCs w:val="20"/>
        </w:rPr>
      </w:pPr>
      <w:r>
        <w:rPr>
          <w:rFonts w:cs="Arial"/>
          <w:szCs w:val="20"/>
        </w:rPr>
        <w:t xml:space="preserve">About </w:t>
      </w:r>
      <w:r w:rsidR="00A95C8E">
        <w:rPr>
          <w:rFonts w:cs="Arial"/>
          <w:szCs w:val="20"/>
        </w:rPr>
        <w:t xml:space="preserve">13 </w:t>
      </w:r>
      <w:r>
        <w:rPr>
          <w:rFonts w:cs="Arial"/>
          <w:szCs w:val="20"/>
        </w:rPr>
        <w:t xml:space="preserve">per cent of block funded hospitals with non-admitted activity reported at the patient level. About </w:t>
      </w:r>
      <w:r w:rsidR="00A95C8E">
        <w:rPr>
          <w:rFonts w:cs="Arial"/>
          <w:szCs w:val="20"/>
        </w:rPr>
        <w:t xml:space="preserve">66 </w:t>
      </w:r>
      <w:r>
        <w:rPr>
          <w:rFonts w:cs="Arial"/>
          <w:szCs w:val="20"/>
        </w:rPr>
        <w:t>per cent report aggregate</w:t>
      </w:r>
      <w:r w:rsidRPr="001F6FD3">
        <w:rPr>
          <w:rFonts w:cs="Arial"/>
          <w:szCs w:val="20"/>
        </w:rPr>
        <w:t xml:space="preserve"> service event information at the clinic level and where available, these data are used to determine NWAU values utilising the </w:t>
      </w:r>
      <w:r w:rsidR="00D91222" w:rsidRPr="001F6FD3">
        <w:rPr>
          <w:rFonts w:cs="Arial"/>
          <w:szCs w:val="20"/>
        </w:rPr>
        <w:t>NEP</w:t>
      </w:r>
      <w:r w:rsidR="00D91222">
        <w:rPr>
          <w:rFonts w:cs="Arial"/>
          <w:szCs w:val="20"/>
        </w:rPr>
        <w:t>15</w:t>
      </w:r>
      <w:r w:rsidR="00D91222" w:rsidRPr="001F6FD3">
        <w:rPr>
          <w:rFonts w:cs="Arial"/>
          <w:szCs w:val="20"/>
        </w:rPr>
        <w:t xml:space="preserve"> </w:t>
      </w:r>
      <w:r w:rsidRPr="001F6FD3">
        <w:rPr>
          <w:rFonts w:cs="Arial"/>
          <w:szCs w:val="20"/>
        </w:rPr>
        <w:t>price weights.</w:t>
      </w:r>
    </w:p>
    <w:p w:rsidR="00460371" w:rsidRPr="001F6FD3" w:rsidRDefault="00460371" w:rsidP="00AD4FFC">
      <w:pPr>
        <w:tabs>
          <w:tab w:val="left" w:pos="1162"/>
        </w:tabs>
        <w:rPr>
          <w:rFonts w:cs="Arial"/>
          <w:szCs w:val="20"/>
        </w:rPr>
      </w:pPr>
      <w:r w:rsidRPr="001F6FD3">
        <w:rPr>
          <w:rFonts w:cs="Arial"/>
          <w:szCs w:val="20"/>
        </w:rPr>
        <w:t xml:space="preserve">Where non-admitted data is not available </w:t>
      </w:r>
      <w:r w:rsidR="008073EB">
        <w:rPr>
          <w:rFonts w:cs="Arial"/>
          <w:szCs w:val="20"/>
        </w:rPr>
        <w:t xml:space="preserve">from the IHPA datasets </w:t>
      </w:r>
      <w:r w:rsidRPr="001F6FD3">
        <w:rPr>
          <w:rFonts w:cs="Arial"/>
          <w:szCs w:val="20"/>
        </w:rPr>
        <w:t>for a particular hospital, the establishment level counts of non-admitted occasions of service are extracted from the NPHED.</w:t>
      </w:r>
      <w:r>
        <w:rPr>
          <w:rFonts w:cs="Arial"/>
          <w:szCs w:val="20"/>
        </w:rPr>
        <w:t xml:space="preserve"> </w:t>
      </w:r>
      <w:r w:rsidRPr="001F6FD3">
        <w:rPr>
          <w:rFonts w:cs="Arial"/>
          <w:szCs w:val="20"/>
        </w:rPr>
        <w:t xml:space="preserve">The NWAU for a particular hospital is calculated by multiplying the count of non-admitted occasions of service by the non-admitted multiplier </w:t>
      </w:r>
      <w:r w:rsidRPr="00A95C8E">
        <w:rPr>
          <w:rFonts w:cs="Arial"/>
          <w:szCs w:val="20"/>
        </w:rPr>
        <w:t xml:space="preserve">of </w:t>
      </w:r>
      <w:r w:rsidR="00024012" w:rsidRPr="00A95C8E">
        <w:rPr>
          <w:rFonts w:cs="Arial"/>
          <w:szCs w:val="20"/>
        </w:rPr>
        <w:t>0.</w:t>
      </w:r>
      <w:r w:rsidR="00A95C8E" w:rsidRPr="00A95C8E">
        <w:rPr>
          <w:rFonts w:cs="Arial"/>
          <w:szCs w:val="20"/>
        </w:rPr>
        <w:t>0</w:t>
      </w:r>
      <w:r w:rsidR="00A95C8E">
        <w:rPr>
          <w:rFonts w:cs="Arial"/>
          <w:szCs w:val="20"/>
        </w:rPr>
        <w:t>16</w:t>
      </w:r>
      <w:r w:rsidR="00A95C8E" w:rsidRPr="001F6FD3">
        <w:rPr>
          <w:rFonts w:cs="Arial"/>
          <w:szCs w:val="20"/>
        </w:rPr>
        <w:t xml:space="preserve"> </w:t>
      </w:r>
      <w:r w:rsidRPr="001F6FD3">
        <w:rPr>
          <w:rFonts w:cs="Arial"/>
          <w:szCs w:val="20"/>
        </w:rPr>
        <w:t>NWAU per NPHED non-admitted occasion of service.</w:t>
      </w:r>
    </w:p>
    <w:p w:rsidR="00460371" w:rsidRPr="00606C27" w:rsidRDefault="00460371" w:rsidP="00606C27">
      <w:pPr>
        <w:tabs>
          <w:tab w:val="left" w:pos="1162"/>
        </w:tabs>
        <w:spacing w:before="120"/>
        <w:rPr>
          <w:rFonts w:cs="Arial"/>
          <w:szCs w:val="20"/>
        </w:rPr>
      </w:pPr>
      <w:r w:rsidRPr="00606C27">
        <w:rPr>
          <w:rFonts w:cs="Arial"/>
          <w:szCs w:val="20"/>
        </w:rPr>
        <w:t xml:space="preserve">The non-admitted multiplier is derived by the regression slope of a plot of NWAUs (using the </w:t>
      </w:r>
      <w:r w:rsidR="00D91222" w:rsidRPr="00606C27">
        <w:rPr>
          <w:rFonts w:cs="Arial"/>
          <w:szCs w:val="20"/>
        </w:rPr>
        <w:t>NEP</w:t>
      </w:r>
      <w:r w:rsidR="00D91222">
        <w:rPr>
          <w:rFonts w:cs="Arial"/>
          <w:szCs w:val="20"/>
        </w:rPr>
        <w:t>15</w:t>
      </w:r>
      <w:r w:rsidR="00D91222" w:rsidRPr="00606C27">
        <w:rPr>
          <w:rFonts w:cs="Arial"/>
          <w:szCs w:val="20"/>
        </w:rPr>
        <w:t xml:space="preserve"> </w:t>
      </w:r>
      <w:r w:rsidRPr="00606C27">
        <w:rPr>
          <w:rFonts w:cs="Arial"/>
          <w:szCs w:val="20"/>
        </w:rPr>
        <w:t xml:space="preserve">NWAU calculator) versus NPHED non-admitted occasions of service for those hospitals (about half the total) that have </w:t>
      </w:r>
      <w:r w:rsidR="00F93F5E" w:rsidRPr="00606C27">
        <w:rPr>
          <w:rFonts w:cs="Arial"/>
          <w:szCs w:val="20"/>
        </w:rPr>
        <w:t xml:space="preserve">patient-level or </w:t>
      </w:r>
      <w:r w:rsidRPr="00606C27">
        <w:rPr>
          <w:rFonts w:cs="Arial"/>
          <w:szCs w:val="20"/>
        </w:rPr>
        <w:t xml:space="preserve">clinic-level data. </w:t>
      </w:r>
    </w:p>
    <w:p w:rsidR="00460371" w:rsidRPr="00443081" w:rsidRDefault="00460371" w:rsidP="00AD4FFC">
      <w:pPr>
        <w:pStyle w:val="Heading4"/>
        <w:rPr>
          <w:rFonts w:cs="Arial"/>
          <w:b w:val="0"/>
          <w:i w:val="0"/>
          <w:szCs w:val="20"/>
        </w:rPr>
      </w:pPr>
      <w:r w:rsidRPr="00AE53A9">
        <w:t>In-scope Expenditure</w:t>
      </w:r>
    </w:p>
    <w:p w:rsidR="00460371" w:rsidRPr="00F647CF" w:rsidRDefault="00460371" w:rsidP="00AD4FFC">
      <w:pPr>
        <w:tabs>
          <w:tab w:val="left" w:pos="1162"/>
        </w:tabs>
        <w:rPr>
          <w:rFonts w:cs="Arial"/>
          <w:szCs w:val="20"/>
        </w:rPr>
      </w:pPr>
      <w:r w:rsidRPr="00F647CF">
        <w:rPr>
          <w:rFonts w:cs="Arial"/>
          <w:szCs w:val="20"/>
        </w:rPr>
        <w:t>Depreciation is excluded from both the NHCDC and NPHED reports of expenditure.</w:t>
      </w:r>
    </w:p>
    <w:p w:rsidR="00460371" w:rsidRDefault="00460371" w:rsidP="00AD4FFC">
      <w:pPr>
        <w:tabs>
          <w:tab w:val="left" w:pos="1162"/>
        </w:tabs>
        <w:rPr>
          <w:rFonts w:cs="Arial"/>
          <w:szCs w:val="20"/>
        </w:rPr>
      </w:pPr>
      <w:r>
        <w:rPr>
          <w:rFonts w:cs="Arial"/>
          <w:szCs w:val="20"/>
        </w:rPr>
        <w:t>Multipurpose Services (</w:t>
      </w:r>
      <w:r w:rsidRPr="00F647CF">
        <w:rPr>
          <w:rFonts w:cs="Arial"/>
          <w:szCs w:val="20"/>
        </w:rPr>
        <w:t>MPS</w:t>
      </w:r>
      <w:r>
        <w:rPr>
          <w:rFonts w:cs="Arial"/>
          <w:szCs w:val="20"/>
        </w:rPr>
        <w:t>)</w:t>
      </w:r>
      <w:r w:rsidRPr="00F647CF">
        <w:rPr>
          <w:rFonts w:cs="Arial"/>
          <w:szCs w:val="20"/>
        </w:rPr>
        <w:t xml:space="preserve"> expenditure is excluded from the NPHED total expenditure except where the jurisdictions have advised that MPS amounts were already excluded in the NPHED reported expenditure.</w:t>
      </w:r>
    </w:p>
    <w:p w:rsidR="00CB541A" w:rsidRDefault="00CB541A" w:rsidP="00AD4FFC">
      <w:pPr>
        <w:tabs>
          <w:tab w:val="left" w:pos="1162"/>
        </w:tabs>
        <w:rPr>
          <w:rFonts w:cs="Arial"/>
          <w:szCs w:val="20"/>
        </w:rPr>
      </w:pPr>
      <w:r>
        <w:rPr>
          <w:rFonts w:cs="Arial"/>
          <w:szCs w:val="20"/>
        </w:rPr>
        <w:t xml:space="preserve">The proportion of in-scope expenditure adopted in NEC15 by establishment is used to determine the in-scope expenditure by establishment for NEC16.  This proportion is applied by establishment to total expenditure, net of depreciation costs and MPS expenditure.  </w:t>
      </w:r>
    </w:p>
    <w:p w:rsidR="00460371" w:rsidRDefault="00460371" w:rsidP="009B622C">
      <w:pPr>
        <w:pStyle w:val="Heading3"/>
        <w:keepLines w:val="0"/>
        <w:numPr>
          <w:ilvl w:val="2"/>
          <w:numId w:val="73"/>
        </w:numPr>
        <w:tabs>
          <w:tab w:val="left" w:pos="1162"/>
        </w:tabs>
        <w:spacing w:before="240" w:after="120"/>
      </w:pPr>
      <w:bookmarkStart w:id="420" w:name="_Toc412123656"/>
      <w:bookmarkStart w:id="421" w:name="_Toc412191164"/>
      <w:bookmarkStart w:id="422" w:name="_Toc412193599"/>
      <w:bookmarkStart w:id="423" w:name="_Toc412193701"/>
      <w:bookmarkStart w:id="424" w:name="_Toc412196595"/>
      <w:bookmarkStart w:id="425" w:name="_Toc412196698"/>
      <w:bookmarkStart w:id="426" w:name="_Toc412196801"/>
      <w:bookmarkStart w:id="427" w:name="_Toc412197101"/>
      <w:bookmarkStart w:id="428" w:name="_Toc412198125"/>
      <w:bookmarkStart w:id="429" w:name="_Toc412204654"/>
      <w:bookmarkStart w:id="430" w:name="_Toc412206046"/>
      <w:bookmarkStart w:id="431" w:name="_Toc412206632"/>
      <w:bookmarkStart w:id="432" w:name="_Toc412206757"/>
      <w:bookmarkStart w:id="433" w:name="_Toc412206859"/>
      <w:bookmarkStart w:id="434" w:name="_Toc412206959"/>
      <w:bookmarkStart w:id="435" w:name="_Toc412207168"/>
      <w:bookmarkStart w:id="436" w:name="_Toc412207431"/>
      <w:bookmarkStart w:id="437" w:name="_Toc412123657"/>
      <w:bookmarkStart w:id="438" w:name="_Toc412191165"/>
      <w:bookmarkStart w:id="439" w:name="_Toc412193600"/>
      <w:bookmarkStart w:id="440" w:name="_Toc412193702"/>
      <w:bookmarkStart w:id="441" w:name="_Toc412196596"/>
      <w:bookmarkStart w:id="442" w:name="_Toc412196699"/>
      <w:bookmarkStart w:id="443" w:name="_Toc412196802"/>
      <w:bookmarkStart w:id="444" w:name="_Toc412197102"/>
      <w:bookmarkStart w:id="445" w:name="_Toc412198126"/>
      <w:bookmarkStart w:id="446" w:name="_Toc412204655"/>
      <w:bookmarkStart w:id="447" w:name="_Toc412206047"/>
      <w:bookmarkStart w:id="448" w:name="_Toc412206633"/>
      <w:bookmarkStart w:id="449" w:name="_Toc412206758"/>
      <w:bookmarkStart w:id="450" w:name="_Toc412206860"/>
      <w:bookmarkStart w:id="451" w:name="_Toc412206960"/>
      <w:bookmarkStart w:id="452" w:name="_Toc412207169"/>
      <w:bookmarkStart w:id="453" w:name="_Toc412207432"/>
      <w:bookmarkStart w:id="454" w:name="_Ref373479482"/>
      <w:bookmarkStart w:id="455" w:name="_Toc380754769"/>
      <w:bookmarkStart w:id="456" w:name="_Toc444528651"/>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t>Calculation of cost parameters</w:t>
      </w:r>
      <w:bookmarkEnd w:id="454"/>
      <w:bookmarkEnd w:id="455"/>
      <w:bookmarkEnd w:id="456"/>
    </w:p>
    <w:p w:rsidR="00460371" w:rsidRDefault="00460371" w:rsidP="00AD4FFC">
      <w:pPr>
        <w:tabs>
          <w:tab w:val="left" w:pos="1162"/>
        </w:tabs>
        <w:rPr>
          <w:rFonts w:cs="Arial"/>
          <w:szCs w:val="20"/>
        </w:rPr>
      </w:pPr>
      <w:r>
        <w:rPr>
          <w:rFonts w:cs="Arial"/>
          <w:szCs w:val="20"/>
        </w:rPr>
        <w:t xml:space="preserve">The placement of a hospital in a group is based on the average total NWAU over the three years from </w:t>
      </w:r>
      <w:r w:rsidR="009B6838">
        <w:rPr>
          <w:rFonts w:cs="Arial"/>
          <w:szCs w:val="20"/>
        </w:rPr>
        <w:t>2011-12</w:t>
      </w:r>
      <w:r>
        <w:rPr>
          <w:rFonts w:cs="Arial"/>
          <w:szCs w:val="20"/>
        </w:rPr>
        <w:t xml:space="preserve"> to </w:t>
      </w:r>
      <w:r w:rsidR="009B6838">
        <w:rPr>
          <w:rFonts w:cs="Arial"/>
          <w:szCs w:val="20"/>
        </w:rPr>
        <w:t>2013-14</w:t>
      </w:r>
      <w:r>
        <w:rPr>
          <w:rFonts w:cs="Arial"/>
          <w:szCs w:val="20"/>
        </w:rPr>
        <w:t xml:space="preserve">; namely, the sum of the NWAU for all </w:t>
      </w:r>
      <w:r w:rsidR="001C6800">
        <w:rPr>
          <w:rFonts w:cs="Arial"/>
          <w:szCs w:val="20"/>
        </w:rPr>
        <w:t>admitted acute</w:t>
      </w:r>
      <w:r>
        <w:rPr>
          <w:rFonts w:cs="Arial"/>
          <w:szCs w:val="20"/>
        </w:rPr>
        <w:t>, subacute, ED, and non-admitted in-scope hospital services.</w:t>
      </w:r>
    </w:p>
    <w:p w:rsidR="00460371" w:rsidRDefault="00460371" w:rsidP="00AD4FFC">
      <w:pPr>
        <w:tabs>
          <w:tab w:val="left" w:pos="1162"/>
        </w:tabs>
        <w:rPr>
          <w:rFonts w:cs="Arial"/>
          <w:szCs w:val="20"/>
        </w:rPr>
      </w:pPr>
      <w:r w:rsidRPr="001D52E1">
        <w:rPr>
          <w:rFonts w:cs="Arial"/>
          <w:szCs w:val="20"/>
        </w:rPr>
        <w:t xml:space="preserve">For </w:t>
      </w:r>
      <w:r w:rsidR="009B6838" w:rsidRPr="001D52E1">
        <w:rPr>
          <w:rFonts w:cs="Arial"/>
          <w:szCs w:val="20"/>
        </w:rPr>
        <w:t>NEC</w:t>
      </w:r>
      <w:r w:rsidR="009B6838">
        <w:rPr>
          <w:rFonts w:cs="Arial"/>
          <w:szCs w:val="20"/>
        </w:rPr>
        <w:t>16</w:t>
      </w:r>
      <w:r w:rsidRPr="001D52E1">
        <w:rPr>
          <w:rFonts w:cs="Arial"/>
          <w:szCs w:val="20"/>
        </w:rPr>
        <w:t xml:space="preserve">, </w:t>
      </w:r>
      <w:r w:rsidR="00BB29D0" w:rsidRPr="00BB29D0">
        <w:rPr>
          <w:rFonts w:cs="Arial"/>
          <w:szCs w:val="20"/>
        </w:rPr>
        <w:t>3</w:t>
      </w:r>
      <w:r w:rsidR="00BB29D0">
        <w:rPr>
          <w:rFonts w:cs="Arial"/>
          <w:szCs w:val="20"/>
        </w:rPr>
        <w:t>84</w:t>
      </w:r>
      <w:r w:rsidR="00BB29D0" w:rsidRPr="001D52E1">
        <w:rPr>
          <w:rFonts w:cs="Arial"/>
          <w:szCs w:val="20"/>
        </w:rPr>
        <w:t xml:space="preserve"> </w:t>
      </w:r>
      <w:r w:rsidRPr="001D52E1">
        <w:rPr>
          <w:rFonts w:cs="Arial"/>
          <w:szCs w:val="20"/>
        </w:rPr>
        <w:t>hospitals have been designated as block funded</w:t>
      </w:r>
      <w:r w:rsidR="00BB29D0">
        <w:rPr>
          <w:rFonts w:cs="Arial"/>
          <w:szCs w:val="20"/>
        </w:rPr>
        <w:t xml:space="preserve"> and</w:t>
      </w:r>
      <w:r w:rsidRPr="001D52E1">
        <w:rPr>
          <w:rFonts w:cs="Arial"/>
          <w:szCs w:val="20"/>
        </w:rPr>
        <w:t xml:space="preserve"> have been grouped by size</w:t>
      </w:r>
      <w:r w:rsidR="001D52E1">
        <w:rPr>
          <w:rFonts w:cs="Arial"/>
          <w:szCs w:val="20"/>
        </w:rPr>
        <w:t>, type</w:t>
      </w:r>
      <w:r w:rsidRPr="001D52E1">
        <w:rPr>
          <w:rFonts w:cs="Arial"/>
          <w:szCs w:val="20"/>
        </w:rPr>
        <w:t xml:space="preserve"> and locality for the specification of availability and service capacity elements to determine </w:t>
      </w:r>
      <w:r w:rsidR="009B6838" w:rsidRPr="001D52E1">
        <w:rPr>
          <w:rFonts w:cs="Arial"/>
          <w:szCs w:val="20"/>
        </w:rPr>
        <w:t>NEC</w:t>
      </w:r>
      <w:r w:rsidR="009B6838">
        <w:rPr>
          <w:rFonts w:cs="Arial"/>
          <w:szCs w:val="20"/>
        </w:rPr>
        <w:t>1</w:t>
      </w:r>
      <w:r w:rsidR="00BB29D0">
        <w:rPr>
          <w:rFonts w:cs="Arial"/>
          <w:szCs w:val="20"/>
        </w:rPr>
        <w:t>6</w:t>
      </w:r>
      <w:r w:rsidRPr="001D52E1">
        <w:rPr>
          <w:rFonts w:cs="Arial"/>
          <w:szCs w:val="20"/>
        </w:rPr>
        <w:t>. T</w:t>
      </w:r>
      <w:r w:rsidR="00FF5841" w:rsidRPr="001D52E1">
        <w:rPr>
          <w:rFonts w:cs="Arial"/>
          <w:szCs w:val="20"/>
        </w:rPr>
        <w:t xml:space="preserve">he distribution of these </w:t>
      </w:r>
      <w:r w:rsidR="00BB29D0">
        <w:rPr>
          <w:rFonts w:cs="Arial"/>
          <w:szCs w:val="20"/>
        </w:rPr>
        <w:t>384</w:t>
      </w:r>
      <w:r w:rsidR="00BB29D0" w:rsidRPr="001D52E1">
        <w:rPr>
          <w:rFonts w:cs="Arial"/>
          <w:szCs w:val="20"/>
        </w:rPr>
        <w:t xml:space="preserve"> </w:t>
      </w:r>
      <w:r w:rsidR="00FF5841" w:rsidRPr="001D52E1">
        <w:rPr>
          <w:rFonts w:cs="Arial"/>
          <w:szCs w:val="20"/>
        </w:rPr>
        <w:t>ho</w:t>
      </w:r>
      <w:r w:rsidRPr="001D52E1">
        <w:rPr>
          <w:rFonts w:cs="Arial"/>
          <w:szCs w:val="20"/>
        </w:rPr>
        <w:t>s</w:t>
      </w:r>
      <w:r w:rsidR="00FF5841" w:rsidRPr="001D52E1">
        <w:rPr>
          <w:rFonts w:cs="Arial"/>
          <w:szCs w:val="20"/>
        </w:rPr>
        <w:t>p</w:t>
      </w:r>
      <w:r w:rsidRPr="001D52E1">
        <w:rPr>
          <w:rFonts w:cs="Arial"/>
          <w:szCs w:val="20"/>
        </w:rPr>
        <w:t>itals is shown in</w:t>
      </w:r>
      <w:r w:rsidR="007D16DD" w:rsidRPr="001D52E1">
        <w:rPr>
          <w:rFonts w:cs="Arial"/>
          <w:szCs w:val="20"/>
        </w:rPr>
        <w:t xml:space="preserve"> Table 2</w:t>
      </w:r>
      <w:r w:rsidR="001D25A0">
        <w:rPr>
          <w:rFonts w:cs="Arial"/>
          <w:szCs w:val="20"/>
        </w:rPr>
        <w:t>0</w:t>
      </w:r>
      <w:r w:rsidRPr="001D52E1">
        <w:rPr>
          <w:rFonts w:cs="Arial"/>
          <w:szCs w:val="20"/>
        </w:rPr>
        <w:t>.</w:t>
      </w:r>
    </w:p>
    <w:p w:rsidR="006044ED" w:rsidRDefault="006044ED">
      <w:pPr>
        <w:pStyle w:val="table"/>
      </w:pPr>
      <w:bookmarkStart w:id="457" w:name="_Ref373478917"/>
    </w:p>
    <w:p w:rsidR="00420107" w:rsidRDefault="00460371">
      <w:pPr>
        <w:pStyle w:val="table"/>
      </w:pPr>
      <w:r>
        <w:t xml:space="preserve">Table </w:t>
      </w:r>
      <w:bookmarkEnd w:id="457"/>
      <w:r>
        <w:t>2</w:t>
      </w:r>
      <w:r w:rsidR="001D25A0">
        <w:t>0</w:t>
      </w:r>
      <w:r>
        <w:t>: Distribution of block funded hospitals across size-locality cells</w:t>
      </w:r>
    </w:p>
    <w:tbl>
      <w:tblPr>
        <w:tblW w:w="9441" w:type="dxa"/>
        <w:jc w:val="center"/>
        <w:tblLayout w:type="fixed"/>
        <w:tblLook w:val="04A0" w:firstRow="1" w:lastRow="0" w:firstColumn="1" w:lastColumn="0" w:noHBand="0" w:noVBand="1"/>
      </w:tblPr>
      <w:tblGrid>
        <w:gridCol w:w="908"/>
        <w:gridCol w:w="8"/>
        <w:gridCol w:w="900"/>
        <w:gridCol w:w="953"/>
        <w:gridCol w:w="953"/>
        <w:gridCol w:w="953"/>
        <w:gridCol w:w="953"/>
        <w:gridCol w:w="953"/>
        <w:gridCol w:w="953"/>
        <w:gridCol w:w="953"/>
        <w:gridCol w:w="954"/>
      </w:tblGrid>
      <w:tr w:rsidR="00AD5B91" w:rsidRPr="00253078" w:rsidTr="00AD5B91">
        <w:trPr>
          <w:cantSplit/>
          <w:trHeight w:val="421"/>
          <w:tblHeader/>
          <w:jc w:val="center"/>
        </w:trPr>
        <w:tc>
          <w:tcPr>
            <w:tcW w:w="908" w:type="dxa"/>
            <w:tcBorders>
              <w:top w:val="single" w:sz="4" w:space="0" w:color="auto"/>
              <w:left w:val="single" w:sz="4" w:space="0" w:color="auto"/>
              <w:bottom w:val="single" w:sz="4" w:space="0" w:color="auto"/>
            </w:tcBorders>
            <w:shd w:val="clear" w:color="auto" w:fill="BFBFBF" w:themeFill="background1" w:themeFillShade="BF"/>
            <w:vAlign w:val="center"/>
          </w:tcPr>
          <w:p w:rsidR="00AD5B91" w:rsidRPr="00253078" w:rsidRDefault="00AD5B91" w:rsidP="00AD4FFC">
            <w:pPr>
              <w:jc w:val="center"/>
              <w:rPr>
                <w:rFonts w:ascii="Arial" w:hAnsi="Arial" w:cs="Arial"/>
                <w:b/>
                <w:sz w:val="20"/>
                <w:szCs w:val="20"/>
              </w:rPr>
            </w:pPr>
          </w:p>
        </w:tc>
        <w:tc>
          <w:tcPr>
            <w:tcW w:w="908"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AD5B91" w:rsidRPr="00253078" w:rsidRDefault="00AD5B91" w:rsidP="00AD4FFC">
            <w:pPr>
              <w:jc w:val="center"/>
              <w:rPr>
                <w:rFonts w:ascii="Arial" w:hAnsi="Arial" w:cs="Arial"/>
                <w:b/>
                <w:sz w:val="20"/>
                <w:szCs w:val="20"/>
              </w:rPr>
            </w:pPr>
          </w:p>
        </w:tc>
        <w:tc>
          <w:tcPr>
            <w:tcW w:w="7625" w:type="dxa"/>
            <w:gridSpan w:val="8"/>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AD5B91" w:rsidRPr="00253078" w:rsidRDefault="00AD5B91" w:rsidP="00AD4FFC">
            <w:pPr>
              <w:jc w:val="center"/>
              <w:rPr>
                <w:rFonts w:ascii="Arial" w:hAnsi="Arial" w:cs="Arial"/>
                <w:b/>
                <w:sz w:val="20"/>
                <w:szCs w:val="20"/>
              </w:rPr>
            </w:pPr>
            <w:r w:rsidRPr="00253078">
              <w:rPr>
                <w:rFonts w:ascii="Arial" w:hAnsi="Arial" w:cs="Arial"/>
                <w:b/>
                <w:sz w:val="20"/>
                <w:szCs w:val="20"/>
              </w:rPr>
              <w:t>Volume Group</w:t>
            </w:r>
          </w:p>
        </w:tc>
      </w:tr>
      <w:tr w:rsidR="00C121BC" w:rsidRPr="00253078" w:rsidTr="00AD5B91">
        <w:trPr>
          <w:cantSplit/>
          <w:trHeight w:val="155"/>
          <w:tblHeader/>
          <w:jc w:val="center"/>
        </w:trPr>
        <w:tc>
          <w:tcPr>
            <w:tcW w:w="916"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Region Group</w:t>
            </w:r>
          </w:p>
        </w:tc>
        <w:tc>
          <w:tcPr>
            <w:tcW w:w="900" w:type="dxa"/>
            <w:tcBorders>
              <w:top w:val="single" w:sz="4" w:space="0" w:color="auto"/>
              <w:left w:val="single" w:sz="4" w:space="0" w:color="auto"/>
              <w:bottom w:val="single" w:sz="4" w:space="0" w:color="000000"/>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Type</w:t>
            </w:r>
          </w:p>
        </w:tc>
        <w:tc>
          <w:tcPr>
            <w:tcW w:w="953" w:type="dxa"/>
            <w:tcBorders>
              <w:top w:val="nil"/>
              <w:left w:val="nil"/>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Group 0</w:t>
            </w:r>
          </w:p>
        </w:tc>
        <w:tc>
          <w:tcPr>
            <w:tcW w:w="953" w:type="dxa"/>
            <w:tcBorders>
              <w:top w:val="nil"/>
              <w:left w:val="nil"/>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Group A</w:t>
            </w:r>
          </w:p>
        </w:tc>
        <w:tc>
          <w:tcPr>
            <w:tcW w:w="953" w:type="dxa"/>
            <w:tcBorders>
              <w:top w:val="nil"/>
              <w:left w:val="nil"/>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Group B</w:t>
            </w:r>
          </w:p>
        </w:tc>
        <w:tc>
          <w:tcPr>
            <w:tcW w:w="953" w:type="dxa"/>
            <w:tcBorders>
              <w:top w:val="nil"/>
              <w:left w:val="nil"/>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Group C</w:t>
            </w:r>
          </w:p>
        </w:tc>
        <w:tc>
          <w:tcPr>
            <w:tcW w:w="953" w:type="dxa"/>
            <w:tcBorders>
              <w:top w:val="nil"/>
              <w:left w:val="nil"/>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Group D</w:t>
            </w:r>
          </w:p>
        </w:tc>
        <w:tc>
          <w:tcPr>
            <w:tcW w:w="953" w:type="dxa"/>
            <w:tcBorders>
              <w:top w:val="nil"/>
              <w:left w:val="nil"/>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Group E</w:t>
            </w:r>
          </w:p>
        </w:tc>
        <w:tc>
          <w:tcPr>
            <w:tcW w:w="953" w:type="dxa"/>
            <w:tcBorders>
              <w:top w:val="nil"/>
              <w:left w:val="nil"/>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Group F</w:t>
            </w:r>
          </w:p>
        </w:tc>
        <w:tc>
          <w:tcPr>
            <w:tcW w:w="954" w:type="dxa"/>
            <w:tcBorders>
              <w:top w:val="nil"/>
              <w:left w:val="nil"/>
              <w:bottom w:val="single" w:sz="4" w:space="0" w:color="auto"/>
              <w:right w:val="single" w:sz="4" w:space="0" w:color="auto"/>
            </w:tcBorders>
            <w:shd w:val="clear" w:color="000000" w:fill="D9D9D9"/>
            <w:vAlign w:val="center"/>
          </w:tcPr>
          <w:p w:rsidR="00420107" w:rsidRPr="00253078" w:rsidRDefault="00420107" w:rsidP="00AD4FFC">
            <w:pPr>
              <w:spacing w:before="40" w:after="40"/>
              <w:jc w:val="center"/>
              <w:rPr>
                <w:rFonts w:ascii="Arial" w:hAnsi="Arial" w:cs="Arial"/>
                <w:b/>
                <w:sz w:val="20"/>
                <w:szCs w:val="20"/>
              </w:rPr>
            </w:pPr>
            <w:r w:rsidRPr="00253078">
              <w:rPr>
                <w:rFonts w:ascii="Arial" w:hAnsi="Arial" w:cs="Arial"/>
                <w:b/>
                <w:sz w:val="20"/>
                <w:szCs w:val="20"/>
              </w:rPr>
              <w:t>Group G</w:t>
            </w:r>
          </w:p>
        </w:tc>
      </w:tr>
      <w:tr w:rsidR="00971BFA" w:rsidRPr="00253078" w:rsidTr="00AE53A9">
        <w:trPr>
          <w:cantSplit/>
          <w:trHeight w:val="170"/>
          <w:jc w:val="center"/>
        </w:trPr>
        <w:tc>
          <w:tcPr>
            <w:tcW w:w="91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971BFA" w:rsidRPr="00253078" w:rsidRDefault="00971BFA" w:rsidP="00AD4FFC">
            <w:pPr>
              <w:spacing w:before="120"/>
              <w:jc w:val="center"/>
              <w:rPr>
                <w:rFonts w:ascii="Arial" w:hAnsi="Arial" w:cs="Arial"/>
                <w:b/>
                <w:sz w:val="20"/>
                <w:szCs w:val="20"/>
              </w:rPr>
            </w:pPr>
            <w:r w:rsidRPr="00253078">
              <w:rPr>
                <w:rFonts w:ascii="Arial" w:hAnsi="Arial" w:cs="Arial"/>
                <w:b/>
                <w:sz w:val="20"/>
                <w:szCs w:val="20"/>
              </w:rPr>
              <w:t>1</w:t>
            </w:r>
          </w:p>
        </w:tc>
        <w:tc>
          <w:tcPr>
            <w:tcW w:w="90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71BFA" w:rsidRPr="00253078" w:rsidRDefault="00971BFA" w:rsidP="00AD4FFC">
            <w:pPr>
              <w:spacing w:before="120"/>
              <w:jc w:val="center"/>
              <w:rPr>
                <w:rFonts w:ascii="Arial" w:hAnsi="Arial" w:cs="Arial"/>
                <w:b/>
                <w:sz w:val="20"/>
                <w:szCs w:val="20"/>
              </w:rPr>
            </w:pPr>
            <w:r w:rsidRPr="00253078">
              <w:rPr>
                <w:rFonts w:ascii="Arial" w:hAnsi="Arial" w:cs="Arial"/>
                <w:b/>
                <w:sz w:val="20"/>
                <w:szCs w:val="20"/>
              </w:rPr>
              <w:t>A</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0</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BFA" w:rsidRPr="00E33EAE" w:rsidRDefault="00BB29D0" w:rsidP="00AD4FFC">
            <w:pPr>
              <w:spacing w:before="120"/>
              <w:jc w:val="center"/>
              <w:rPr>
                <w:rFonts w:ascii="Arial" w:hAnsi="Arial" w:cs="Arial"/>
                <w:sz w:val="18"/>
                <w:szCs w:val="20"/>
              </w:rPr>
            </w:pPr>
            <w:r w:rsidRPr="00E33EAE">
              <w:rPr>
                <w:rFonts w:ascii="Arial" w:hAnsi="Arial" w:cs="Arial"/>
                <w:sz w:val="18"/>
                <w:szCs w:val="20"/>
              </w:rPr>
              <w:t>7</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11</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BB29D0" w:rsidP="00AD4FFC">
            <w:pPr>
              <w:spacing w:before="120"/>
              <w:jc w:val="center"/>
              <w:rPr>
                <w:rFonts w:ascii="Arial" w:hAnsi="Arial" w:cs="Arial"/>
                <w:sz w:val="18"/>
                <w:szCs w:val="20"/>
              </w:rPr>
            </w:pPr>
            <w:r w:rsidRPr="00E33EAE">
              <w:rPr>
                <w:rFonts w:ascii="Arial" w:hAnsi="Arial" w:cs="Arial"/>
                <w:sz w:val="18"/>
                <w:szCs w:val="20"/>
              </w:rPr>
              <w:t>26</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21</w:t>
            </w:r>
          </w:p>
        </w:tc>
        <w:tc>
          <w:tcPr>
            <w:tcW w:w="954" w:type="dxa"/>
            <w:tcBorders>
              <w:top w:val="nil"/>
              <w:left w:val="nil"/>
              <w:bottom w:val="single" w:sz="4" w:space="0" w:color="auto"/>
              <w:right w:val="single" w:sz="4" w:space="0" w:color="auto"/>
            </w:tcBorders>
            <w:vAlign w:val="center"/>
          </w:tcPr>
          <w:p w:rsidR="00971BFA" w:rsidRPr="00E33EAE" w:rsidRDefault="00BB29D0" w:rsidP="00AD4FFC">
            <w:pPr>
              <w:spacing w:before="120"/>
              <w:jc w:val="center"/>
              <w:rPr>
                <w:rFonts w:ascii="Arial" w:hAnsi="Arial" w:cs="Arial"/>
                <w:sz w:val="18"/>
                <w:szCs w:val="20"/>
              </w:rPr>
            </w:pPr>
            <w:r w:rsidRPr="00E33EAE">
              <w:rPr>
                <w:rFonts w:ascii="Arial" w:hAnsi="Arial" w:cs="Arial"/>
                <w:sz w:val="18"/>
                <w:szCs w:val="20"/>
              </w:rPr>
              <w:t>12</w:t>
            </w:r>
          </w:p>
        </w:tc>
      </w:tr>
      <w:tr w:rsidR="00971BFA" w:rsidRPr="00253078" w:rsidTr="00AE53A9">
        <w:trPr>
          <w:cantSplit/>
          <w:trHeight w:val="170"/>
          <w:jc w:val="center"/>
        </w:trPr>
        <w:tc>
          <w:tcPr>
            <w:tcW w:w="91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971BFA" w:rsidRPr="00253078" w:rsidRDefault="00971BFA" w:rsidP="00AD4FFC">
            <w:pPr>
              <w:spacing w:before="120"/>
              <w:jc w:val="center"/>
              <w:rPr>
                <w:rFonts w:ascii="Arial" w:hAnsi="Arial" w:cs="Arial"/>
                <w:b/>
                <w:sz w:val="20"/>
                <w:szCs w:val="20"/>
              </w:rPr>
            </w:pPr>
          </w:p>
        </w:tc>
        <w:tc>
          <w:tcPr>
            <w:tcW w:w="90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71BFA" w:rsidRPr="00253078" w:rsidRDefault="00971BFA" w:rsidP="00AD4FFC">
            <w:pPr>
              <w:spacing w:before="120"/>
              <w:jc w:val="center"/>
              <w:rPr>
                <w:rFonts w:ascii="Arial" w:hAnsi="Arial" w:cs="Arial"/>
                <w:b/>
                <w:sz w:val="20"/>
                <w:szCs w:val="20"/>
              </w:rPr>
            </w:pPr>
            <w:r w:rsidRPr="00253078">
              <w:rPr>
                <w:rFonts w:ascii="Arial" w:hAnsi="Arial" w:cs="Arial"/>
                <w:b/>
                <w:sz w:val="20"/>
                <w:szCs w:val="20"/>
              </w:rPr>
              <w:t>B</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0</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0</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62</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36</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35</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15</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5</w:t>
            </w:r>
          </w:p>
        </w:tc>
        <w:tc>
          <w:tcPr>
            <w:tcW w:w="954" w:type="dxa"/>
            <w:tcBorders>
              <w:top w:val="nil"/>
              <w:left w:val="nil"/>
              <w:bottom w:val="single" w:sz="4" w:space="0" w:color="auto"/>
              <w:right w:val="single" w:sz="4" w:space="0" w:color="auto"/>
            </w:tcBorders>
            <w:vAlign w:val="center"/>
          </w:tcPr>
          <w:p w:rsidR="00971BFA" w:rsidRPr="00E33EAE" w:rsidRDefault="00BB29D0" w:rsidP="00AD4FFC">
            <w:pPr>
              <w:spacing w:before="120"/>
              <w:jc w:val="center"/>
              <w:rPr>
                <w:rFonts w:ascii="Arial" w:hAnsi="Arial" w:cs="Arial"/>
                <w:sz w:val="18"/>
                <w:szCs w:val="20"/>
              </w:rPr>
            </w:pPr>
            <w:r w:rsidRPr="00E33EAE">
              <w:rPr>
                <w:rFonts w:ascii="Arial" w:hAnsi="Arial" w:cs="Arial"/>
                <w:sz w:val="18"/>
                <w:szCs w:val="20"/>
              </w:rPr>
              <w:t>1</w:t>
            </w:r>
          </w:p>
        </w:tc>
      </w:tr>
      <w:tr w:rsidR="00971BFA" w:rsidRPr="00253078" w:rsidTr="00AE53A9">
        <w:trPr>
          <w:cantSplit/>
          <w:trHeight w:val="170"/>
          <w:jc w:val="center"/>
        </w:trPr>
        <w:tc>
          <w:tcPr>
            <w:tcW w:w="91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971BFA" w:rsidRPr="00253078" w:rsidRDefault="00971BFA" w:rsidP="00AD4FFC">
            <w:pPr>
              <w:spacing w:before="120"/>
              <w:jc w:val="center"/>
              <w:rPr>
                <w:rFonts w:ascii="Arial" w:hAnsi="Arial" w:cs="Arial"/>
                <w:b/>
                <w:sz w:val="20"/>
                <w:szCs w:val="20"/>
              </w:rPr>
            </w:pPr>
          </w:p>
        </w:tc>
        <w:tc>
          <w:tcPr>
            <w:tcW w:w="90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71BFA" w:rsidRPr="00253078" w:rsidRDefault="00971BFA" w:rsidP="00AD4FFC">
            <w:pPr>
              <w:spacing w:before="120"/>
              <w:jc w:val="center"/>
              <w:rPr>
                <w:rFonts w:ascii="Arial" w:hAnsi="Arial" w:cs="Arial"/>
                <w:b/>
                <w:sz w:val="20"/>
                <w:szCs w:val="20"/>
              </w:rPr>
            </w:pPr>
            <w:r w:rsidRPr="00253078">
              <w:rPr>
                <w:rFonts w:ascii="Arial" w:hAnsi="Arial" w:cs="Arial"/>
                <w:b/>
                <w:sz w:val="20"/>
                <w:szCs w:val="20"/>
              </w:rPr>
              <w:t>C</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7</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68</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10</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7</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5</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3</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2</w:t>
            </w:r>
          </w:p>
        </w:tc>
        <w:tc>
          <w:tcPr>
            <w:tcW w:w="954" w:type="dxa"/>
            <w:tcBorders>
              <w:top w:val="nil"/>
              <w:left w:val="nil"/>
              <w:bottom w:val="single" w:sz="4" w:space="0" w:color="auto"/>
              <w:right w:val="single" w:sz="4" w:space="0" w:color="auto"/>
            </w:tcBorders>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0</w:t>
            </w:r>
          </w:p>
        </w:tc>
      </w:tr>
      <w:tr w:rsidR="00971BFA" w:rsidRPr="00253078" w:rsidTr="00AE53A9">
        <w:trPr>
          <w:cantSplit/>
          <w:trHeight w:val="170"/>
          <w:jc w:val="center"/>
        </w:trPr>
        <w:tc>
          <w:tcPr>
            <w:tcW w:w="916" w:type="dxa"/>
            <w:gridSpan w:val="2"/>
            <w:tcBorders>
              <w:top w:val="nil"/>
              <w:left w:val="single" w:sz="4" w:space="0" w:color="auto"/>
              <w:bottom w:val="single" w:sz="4" w:space="0" w:color="auto"/>
              <w:right w:val="single" w:sz="4" w:space="0" w:color="auto"/>
            </w:tcBorders>
            <w:shd w:val="clear" w:color="000000" w:fill="D9D9D9"/>
            <w:noWrap/>
            <w:vAlign w:val="center"/>
          </w:tcPr>
          <w:p w:rsidR="00971BFA" w:rsidRPr="00253078" w:rsidRDefault="00971BFA" w:rsidP="00AD4FFC">
            <w:pPr>
              <w:spacing w:before="120"/>
              <w:jc w:val="center"/>
              <w:rPr>
                <w:rFonts w:ascii="Arial" w:hAnsi="Arial" w:cs="Arial"/>
                <w:b/>
                <w:sz w:val="20"/>
                <w:szCs w:val="20"/>
              </w:rPr>
            </w:pPr>
            <w:r w:rsidRPr="00253078">
              <w:rPr>
                <w:rFonts w:ascii="Arial" w:hAnsi="Arial" w:cs="Arial"/>
                <w:b/>
                <w:sz w:val="20"/>
                <w:szCs w:val="20"/>
              </w:rPr>
              <w:t>2</w:t>
            </w:r>
          </w:p>
        </w:tc>
        <w:tc>
          <w:tcPr>
            <w:tcW w:w="90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971BFA" w:rsidRPr="00253078" w:rsidRDefault="00971BFA" w:rsidP="00AD4FFC">
            <w:pPr>
              <w:spacing w:before="120"/>
              <w:jc w:val="center"/>
              <w:rPr>
                <w:rFonts w:ascii="Arial" w:hAnsi="Arial" w:cs="Arial"/>
                <w:b/>
                <w:sz w:val="20"/>
                <w:szCs w:val="20"/>
              </w:rPr>
            </w:pP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2</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8</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CB541A" w:rsidP="00AD4FFC">
            <w:pPr>
              <w:spacing w:before="120"/>
              <w:jc w:val="center"/>
              <w:rPr>
                <w:rFonts w:ascii="Arial" w:hAnsi="Arial" w:cs="Arial"/>
                <w:sz w:val="18"/>
                <w:szCs w:val="20"/>
              </w:rPr>
            </w:pPr>
            <w:r>
              <w:rPr>
                <w:rFonts w:ascii="Arial" w:hAnsi="Arial" w:cs="Arial"/>
                <w:sz w:val="18"/>
                <w:szCs w:val="20"/>
              </w:rPr>
              <w:t>14</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BB29D0" w:rsidP="00AD4FFC">
            <w:pPr>
              <w:spacing w:before="120"/>
              <w:jc w:val="center"/>
              <w:rPr>
                <w:rFonts w:ascii="Arial" w:hAnsi="Arial" w:cs="Arial"/>
                <w:sz w:val="18"/>
                <w:szCs w:val="20"/>
              </w:rPr>
            </w:pPr>
            <w:r w:rsidRPr="00E33EAE">
              <w:rPr>
                <w:rFonts w:ascii="Arial" w:hAnsi="Arial" w:cs="Arial"/>
                <w:sz w:val="18"/>
                <w:szCs w:val="20"/>
              </w:rPr>
              <w:t>6</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9</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8</w:t>
            </w:r>
          </w:p>
        </w:tc>
        <w:tc>
          <w:tcPr>
            <w:tcW w:w="953" w:type="dxa"/>
            <w:tcBorders>
              <w:top w:val="nil"/>
              <w:left w:val="nil"/>
              <w:bottom w:val="single" w:sz="4" w:space="0" w:color="auto"/>
              <w:right w:val="single" w:sz="4" w:space="0" w:color="auto"/>
            </w:tcBorders>
            <w:shd w:val="clear" w:color="auto" w:fill="auto"/>
            <w:noWrap/>
            <w:vAlign w:val="center"/>
          </w:tcPr>
          <w:p w:rsidR="00971BFA" w:rsidRPr="00E33EAE" w:rsidRDefault="00BB29D0" w:rsidP="00AD4FFC">
            <w:pPr>
              <w:spacing w:before="120"/>
              <w:jc w:val="center"/>
              <w:rPr>
                <w:rFonts w:ascii="Arial" w:hAnsi="Arial" w:cs="Arial"/>
                <w:sz w:val="18"/>
                <w:szCs w:val="20"/>
              </w:rPr>
            </w:pPr>
            <w:r w:rsidRPr="00E33EAE">
              <w:rPr>
                <w:rFonts w:ascii="Arial" w:hAnsi="Arial" w:cs="Arial"/>
                <w:sz w:val="18"/>
                <w:szCs w:val="20"/>
              </w:rPr>
              <w:t>2</w:t>
            </w:r>
          </w:p>
        </w:tc>
        <w:tc>
          <w:tcPr>
            <w:tcW w:w="954" w:type="dxa"/>
            <w:tcBorders>
              <w:top w:val="nil"/>
              <w:left w:val="nil"/>
              <w:bottom w:val="single" w:sz="4" w:space="0" w:color="auto"/>
              <w:right w:val="single" w:sz="4" w:space="0" w:color="auto"/>
            </w:tcBorders>
            <w:vAlign w:val="center"/>
          </w:tcPr>
          <w:p w:rsidR="00971BFA" w:rsidRPr="00E33EAE" w:rsidRDefault="00971BFA" w:rsidP="00AD4FFC">
            <w:pPr>
              <w:spacing w:before="120"/>
              <w:jc w:val="center"/>
              <w:rPr>
                <w:rFonts w:ascii="Arial" w:hAnsi="Arial" w:cs="Arial"/>
                <w:sz w:val="18"/>
                <w:szCs w:val="20"/>
              </w:rPr>
            </w:pPr>
            <w:r w:rsidRPr="00E33EAE">
              <w:rPr>
                <w:rFonts w:ascii="Arial" w:hAnsi="Arial" w:cs="Arial"/>
                <w:sz w:val="18"/>
                <w:szCs w:val="20"/>
              </w:rPr>
              <w:t>2</w:t>
            </w:r>
          </w:p>
        </w:tc>
      </w:tr>
    </w:tbl>
    <w:p w:rsidR="00460371" w:rsidRDefault="00460371" w:rsidP="009B622C">
      <w:pPr>
        <w:pStyle w:val="Heading2"/>
        <w:keepLines w:val="0"/>
        <w:numPr>
          <w:ilvl w:val="1"/>
          <w:numId w:val="73"/>
        </w:numPr>
        <w:tabs>
          <w:tab w:val="left" w:pos="1162"/>
        </w:tabs>
        <w:spacing w:after="60"/>
      </w:pPr>
      <w:bookmarkStart w:id="458" w:name="_Ref373486942"/>
      <w:bookmarkStart w:id="459" w:name="_Ref373492494"/>
      <w:bookmarkStart w:id="460" w:name="_Ref373492495"/>
      <w:bookmarkStart w:id="461" w:name="_Ref373492496"/>
      <w:bookmarkStart w:id="462" w:name="_Toc380754770"/>
      <w:bookmarkStart w:id="463" w:name="_Toc444528652"/>
      <w:r>
        <w:t>Calculation of National Efficient Cost</w:t>
      </w:r>
      <w:bookmarkEnd w:id="458"/>
      <w:bookmarkEnd w:id="459"/>
      <w:bookmarkEnd w:id="460"/>
      <w:bookmarkEnd w:id="461"/>
      <w:bookmarkEnd w:id="462"/>
      <w:bookmarkEnd w:id="463"/>
    </w:p>
    <w:p w:rsidR="00460371" w:rsidRDefault="00BB29D0" w:rsidP="00AD4FFC">
      <w:pPr>
        <w:tabs>
          <w:tab w:val="left" w:pos="1162"/>
        </w:tabs>
        <w:rPr>
          <w:rFonts w:cs="Arial"/>
          <w:szCs w:val="20"/>
        </w:rPr>
      </w:pPr>
      <w:r>
        <w:rPr>
          <w:rFonts w:cs="Arial"/>
          <w:szCs w:val="20"/>
        </w:rPr>
        <w:t>The NEC16 model is largely in line with the model used for NEC15, employing the same number of categories for size, type, and locality groupings.</w:t>
      </w:r>
    </w:p>
    <w:p w:rsidR="00A331DA" w:rsidRDefault="004D696A" w:rsidP="00721D30">
      <w:pPr>
        <w:tabs>
          <w:tab w:val="left" w:pos="1162"/>
        </w:tabs>
        <w:rPr>
          <w:rFonts w:cs="Arial"/>
          <w:szCs w:val="20"/>
        </w:rPr>
      </w:pPr>
      <w:r>
        <w:rPr>
          <w:rFonts w:cs="Arial"/>
          <w:szCs w:val="20"/>
        </w:rPr>
        <w:t>O</w:t>
      </w:r>
      <w:r w:rsidR="00460371" w:rsidRPr="00811CD9">
        <w:rPr>
          <w:rFonts w:cs="Arial"/>
          <w:szCs w:val="20"/>
        </w:rPr>
        <w:t xml:space="preserve">utliers </w:t>
      </w:r>
      <w:r>
        <w:rPr>
          <w:rFonts w:cs="Arial"/>
          <w:szCs w:val="20"/>
        </w:rPr>
        <w:t xml:space="preserve">are treated the same in </w:t>
      </w:r>
      <w:r w:rsidR="00BB29D0">
        <w:rPr>
          <w:rFonts w:cs="Arial"/>
          <w:szCs w:val="20"/>
        </w:rPr>
        <w:t xml:space="preserve">NEC16 </w:t>
      </w:r>
      <w:r>
        <w:rPr>
          <w:rFonts w:cs="Arial"/>
          <w:szCs w:val="20"/>
        </w:rPr>
        <w:t xml:space="preserve">as they were </w:t>
      </w:r>
      <w:r w:rsidR="00BB29D0">
        <w:rPr>
          <w:rFonts w:cs="Arial"/>
          <w:szCs w:val="20"/>
        </w:rPr>
        <w:t>NEC15</w:t>
      </w:r>
      <w:r>
        <w:rPr>
          <w:rFonts w:cs="Arial"/>
          <w:szCs w:val="20"/>
        </w:rPr>
        <w:t xml:space="preserve">, as explained in </w:t>
      </w:r>
      <w:r w:rsidR="00460371">
        <w:rPr>
          <w:rFonts w:cs="Arial"/>
          <w:szCs w:val="20"/>
        </w:rPr>
        <w:t>S</w:t>
      </w:r>
      <w:r w:rsidR="00460371" w:rsidRPr="00811CD9">
        <w:rPr>
          <w:rFonts w:cs="Arial"/>
          <w:szCs w:val="20"/>
        </w:rPr>
        <w:t xml:space="preserve">ection </w:t>
      </w:r>
      <w:r w:rsidR="00F93F5E">
        <w:rPr>
          <w:rFonts w:cs="Arial"/>
          <w:szCs w:val="20"/>
        </w:rPr>
        <w:t>7.3.</w:t>
      </w:r>
      <w:r w:rsidR="00C269E5">
        <w:rPr>
          <w:rFonts w:cs="Arial"/>
          <w:szCs w:val="20"/>
        </w:rPr>
        <w:t>1</w:t>
      </w:r>
      <w:r w:rsidR="00460371" w:rsidRPr="009B0E2A">
        <w:rPr>
          <w:rFonts w:cs="Arial"/>
          <w:szCs w:val="20"/>
        </w:rPr>
        <w:t>.</w:t>
      </w:r>
    </w:p>
    <w:p w:rsidR="00460371" w:rsidRDefault="00460371" w:rsidP="001F122B">
      <w:pPr>
        <w:tabs>
          <w:tab w:val="left" w:pos="1162"/>
        </w:tabs>
      </w:pPr>
      <w:r w:rsidRPr="00B12DFB">
        <w:rPr>
          <w:rFonts w:cs="Arial"/>
          <w:szCs w:val="20"/>
        </w:rPr>
        <w:t>T</w:t>
      </w:r>
      <w:r>
        <w:rPr>
          <w:rFonts w:cs="Arial"/>
          <w:szCs w:val="20"/>
        </w:rPr>
        <w:t xml:space="preserve">he </w:t>
      </w:r>
      <w:r w:rsidR="00BB29D0">
        <w:rPr>
          <w:rFonts w:cs="Arial"/>
          <w:szCs w:val="20"/>
        </w:rPr>
        <w:t>NEC16</w:t>
      </w:r>
      <w:r w:rsidR="00BB29D0" w:rsidRPr="00B12DFB">
        <w:rPr>
          <w:rFonts w:cs="Arial"/>
          <w:szCs w:val="20"/>
        </w:rPr>
        <w:t xml:space="preserve"> </w:t>
      </w:r>
      <w:r w:rsidRPr="00B12DFB">
        <w:rPr>
          <w:rFonts w:cs="Arial"/>
          <w:szCs w:val="20"/>
        </w:rPr>
        <w:t xml:space="preserve">average model cost for the year is given as a simple average of total expenditure across all model in-scope hospitals. This is reported as the NEC per </w:t>
      </w:r>
      <w:r>
        <w:rPr>
          <w:rFonts w:cs="Arial"/>
          <w:szCs w:val="20"/>
        </w:rPr>
        <w:t xml:space="preserve">block funded hospital </w:t>
      </w:r>
      <w:r w:rsidRPr="00B12DFB">
        <w:rPr>
          <w:rFonts w:cs="Arial"/>
          <w:szCs w:val="20"/>
        </w:rPr>
        <w:t xml:space="preserve">in </w:t>
      </w:r>
      <w:r w:rsidRPr="00B3571F">
        <w:rPr>
          <w:rFonts w:cs="Arial"/>
          <w:szCs w:val="20"/>
        </w:rPr>
        <w:t xml:space="preserve">the </w:t>
      </w:r>
      <w:r w:rsidR="00BB29D0" w:rsidRPr="00B3571F">
        <w:rPr>
          <w:rFonts w:cs="Arial"/>
          <w:szCs w:val="20"/>
        </w:rPr>
        <w:t>NEC</w:t>
      </w:r>
      <w:r w:rsidR="00BB29D0">
        <w:rPr>
          <w:rFonts w:cs="Arial"/>
          <w:szCs w:val="20"/>
        </w:rPr>
        <w:t>16</w:t>
      </w:r>
      <w:r w:rsidR="00BB29D0" w:rsidRPr="00B3571F">
        <w:rPr>
          <w:rFonts w:cs="Arial"/>
          <w:szCs w:val="20"/>
        </w:rPr>
        <w:t xml:space="preserve"> </w:t>
      </w:r>
      <w:r w:rsidRPr="00B3571F">
        <w:rPr>
          <w:rFonts w:cs="Arial"/>
          <w:szCs w:val="20"/>
        </w:rPr>
        <w:t>Determination</w:t>
      </w:r>
      <w:r w:rsidRPr="00B12DFB">
        <w:rPr>
          <w:rFonts w:cs="Arial"/>
          <w:szCs w:val="20"/>
        </w:rPr>
        <w:t>.</w:t>
      </w:r>
      <w:r w:rsidRPr="00BB4753">
        <w:t xml:space="preserve"> </w:t>
      </w:r>
      <w:r w:rsidR="004D696A">
        <w:t xml:space="preserve">This value is lower than the </w:t>
      </w:r>
      <w:r w:rsidR="00BB29D0">
        <w:t xml:space="preserve">NEC15 </w:t>
      </w:r>
      <w:r w:rsidR="004D696A">
        <w:t>amount</w:t>
      </w:r>
      <w:r w:rsidR="001379CA">
        <w:t>.</w:t>
      </w:r>
    </w:p>
    <w:p w:rsidR="00460371" w:rsidRDefault="001D52E1" w:rsidP="00AD4FFC">
      <w:pPr>
        <w:tabs>
          <w:tab w:val="left" w:pos="1162"/>
        </w:tabs>
        <w:rPr>
          <w:rFonts w:cs="Arial"/>
          <w:szCs w:val="20"/>
        </w:rPr>
      </w:pPr>
      <w:r>
        <w:rPr>
          <w:rFonts w:cs="Arial"/>
          <w:szCs w:val="20"/>
        </w:rPr>
        <w:t xml:space="preserve">As for </w:t>
      </w:r>
      <w:r w:rsidR="001379CA">
        <w:rPr>
          <w:rFonts w:cs="Arial"/>
          <w:szCs w:val="20"/>
        </w:rPr>
        <w:t>NEC15</w:t>
      </w:r>
      <w:r w:rsidR="00460371">
        <w:rPr>
          <w:rFonts w:cs="Arial"/>
          <w:szCs w:val="20"/>
        </w:rPr>
        <w:t>, the inlier range was limited to those hospitals whose cost ratios sat between the symmetrical boundary points 0.56 and 1.8 inclusive.</w:t>
      </w:r>
      <w:r w:rsidR="00460371" w:rsidRPr="0083074A">
        <w:t xml:space="preserve"> </w:t>
      </w:r>
      <w:r w:rsidR="00460371">
        <w:rPr>
          <w:rFonts w:cs="Arial"/>
          <w:szCs w:val="20"/>
        </w:rPr>
        <w:t xml:space="preserve">The thresholds are symmetrical so that a hospital that is twice the cost of the mean gets treated in a similar way to a hospital that has a cost of half the mean. </w:t>
      </w:r>
    </w:p>
    <w:p w:rsidR="00460371" w:rsidRPr="00811CD9" w:rsidRDefault="00460371" w:rsidP="009B622C">
      <w:pPr>
        <w:pStyle w:val="Heading3"/>
        <w:keepLines w:val="0"/>
        <w:numPr>
          <w:ilvl w:val="2"/>
          <w:numId w:val="73"/>
        </w:numPr>
        <w:tabs>
          <w:tab w:val="left" w:pos="1162"/>
        </w:tabs>
        <w:spacing w:before="240" w:after="120"/>
      </w:pPr>
      <w:bookmarkStart w:id="464" w:name="_Ref373487677"/>
      <w:bookmarkStart w:id="465" w:name="_Toc380754772"/>
      <w:bookmarkStart w:id="466" w:name="_Toc444528653"/>
      <w:r>
        <w:t>Calculation of the efficient cost for a particular hospital</w:t>
      </w:r>
      <w:bookmarkEnd w:id="464"/>
      <w:bookmarkEnd w:id="465"/>
      <w:bookmarkEnd w:id="466"/>
      <w:r>
        <w:t xml:space="preserve"> </w:t>
      </w:r>
    </w:p>
    <w:p w:rsidR="00D54BD3" w:rsidRDefault="00460371" w:rsidP="00AD4FFC">
      <w:pPr>
        <w:tabs>
          <w:tab w:val="left" w:pos="1162"/>
        </w:tabs>
        <w:rPr>
          <w:rFonts w:cs="Arial"/>
          <w:szCs w:val="20"/>
        </w:rPr>
      </w:pPr>
      <w:r>
        <w:rPr>
          <w:rFonts w:cs="Arial"/>
          <w:szCs w:val="20"/>
        </w:rPr>
        <w:t xml:space="preserve">The efficient cost of an inlier, in-scope block funded </w:t>
      </w:r>
      <w:r w:rsidR="007A65F2">
        <w:rPr>
          <w:rFonts w:cs="Arial"/>
          <w:szCs w:val="20"/>
        </w:rPr>
        <w:t>hosp</w:t>
      </w:r>
      <w:r w:rsidR="00C121BC">
        <w:rPr>
          <w:rFonts w:cs="Arial"/>
          <w:szCs w:val="20"/>
        </w:rPr>
        <w:t>ital is given by</w:t>
      </w:r>
      <w:r w:rsidR="00D54BD3">
        <w:rPr>
          <w:rFonts w:cs="Arial"/>
          <w:szCs w:val="20"/>
        </w:rPr>
        <w:t xml:space="preserve"> the availability payment for the hospital’s size-type cell. This cost is determined by a regression of the form </w:t>
      </w:r>
    </w:p>
    <w:p w:rsidR="00D54BD3" w:rsidRDefault="00FE788C" w:rsidP="00AD4FFC">
      <w:pPr>
        <w:tabs>
          <w:tab w:val="left" w:pos="1162"/>
        </w:tabs>
        <w:jc w:val="center"/>
        <w:rPr>
          <w:rFonts w:cs="Arial"/>
          <w:szCs w:val="20"/>
        </w:rPr>
      </w:pPr>
      <m:oMath>
        <m:func>
          <m:funcPr>
            <m:ctrlPr>
              <w:rPr>
                <w:rFonts w:ascii="Cambria Math" w:hAnsi="Cambria Math" w:cs="Arial"/>
                <w:i/>
                <w:szCs w:val="20"/>
              </w:rPr>
            </m:ctrlPr>
          </m:funcPr>
          <m:fName>
            <m:r>
              <m:rPr>
                <m:sty m:val="p"/>
              </m:rPr>
              <w:rPr>
                <w:rFonts w:ascii="Cambria Math" w:hAnsi="Cambria Math" w:cs="Arial"/>
                <w:szCs w:val="20"/>
              </w:rPr>
              <m:t>ln</m:t>
            </m:r>
          </m:fName>
          <m:e>
            <m:d>
              <m:dPr>
                <m:ctrlPr>
                  <w:rPr>
                    <w:rFonts w:ascii="Cambria Math" w:hAnsi="Cambria Math" w:cs="Arial"/>
                    <w:i/>
                    <w:szCs w:val="20"/>
                  </w:rPr>
                </m:ctrlPr>
              </m:dPr>
              <m:e>
                <m:r>
                  <w:rPr>
                    <w:rFonts w:ascii="Cambria Math" w:hAnsi="Cambria Math" w:cs="Arial"/>
                    <w:szCs w:val="20"/>
                  </w:rPr>
                  <m:t>inscope expenditure</m:t>
                </m:r>
              </m:e>
            </m:d>
          </m:e>
        </m:func>
        <m:r>
          <w:rPr>
            <w:rFonts w:ascii="Cambria Math" w:hAnsi="Cambria Math" w:cs="Arial"/>
            <w:szCs w:val="20"/>
          </w:rPr>
          <m:t>=s+t</m:t>
        </m:r>
      </m:oMath>
      <w:r w:rsidR="00D54BD3">
        <w:rPr>
          <w:rFonts w:cs="Arial"/>
          <w:szCs w:val="20"/>
        </w:rPr>
        <w:t>,</w:t>
      </w:r>
    </w:p>
    <w:p w:rsidR="00C121BC" w:rsidRDefault="00C121BC" w:rsidP="00AD4FFC">
      <w:pPr>
        <w:tabs>
          <w:tab w:val="left" w:pos="1162"/>
        </w:tabs>
        <w:ind w:left="993"/>
        <w:rPr>
          <w:rFonts w:cs="Arial"/>
          <w:szCs w:val="20"/>
        </w:rPr>
      </w:pPr>
      <w:proofErr w:type="gramStart"/>
      <w:r>
        <w:rPr>
          <w:rFonts w:cs="Arial"/>
          <w:szCs w:val="20"/>
        </w:rPr>
        <w:t>f</w:t>
      </w:r>
      <w:r w:rsidR="00D54BD3">
        <w:rPr>
          <w:rFonts w:cs="Arial"/>
          <w:szCs w:val="20"/>
        </w:rPr>
        <w:t>or</w:t>
      </w:r>
      <w:proofErr w:type="gramEnd"/>
      <w:r w:rsidR="00D54BD3">
        <w:rPr>
          <w:rFonts w:cs="Arial"/>
          <w:szCs w:val="20"/>
        </w:rPr>
        <w:t xml:space="preserve"> each region, where </w:t>
      </w:r>
      <w:r w:rsidR="00D54BD3" w:rsidRPr="00493806">
        <w:rPr>
          <w:rFonts w:cs="Arial"/>
          <w:i/>
          <w:szCs w:val="20"/>
        </w:rPr>
        <w:t>s</w:t>
      </w:r>
      <w:r w:rsidR="00D54BD3">
        <w:rPr>
          <w:rFonts w:cs="Arial"/>
          <w:szCs w:val="20"/>
        </w:rPr>
        <w:t xml:space="preserve"> and</w:t>
      </w:r>
      <w:r w:rsidR="00D54BD3" w:rsidRPr="00493806">
        <w:rPr>
          <w:rFonts w:cs="Arial"/>
          <w:i/>
          <w:szCs w:val="20"/>
        </w:rPr>
        <w:t xml:space="preserve"> t</w:t>
      </w:r>
      <w:r w:rsidR="00D54BD3">
        <w:rPr>
          <w:rFonts w:cs="Arial"/>
          <w:szCs w:val="20"/>
        </w:rPr>
        <w:t xml:space="preserve"> are parameters associated to each hospitals size and type respectively.</w:t>
      </w:r>
      <w:r>
        <w:rPr>
          <w:rFonts w:cs="Arial"/>
          <w:szCs w:val="20"/>
        </w:rPr>
        <w:t xml:space="preserve"> </w:t>
      </w:r>
    </w:p>
    <w:p w:rsidR="00460371" w:rsidRDefault="00460371" w:rsidP="00AD4FFC">
      <w:pPr>
        <w:tabs>
          <w:tab w:val="left" w:pos="1162"/>
        </w:tabs>
        <w:rPr>
          <w:rFonts w:cs="Arial"/>
          <w:szCs w:val="20"/>
        </w:rPr>
      </w:pPr>
      <w:r w:rsidRPr="00BB4753">
        <w:rPr>
          <w:rFonts w:cs="Arial"/>
          <w:szCs w:val="20"/>
        </w:rPr>
        <w:t xml:space="preserve">Outliers and specialist psychiatric hospitals </w:t>
      </w:r>
      <w:r>
        <w:rPr>
          <w:rFonts w:cs="Arial"/>
          <w:szCs w:val="20"/>
        </w:rPr>
        <w:t>are</w:t>
      </w:r>
      <w:r w:rsidRPr="00BB4753">
        <w:rPr>
          <w:rFonts w:cs="Arial"/>
          <w:szCs w:val="20"/>
        </w:rPr>
        <w:t xml:space="preserve"> treated separately to </w:t>
      </w:r>
      <w:r w:rsidR="00C121BC">
        <w:rPr>
          <w:rFonts w:cs="Arial"/>
          <w:szCs w:val="20"/>
        </w:rPr>
        <w:t xml:space="preserve">the </w:t>
      </w:r>
      <w:r w:rsidR="001379CA" w:rsidRPr="001379CA">
        <w:rPr>
          <w:rFonts w:cs="Arial"/>
          <w:szCs w:val="20"/>
        </w:rPr>
        <w:t>38</w:t>
      </w:r>
      <w:r w:rsidR="001379CA">
        <w:rPr>
          <w:rFonts w:cs="Arial"/>
          <w:szCs w:val="20"/>
        </w:rPr>
        <w:t xml:space="preserve">4 </w:t>
      </w:r>
      <w:r w:rsidR="00C121BC">
        <w:rPr>
          <w:rFonts w:cs="Arial"/>
          <w:szCs w:val="20"/>
        </w:rPr>
        <w:t xml:space="preserve">rural </w:t>
      </w:r>
      <w:r w:rsidRPr="00BB4753">
        <w:rPr>
          <w:rFonts w:cs="Arial"/>
          <w:szCs w:val="20"/>
        </w:rPr>
        <w:t xml:space="preserve">hospitals within the model and are addressed further </w:t>
      </w:r>
      <w:r w:rsidR="00C269E5">
        <w:rPr>
          <w:rFonts w:cs="Arial"/>
          <w:szCs w:val="20"/>
        </w:rPr>
        <w:t>below.</w:t>
      </w:r>
    </w:p>
    <w:p w:rsidR="00460371" w:rsidRPr="00FA3C49" w:rsidRDefault="00460371" w:rsidP="00AD4FFC">
      <w:pPr>
        <w:pStyle w:val="Heading4"/>
      </w:pPr>
      <w:r w:rsidRPr="00FA3C49">
        <w:t>Outliers</w:t>
      </w:r>
    </w:p>
    <w:p w:rsidR="00460371" w:rsidRDefault="00460371" w:rsidP="00AD4FFC">
      <w:pPr>
        <w:tabs>
          <w:tab w:val="left" w:pos="1162"/>
        </w:tabs>
        <w:rPr>
          <w:rFonts w:cs="Arial"/>
          <w:szCs w:val="20"/>
        </w:rPr>
      </w:pPr>
      <w:r w:rsidRPr="00E463CD">
        <w:rPr>
          <w:rFonts w:cs="Arial"/>
          <w:szCs w:val="20"/>
        </w:rPr>
        <w:t>Hospitals with cost ratios that fall outside the p</w:t>
      </w:r>
      <w:r>
        <w:rPr>
          <w:rFonts w:cs="Arial"/>
          <w:szCs w:val="20"/>
        </w:rPr>
        <w:t xml:space="preserve">rescribed cost ratio boundaries, </w:t>
      </w:r>
      <w:r w:rsidRPr="001379CA">
        <w:rPr>
          <w:rFonts w:cs="Arial"/>
          <w:szCs w:val="20"/>
        </w:rPr>
        <w:t>0.56 and 1.8,</w:t>
      </w:r>
      <w:r>
        <w:rPr>
          <w:rFonts w:cs="Arial"/>
          <w:szCs w:val="20"/>
        </w:rPr>
        <w:t xml:space="preserve"> referred to as </w:t>
      </w:r>
      <w:r w:rsidRPr="00E463CD">
        <w:rPr>
          <w:rFonts w:cs="Arial"/>
          <w:szCs w:val="20"/>
        </w:rPr>
        <w:t>cost outliers, and are prescribed capped cost ratios</w:t>
      </w:r>
      <w:r>
        <w:rPr>
          <w:rFonts w:cs="Arial"/>
          <w:szCs w:val="20"/>
        </w:rPr>
        <w:t xml:space="preserve">. </w:t>
      </w:r>
    </w:p>
    <w:p w:rsidR="00460371" w:rsidRDefault="00460371" w:rsidP="00AD4FFC">
      <w:pPr>
        <w:tabs>
          <w:tab w:val="left" w:pos="1162"/>
        </w:tabs>
        <w:rPr>
          <w:rFonts w:cs="Arial"/>
          <w:szCs w:val="20"/>
        </w:rPr>
      </w:pPr>
      <w:r>
        <w:rPr>
          <w:rFonts w:cs="Arial"/>
          <w:szCs w:val="20"/>
        </w:rPr>
        <w:t xml:space="preserve">Hospitals with a cost ratio greater than </w:t>
      </w:r>
      <w:r w:rsidRPr="001379CA">
        <w:rPr>
          <w:rFonts w:cs="Arial"/>
          <w:szCs w:val="20"/>
        </w:rPr>
        <w:t>1.8</w:t>
      </w:r>
      <w:r>
        <w:rPr>
          <w:rFonts w:cs="Arial"/>
          <w:szCs w:val="20"/>
        </w:rPr>
        <w:t xml:space="preserve"> are assigned an efficient cost equal to its actual cost divided by </w:t>
      </w:r>
      <w:r w:rsidRPr="001379CA">
        <w:rPr>
          <w:rFonts w:cs="Arial"/>
          <w:szCs w:val="20"/>
        </w:rPr>
        <w:t>1.8</w:t>
      </w:r>
      <w:r>
        <w:rPr>
          <w:rFonts w:cs="Arial"/>
          <w:szCs w:val="20"/>
        </w:rPr>
        <w:t xml:space="preserve">. </w:t>
      </w:r>
    </w:p>
    <w:p w:rsidR="00460371" w:rsidRPr="00AC4D97" w:rsidRDefault="00460371" w:rsidP="00AD4FFC">
      <w:pPr>
        <w:tabs>
          <w:tab w:val="left" w:pos="1162"/>
        </w:tabs>
        <w:rPr>
          <w:rFonts w:cs="Arial"/>
          <w:szCs w:val="20"/>
        </w:rPr>
      </w:pPr>
      <m:oMathPara>
        <m:oMath>
          <m:r>
            <w:rPr>
              <w:rFonts w:ascii="Cambria Math" w:hAnsi="Cambria Math" w:cs="Arial"/>
              <w:szCs w:val="20"/>
            </w:rPr>
            <m:t>CR&gt;1.8          efficient cost=</m:t>
          </m:r>
          <m:f>
            <m:fPr>
              <m:ctrlPr>
                <w:rPr>
                  <w:rFonts w:ascii="Cambria Math" w:hAnsi="Cambria Math" w:cs="Arial"/>
                  <w:i/>
                  <w:szCs w:val="20"/>
                </w:rPr>
              </m:ctrlPr>
            </m:fPr>
            <m:num>
              <m:r>
                <w:rPr>
                  <w:rFonts w:ascii="Cambria Math" w:hAnsi="Cambria Math" w:cs="Arial"/>
                  <w:szCs w:val="20"/>
                </w:rPr>
                <m:t>actual Cost</m:t>
              </m:r>
            </m:num>
            <m:den>
              <m:r>
                <w:rPr>
                  <w:rFonts w:ascii="Cambria Math" w:hAnsi="Cambria Math" w:cs="Arial"/>
                  <w:szCs w:val="20"/>
                </w:rPr>
                <m:t>1.8</m:t>
              </m:r>
            </m:den>
          </m:f>
        </m:oMath>
      </m:oMathPara>
    </w:p>
    <w:p w:rsidR="00460371" w:rsidRDefault="00460371" w:rsidP="00AD4FFC">
      <w:pPr>
        <w:tabs>
          <w:tab w:val="left" w:pos="1162"/>
        </w:tabs>
        <w:rPr>
          <w:rFonts w:cs="Arial"/>
          <w:szCs w:val="20"/>
        </w:rPr>
      </w:pPr>
      <w:r>
        <w:rPr>
          <w:rFonts w:cs="Arial"/>
          <w:szCs w:val="20"/>
        </w:rPr>
        <w:t xml:space="preserve">Hospitals with a cost ratio less than </w:t>
      </w:r>
      <w:r w:rsidRPr="001379CA">
        <w:rPr>
          <w:rFonts w:cs="Arial"/>
          <w:szCs w:val="20"/>
        </w:rPr>
        <w:t>0.56</w:t>
      </w:r>
      <w:r>
        <w:rPr>
          <w:rFonts w:cs="Arial"/>
          <w:szCs w:val="20"/>
        </w:rPr>
        <w:t xml:space="preserve"> are assigned an efficient cost equal to its actual cost multiplied by </w:t>
      </w:r>
      <w:r w:rsidRPr="001379CA">
        <w:rPr>
          <w:rFonts w:cs="Arial"/>
          <w:szCs w:val="20"/>
        </w:rPr>
        <w:t>1.8</w:t>
      </w:r>
      <w:r>
        <w:rPr>
          <w:rFonts w:cs="Arial"/>
          <w:szCs w:val="20"/>
        </w:rPr>
        <w:t xml:space="preserve"> (or divided by </w:t>
      </w:r>
      <w:r w:rsidRPr="001379CA">
        <w:rPr>
          <w:rFonts w:cs="Arial"/>
          <w:szCs w:val="20"/>
        </w:rPr>
        <w:t>0.56</w:t>
      </w:r>
      <w:r>
        <w:rPr>
          <w:rFonts w:cs="Arial"/>
          <w:szCs w:val="20"/>
        </w:rPr>
        <w:t>).</w:t>
      </w:r>
    </w:p>
    <w:p w:rsidR="00460371" w:rsidRDefault="00460371" w:rsidP="00AD4FFC">
      <w:pPr>
        <w:tabs>
          <w:tab w:val="left" w:pos="1162"/>
        </w:tabs>
        <w:rPr>
          <w:rFonts w:cs="Arial"/>
          <w:szCs w:val="20"/>
        </w:rPr>
      </w:pPr>
      <m:oMathPara>
        <m:oMath>
          <m:r>
            <w:rPr>
              <w:rFonts w:ascii="Cambria Math" w:hAnsi="Cambria Math" w:cs="Arial"/>
              <w:szCs w:val="20"/>
            </w:rPr>
            <m:t xml:space="preserve">CR&lt;0.56         efficient cost=actual cost </m:t>
          </m:r>
          <m:r>
            <w:rPr>
              <w:rFonts w:ascii="Cambria Math" w:hAnsi="Cambria Math" w:cs="Arial" w:hint="eastAsia"/>
              <w:szCs w:val="20"/>
            </w:rPr>
            <m:t>×</m:t>
          </m:r>
          <m:r>
            <w:rPr>
              <w:rFonts w:ascii="Cambria Math" w:hAnsi="Cambria Math" w:cs="Arial"/>
              <w:szCs w:val="20"/>
            </w:rPr>
            <m:t>1.8</m:t>
          </m:r>
        </m:oMath>
      </m:oMathPara>
    </w:p>
    <w:p w:rsidR="00460371" w:rsidRPr="00FA3C49" w:rsidRDefault="00460371" w:rsidP="00AD4FFC">
      <w:pPr>
        <w:pStyle w:val="Heading4"/>
      </w:pPr>
      <w:r w:rsidRPr="00FA3C49">
        <w:t>Hospitals missing data</w:t>
      </w:r>
    </w:p>
    <w:p w:rsidR="00460371" w:rsidRDefault="001379CA" w:rsidP="00E33EAE">
      <w:pPr>
        <w:tabs>
          <w:tab w:val="left" w:pos="1162"/>
        </w:tabs>
        <w:rPr>
          <w:rFonts w:cs="Arial"/>
          <w:szCs w:val="20"/>
        </w:rPr>
      </w:pPr>
      <w:r>
        <w:rPr>
          <w:rFonts w:cs="Arial"/>
          <w:szCs w:val="20"/>
        </w:rPr>
        <w:t xml:space="preserve">Jurisdictional advice was sought from hospitals with missing activity or cost data. Where appropriate, new data received from jurisdictions was incorporated into existing datasets for these hospitals. </w:t>
      </w:r>
      <w:r w:rsidR="00460371">
        <w:rPr>
          <w:rFonts w:cs="Arial"/>
          <w:szCs w:val="20"/>
        </w:rPr>
        <w:t xml:space="preserve"> </w:t>
      </w:r>
    </w:p>
    <w:p w:rsidR="00460371" w:rsidRDefault="001379CA" w:rsidP="00AD4FFC">
      <w:pPr>
        <w:tabs>
          <w:tab w:val="left" w:pos="1162"/>
        </w:tabs>
        <w:spacing w:before="240"/>
        <w:rPr>
          <w:rFonts w:cs="Arial"/>
          <w:szCs w:val="20"/>
        </w:rPr>
      </w:pPr>
      <w:r>
        <w:rPr>
          <w:rFonts w:cs="Arial"/>
          <w:szCs w:val="20"/>
        </w:rPr>
        <w:t>They</w:t>
      </w:r>
      <w:r w:rsidR="00460371" w:rsidRPr="003474BA">
        <w:rPr>
          <w:rFonts w:cs="Arial"/>
          <w:szCs w:val="20"/>
        </w:rPr>
        <w:t xml:space="preserve"> are then treated in the same way as hospitals </w:t>
      </w:r>
      <w:r w:rsidR="00460371">
        <w:rPr>
          <w:rFonts w:cs="Arial"/>
          <w:szCs w:val="20"/>
        </w:rPr>
        <w:t xml:space="preserve">reporting adequate </w:t>
      </w:r>
      <w:r w:rsidR="00460371" w:rsidRPr="003474BA">
        <w:rPr>
          <w:rFonts w:cs="Arial"/>
          <w:szCs w:val="20"/>
        </w:rPr>
        <w:t xml:space="preserve">data for the purposes of determining </w:t>
      </w:r>
      <w:r w:rsidR="00FF26D7">
        <w:rPr>
          <w:rFonts w:cs="Arial"/>
          <w:szCs w:val="20"/>
        </w:rPr>
        <w:t xml:space="preserve">the </w:t>
      </w:r>
      <w:r w:rsidR="004A3542">
        <w:rPr>
          <w:rFonts w:cs="Arial"/>
          <w:szCs w:val="20"/>
        </w:rPr>
        <w:t>2013-14</w:t>
      </w:r>
      <w:r w:rsidR="00FF26D7">
        <w:rPr>
          <w:rFonts w:cs="Arial"/>
          <w:szCs w:val="20"/>
        </w:rPr>
        <w:t xml:space="preserve"> average cost</w:t>
      </w:r>
      <w:r w:rsidR="00460371" w:rsidRPr="003474BA">
        <w:rPr>
          <w:rFonts w:cs="Arial"/>
          <w:szCs w:val="20"/>
        </w:rPr>
        <w:t xml:space="preserve"> and </w:t>
      </w:r>
      <w:r w:rsidR="00FF26D7">
        <w:rPr>
          <w:rFonts w:cs="Arial"/>
          <w:szCs w:val="20"/>
        </w:rPr>
        <w:t>NEC</w:t>
      </w:r>
      <w:r w:rsidR="001E144E">
        <w:rPr>
          <w:rFonts w:cs="Arial"/>
          <w:szCs w:val="20"/>
        </w:rPr>
        <w:t>16</w:t>
      </w:r>
      <w:r w:rsidR="00460371" w:rsidRPr="003474BA">
        <w:rPr>
          <w:rFonts w:cs="Arial"/>
          <w:szCs w:val="20"/>
        </w:rPr>
        <w:t>.</w:t>
      </w:r>
    </w:p>
    <w:p w:rsidR="00460371" w:rsidRDefault="00460371" w:rsidP="009B622C">
      <w:pPr>
        <w:pStyle w:val="Heading3"/>
        <w:keepLines w:val="0"/>
        <w:numPr>
          <w:ilvl w:val="2"/>
          <w:numId w:val="73"/>
        </w:numPr>
        <w:spacing w:before="240" w:after="120"/>
      </w:pPr>
      <w:bookmarkStart w:id="467" w:name="_Ref373486503"/>
      <w:bookmarkStart w:id="468" w:name="_Toc380754773"/>
      <w:bookmarkStart w:id="469" w:name="_Toc444528654"/>
      <w:r>
        <w:t xml:space="preserve">Calculation of the efficient cost of specialist psychiatric </w:t>
      </w:r>
      <w:r w:rsidR="00350E98">
        <w:t xml:space="preserve">and major city </w:t>
      </w:r>
      <w:r>
        <w:t>hospitals</w:t>
      </w:r>
      <w:bookmarkEnd w:id="467"/>
      <w:bookmarkEnd w:id="468"/>
      <w:bookmarkEnd w:id="469"/>
      <w:r>
        <w:t xml:space="preserve"> </w:t>
      </w:r>
    </w:p>
    <w:p w:rsidR="00460371" w:rsidRDefault="00460371" w:rsidP="00AD4FFC">
      <w:r w:rsidRPr="00603CB8">
        <w:t xml:space="preserve">Specialist mental health hospitals are excluded from the model from the outset. These </w:t>
      </w:r>
      <w:r>
        <w:t xml:space="preserve">hospitals </w:t>
      </w:r>
      <w:r w:rsidRPr="00603CB8">
        <w:t>are assigned model costs based on advice from jurisdictions.</w:t>
      </w:r>
      <w:r w:rsidR="00073CBF">
        <w:t xml:space="preserve"> Where advice was not received from jurisdictions the </w:t>
      </w:r>
      <w:r w:rsidR="001379CA">
        <w:t xml:space="preserve">NEC15 </w:t>
      </w:r>
      <w:r w:rsidR="00073CBF">
        <w:t xml:space="preserve">efficient cost has been escalated by the </w:t>
      </w:r>
      <w:r w:rsidR="004A3542">
        <w:t xml:space="preserve">NEC16 </w:t>
      </w:r>
      <w:r w:rsidR="00073CBF">
        <w:t xml:space="preserve">indexation rate to become the </w:t>
      </w:r>
      <w:r w:rsidR="004A3542">
        <w:t xml:space="preserve">NEC16 </w:t>
      </w:r>
      <w:r w:rsidR="00073CBF">
        <w:t>efficient cost for each of these hospitals.</w:t>
      </w:r>
    </w:p>
    <w:p w:rsidR="00460371" w:rsidRDefault="00460371" w:rsidP="00AD4FFC">
      <w:r>
        <w:t xml:space="preserve">For </w:t>
      </w:r>
      <w:r w:rsidRPr="00603CB8">
        <w:t xml:space="preserve">the purposes of </w:t>
      </w:r>
      <w:r w:rsidR="004A3542">
        <w:t>NEC16</w:t>
      </w:r>
      <w:r w:rsidRPr="00603CB8">
        <w:t xml:space="preserve">, these hospitals are priced </w:t>
      </w:r>
      <w:r>
        <w:t xml:space="preserve">after consultation with jurisdictions. Subject to this advice, their prices are set </w:t>
      </w:r>
      <w:r w:rsidRPr="00603CB8">
        <w:t xml:space="preserve">at their actual cost for </w:t>
      </w:r>
      <w:r w:rsidR="004A3542">
        <w:t>2013-14</w:t>
      </w:r>
      <w:r w:rsidRPr="00603CB8">
        <w:t xml:space="preserve"> </w:t>
      </w:r>
      <w:r>
        <w:t xml:space="preserve">or </w:t>
      </w:r>
      <w:r w:rsidR="004A3542">
        <w:t>2014-15</w:t>
      </w:r>
      <w:r>
        <w:t xml:space="preserve">, </w:t>
      </w:r>
      <w:r w:rsidRPr="00603CB8">
        <w:t xml:space="preserve">and are indexed at the same rate applied to the in-scope hospitals in the </w:t>
      </w:r>
      <w:r w:rsidR="004A3542">
        <w:t>2013-14</w:t>
      </w:r>
      <w:r w:rsidRPr="00603CB8">
        <w:t xml:space="preserve"> cost model for </w:t>
      </w:r>
      <w:r w:rsidR="004A3542">
        <w:t>NEC16</w:t>
      </w:r>
      <w:r>
        <w:t>. Indexation is described in further detail in S</w:t>
      </w:r>
      <w:r w:rsidRPr="00603CB8">
        <w:t>ection</w:t>
      </w:r>
      <w:r w:rsidR="00350E98">
        <w:t xml:space="preserve"> 7.4</w:t>
      </w:r>
      <w:r>
        <w:t>.</w:t>
      </w:r>
    </w:p>
    <w:p w:rsidR="00B41558" w:rsidRPr="00603CB8" w:rsidRDefault="00B41558" w:rsidP="00AD4FFC">
      <w:r>
        <w:t xml:space="preserve">The </w:t>
      </w:r>
      <w:r w:rsidR="00384C96">
        <w:t>2016-17</w:t>
      </w:r>
      <w:r>
        <w:t xml:space="preserve"> efficient costs for the </w:t>
      </w:r>
      <w:r w:rsidR="00C966B1">
        <w:t>12</w:t>
      </w:r>
      <w:r>
        <w:t xml:space="preserve"> major city hospitals will be determined separately in </w:t>
      </w:r>
      <w:r w:rsidR="009D121C">
        <w:t>a similar</w:t>
      </w:r>
      <w:r>
        <w:t xml:space="preserve"> way</w:t>
      </w:r>
      <w:r w:rsidR="009D121C">
        <w:t>,</w:t>
      </w:r>
      <w:r>
        <w:t xml:space="preserve"> following consultation with jur</w:t>
      </w:r>
      <w:r w:rsidR="00420107">
        <w:t>i</w:t>
      </w:r>
      <w:r>
        <w:t>sdictions.</w:t>
      </w:r>
    </w:p>
    <w:p w:rsidR="00460371" w:rsidRDefault="00460371" w:rsidP="009B622C">
      <w:pPr>
        <w:pStyle w:val="Heading2"/>
        <w:keepLines w:val="0"/>
        <w:numPr>
          <w:ilvl w:val="1"/>
          <w:numId w:val="73"/>
        </w:numPr>
        <w:tabs>
          <w:tab w:val="left" w:pos="1162"/>
        </w:tabs>
        <w:spacing w:after="60"/>
      </w:pPr>
      <w:bookmarkStart w:id="470" w:name="_Ref373491276"/>
      <w:bookmarkStart w:id="471" w:name="_Toc380754774"/>
      <w:bookmarkStart w:id="472" w:name="_Toc444528655"/>
      <w:r>
        <w:t xml:space="preserve">Indexation of the </w:t>
      </w:r>
      <w:r w:rsidR="001379CA">
        <w:t>2013-14</w:t>
      </w:r>
      <w:r>
        <w:t xml:space="preserve"> Model</w:t>
      </w:r>
      <w:bookmarkEnd w:id="470"/>
      <w:bookmarkEnd w:id="471"/>
      <w:bookmarkEnd w:id="472"/>
      <w:r>
        <w:t xml:space="preserve"> </w:t>
      </w:r>
    </w:p>
    <w:p w:rsidR="00460371" w:rsidRDefault="001379CA" w:rsidP="00AD4FFC">
      <w:pPr>
        <w:tabs>
          <w:tab w:val="left" w:pos="1162"/>
        </w:tabs>
        <w:spacing w:before="120"/>
      </w:pPr>
      <w:r>
        <w:t>Due to the</w:t>
      </w:r>
      <w:r w:rsidR="00460371">
        <w:t xml:space="preserve"> </w:t>
      </w:r>
      <w:r w:rsidR="00460371" w:rsidRPr="00C150CE">
        <w:t xml:space="preserve">three year time lag in data collection, cost model results for </w:t>
      </w:r>
      <w:r>
        <w:t>2013-14</w:t>
      </w:r>
      <w:r w:rsidR="00460371" w:rsidRPr="00C150CE">
        <w:t xml:space="preserve"> must be appropriately indexed over three years to give a price model for </w:t>
      </w:r>
      <w:r w:rsidR="00384C96">
        <w:t>2016-17</w:t>
      </w:r>
      <w:r w:rsidR="00460371" w:rsidRPr="00C150CE">
        <w:t xml:space="preserve">. </w:t>
      </w:r>
    </w:p>
    <w:p w:rsidR="00460371" w:rsidRDefault="007820F6" w:rsidP="00AD4FFC">
      <w:r>
        <w:t>The</w:t>
      </w:r>
      <w:r w:rsidR="00460371">
        <w:t xml:space="preserve"> indexation of the model is </w:t>
      </w:r>
      <w:r w:rsidR="00460371" w:rsidRPr="00603CB8">
        <w:t xml:space="preserve">based on the growth of </w:t>
      </w:r>
      <w:r w:rsidR="00E51593">
        <w:t>the NPHED expenditure</w:t>
      </w:r>
      <w:r>
        <w:t>, net of depreciation and MPS,</w:t>
      </w:r>
      <w:r w:rsidR="00E51593">
        <w:t xml:space="preserve"> </w:t>
      </w:r>
      <w:r w:rsidR="00460371" w:rsidRPr="00603CB8">
        <w:t>of all block funded hospitals</w:t>
      </w:r>
      <w:r w:rsidR="00460371">
        <w:t xml:space="preserve">. </w:t>
      </w:r>
      <w:r>
        <w:t xml:space="preserve">The indexation methodology adopted for NEC15 used only APCP of expenditure.  The methodology was updated for NEC16 due to volatility seen in APCP ratios in the 2013-14 NPHED.  </w:t>
      </w:r>
      <w:r w:rsidR="00460371">
        <w:t xml:space="preserve">The indexation rate is given by the slope of the exponential line of best-fit at </w:t>
      </w:r>
      <w:r w:rsidR="00BE568B">
        <w:t xml:space="preserve">Figure 11. </w:t>
      </w:r>
    </w:p>
    <w:p w:rsidR="00460371" w:rsidRDefault="00460371" w:rsidP="00AD4FFC">
      <w:pPr>
        <w:tabs>
          <w:tab w:val="left" w:pos="1162"/>
        </w:tabs>
      </w:pPr>
      <w:r w:rsidRPr="004468C1">
        <w:t>Th</w:t>
      </w:r>
      <w:r w:rsidR="00B71E3D">
        <w:t xml:space="preserve">e overall </w:t>
      </w:r>
      <w:r w:rsidR="004A3542">
        <w:t>2013-14</w:t>
      </w:r>
      <w:r w:rsidR="00A331DA">
        <w:t xml:space="preserve"> model average-</w:t>
      </w:r>
      <w:r w:rsidRPr="004468C1">
        <w:t xml:space="preserve">spend was projected to </w:t>
      </w:r>
      <w:r w:rsidR="00384C96">
        <w:t>2016-17</w:t>
      </w:r>
      <w:r w:rsidRPr="004468C1">
        <w:t xml:space="preserve"> using the annual indexation factor as speci</w:t>
      </w:r>
      <w:r>
        <w:t xml:space="preserve">fied in the </w:t>
      </w:r>
      <w:r w:rsidR="004A3542" w:rsidRPr="00B3571F">
        <w:t>NEC</w:t>
      </w:r>
      <w:r w:rsidR="004A3542">
        <w:t>16</w:t>
      </w:r>
      <w:r w:rsidR="004A3542" w:rsidRPr="00B3571F">
        <w:t xml:space="preserve"> </w:t>
      </w:r>
      <w:r w:rsidRPr="00B3571F">
        <w:t>Determination</w:t>
      </w:r>
      <w:r>
        <w:t>.</w:t>
      </w:r>
    </w:p>
    <w:p w:rsidR="001379CA" w:rsidRDefault="00460371" w:rsidP="006044ED">
      <w:pPr>
        <w:pStyle w:val="table"/>
        <w:rPr>
          <w:rFonts w:asciiTheme="majorHAnsi" w:eastAsiaTheme="majorEastAsia" w:hAnsiTheme="majorHAnsi" w:cstheme="majorBidi"/>
          <w:b w:val="0"/>
          <w:bCs/>
          <w:color w:val="008A00" w:themeColor="background2"/>
          <w:sz w:val="28"/>
          <w:szCs w:val="32"/>
        </w:rPr>
      </w:pPr>
      <w:bookmarkStart w:id="473" w:name="_Ref373492064"/>
      <w:r>
        <w:t>Figure</w:t>
      </w:r>
      <w:bookmarkEnd w:id="473"/>
      <w:r w:rsidR="00377E23">
        <w:t xml:space="preserve"> 11</w:t>
      </w:r>
      <w:r>
        <w:t xml:space="preserve">: </w:t>
      </w:r>
      <w:r w:rsidR="001379CA">
        <w:t xml:space="preserve">NEC16 </w:t>
      </w:r>
      <w:r>
        <w:t>Indexation</w:t>
      </w:r>
      <w:bookmarkStart w:id="474" w:name="_Toc380754775"/>
    </w:p>
    <w:p w:rsidR="007820F6" w:rsidRDefault="007820F6" w:rsidP="00E33EAE">
      <w:pPr>
        <w:tabs>
          <w:tab w:val="left" w:pos="1162"/>
        </w:tabs>
        <w:rPr>
          <w:rFonts w:asciiTheme="majorHAnsi" w:eastAsiaTheme="majorEastAsia" w:hAnsiTheme="majorHAnsi" w:cstheme="majorBidi"/>
          <w:b/>
          <w:bCs/>
          <w:color w:val="008A00" w:themeColor="background2"/>
          <w:sz w:val="28"/>
          <w:szCs w:val="32"/>
        </w:rPr>
      </w:pPr>
      <w:r>
        <w:rPr>
          <w:rFonts w:asciiTheme="majorHAnsi" w:eastAsiaTheme="majorEastAsia" w:hAnsiTheme="majorHAnsi" w:cstheme="majorBidi"/>
          <w:b/>
          <w:bCs/>
          <w:noProof/>
          <w:color w:val="008A00" w:themeColor="background2"/>
          <w:sz w:val="28"/>
          <w:szCs w:val="32"/>
          <w:lang w:eastAsia="en-AU"/>
        </w:rPr>
        <w:drawing>
          <wp:inline distT="0" distB="0" distL="0" distR="0" wp14:anchorId="33BF84E2" wp14:editId="555990AA">
            <wp:extent cx="4524233" cy="271908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34297" cy="2725130"/>
                    </a:xfrm>
                    <a:prstGeom prst="rect">
                      <a:avLst/>
                    </a:prstGeom>
                    <a:noFill/>
                  </pic:spPr>
                </pic:pic>
              </a:graphicData>
            </a:graphic>
          </wp:inline>
        </w:drawing>
      </w:r>
    </w:p>
    <w:p w:rsidR="00460371" w:rsidRDefault="00460371" w:rsidP="009B622C">
      <w:pPr>
        <w:pStyle w:val="Heading2"/>
        <w:keepLines w:val="0"/>
        <w:numPr>
          <w:ilvl w:val="1"/>
          <w:numId w:val="73"/>
        </w:numPr>
        <w:tabs>
          <w:tab w:val="left" w:pos="1162"/>
        </w:tabs>
        <w:spacing w:after="60"/>
      </w:pPr>
      <w:bookmarkStart w:id="475" w:name="_Toc444528656"/>
      <w:proofErr w:type="spellStart"/>
      <w:r>
        <w:t>Backcasting</w:t>
      </w:r>
      <w:bookmarkEnd w:id="474"/>
      <w:bookmarkEnd w:id="475"/>
      <w:proofErr w:type="spellEnd"/>
    </w:p>
    <w:p w:rsidR="00460371" w:rsidRDefault="00460371" w:rsidP="00AD4FFC">
      <w:pPr>
        <w:tabs>
          <w:tab w:val="left" w:pos="1162"/>
        </w:tabs>
        <w:spacing w:before="120"/>
        <w:rPr>
          <w:lang w:val="en-US"/>
        </w:rPr>
      </w:pPr>
      <w:r w:rsidRPr="004D6A99">
        <w:t>IHPA’s</w:t>
      </w:r>
      <w:r>
        <w:rPr>
          <w:lang w:val="en-US"/>
        </w:rPr>
        <w:t xml:space="preserve"> </w:t>
      </w:r>
      <w:proofErr w:type="spellStart"/>
      <w:r>
        <w:rPr>
          <w:lang w:val="en-US"/>
        </w:rPr>
        <w:t>backcasting</w:t>
      </w:r>
      <w:proofErr w:type="spellEnd"/>
      <w:r>
        <w:rPr>
          <w:lang w:val="en-US"/>
        </w:rPr>
        <w:t xml:space="preserve"> policy states that IHPA will determine </w:t>
      </w:r>
      <w:proofErr w:type="spellStart"/>
      <w:r>
        <w:rPr>
          <w:lang w:val="en-US"/>
        </w:rPr>
        <w:t>backcasting</w:t>
      </w:r>
      <w:proofErr w:type="spellEnd"/>
      <w:r>
        <w:rPr>
          <w:lang w:val="en-US"/>
        </w:rPr>
        <w:t xml:space="preserve"> multipliers for each service category </w:t>
      </w:r>
      <w:r w:rsidRPr="00452B3A">
        <w:rPr>
          <w:lang w:val="en-US"/>
        </w:rPr>
        <w:t>(i.e. admitted, subacute etc.)</w:t>
      </w:r>
      <w:r>
        <w:rPr>
          <w:lang w:val="en-US"/>
        </w:rPr>
        <w:t xml:space="preserve"> and for each state/territory.</w:t>
      </w:r>
    </w:p>
    <w:p w:rsidR="00460371" w:rsidRDefault="00460371" w:rsidP="00AD4FFC">
      <w:pPr>
        <w:rPr>
          <w:lang w:val="en-US"/>
        </w:rPr>
      </w:pPr>
      <w:proofErr w:type="spellStart"/>
      <w:r w:rsidRPr="00B06678">
        <w:rPr>
          <w:lang w:val="en-US"/>
        </w:rPr>
        <w:t>Backcasting</w:t>
      </w:r>
      <w:proofErr w:type="spellEnd"/>
      <w:r w:rsidRPr="00B06678">
        <w:rPr>
          <w:lang w:val="en-US"/>
        </w:rPr>
        <w:t xml:space="preserve"> applies when there has been a significant change in the classification or costing methodologies used </w:t>
      </w:r>
      <w:r>
        <w:rPr>
          <w:lang w:val="en-US"/>
        </w:rPr>
        <w:t>to</w:t>
      </w:r>
      <w:r w:rsidRPr="00B06678">
        <w:rPr>
          <w:lang w:val="en-US"/>
        </w:rPr>
        <w:t xml:space="preserve"> determin</w:t>
      </w:r>
      <w:r>
        <w:rPr>
          <w:lang w:val="en-US"/>
        </w:rPr>
        <w:t>e</w:t>
      </w:r>
      <w:r w:rsidRPr="00B06678">
        <w:rPr>
          <w:lang w:val="en-US"/>
        </w:rPr>
        <w:t xml:space="preserve"> the NEC</w:t>
      </w:r>
      <w:r>
        <w:rPr>
          <w:lang w:val="en-US"/>
        </w:rPr>
        <w:t xml:space="preserve"> from the prev</w:t>
      </w:r>
      <w:r w:rsidR="00A005F5">
        <w:rPr>
          <w:lang w:val="en-US"/>
        </w:rPr>
        <w:t>i</w:t>
      </w:r>
      <w:r>
        <w:rPr>
          <w:lang w:val="en-US"/>
        </w:rPr>
        <w:t xml:space="preserve">ous year. For </w:t>
      </w:r>
      <w:r w:rsidR="004A3542">
        <w:rPr>
          <w:lang w:val="en-US"/>
        </w:rPr>
        <w:t>NEC16</w:t>
      </w:r>
      <w:r>
        <w:rPr>
          <w:lang w:val="en-US"/>
        </w:rPr>
        <w:t xml:space="preserve">, the need to </w:t>
      </w:r>
      <w:proofErr w:type="spellStart"/>
      <w:r>
        <w:rPr>
          <w:lang w:val="en-US"/>
        </w:rPr>
        <w:t>backca</w:t>
      </w:r>
      <w:r w:rsidR="00A005F5">
        <w:rPr>
          <w:lang w:val="en-US"/>
        </w:rPr>
        <w:t>st</w:t>
      </w:r>
      <w:proofErr w:type="spellEnd"/>
      <w:r w:rsidR="00A005F5">
        <w:rPr>
          <w:lang w:val="en-US"/>
        </w:rPr>
        <w:t xml:space="preserve"> was substantiated by the </w:t>
      </w:r>
      <w:r>
        <w:rPr>
          <w:lang w:val="en-US"/>
        </w:rPr>
        <w:t>change</w:t>
      </w:r>
      <w:r w:rsidR="00A005F5">
        <w:rPr>
          <w:lang w:val="en-US"/>
        </w:rPr>
        <w:t>s to the methodology used in it</w:t>
      </w:r>
      <w:r>
        <w:rPr>
          <w:lang w:val="en-US"/>
        </w:rPr>
        <w:t xml:space="preserve">s determination. </w:t>
      </w:r>
    </w:p>
    <w:p w:rsidR="00460371" w:rsidRDefault="00460371" w:rsidP="00E33EAE">
      <w:pPr>
        <w:spacing w:after="200" w:line="276" w:lineRule="auto"/>
        <w:rPr>
          <w:lang w:val="en-US"/>
        </w:rPr>
      </w:pPr>
      <w:r>
        <w:rPr>
          <w:lang w:val="en-US"/>
        </w:rPr>
        <w:t xml:space="preserve">These changes are: </w:t>
      </w:r>
    </w:p>
    <w:p w:rsidR="00460371" w:rsidRDefault="008B6C98" w:rsidP="00C245E0">
      <w:pPr>
        <w:pStyle w:val="ListParagraph"/>
        <w:numPr>
          <w:ilvl w:val="0"/>
          <w:numId w:val="47"/>
        </w:numPr>
        <w:spacing w:before="120"/>
        <w:ind w:left="714" w:hanging="357"/>
        <w:rPr>
          <w:lang w:val="en-US"/>
        </w:rPr>
      </w:pPr>
      <w:r>
        <w:rPr>
          <w:lang w:val="en-US"/>
        </w:rPr>
        <w:t>A change to the definition of Type Group B hospitals.</w:t>
      </w:r>
    </w:p>
    <w:p w:rsidR="00A17BAB" w:rsidRDefault="00A17BAB" w:rsidP="00C245E0">
      <w:pPr>
        <w:pStyle w:val="ListParagraph"/>
        <w:numPr>
          <w:ilvl w:val="0"/>
          <w:numId w:val="47"/>
        </w:numPr>
        <w:spacing w:before="120"/>
        <w:ind w:left="714" w:hanging="357"/>
        <w:rPr>
          <w:lang w:val="en-US"/>
        </w:rPr>
      </w:pPr>
      <w:r>
        <w:rPr>
          <w:lang w:val="en-US"/>
        </w:rPr>
        <w:t xml:space="preserve">Updating </w:t>
      </w:r>
      <w:r w:rsidR="0022493D">
        <w:rPr>
          <w:lang w:val="en-US"/>
        </w:rPr>
        <w:t xml:space="preserve">the </w:t>
      </w:r>
      <w:r w:rsidR="004A3542">
        <w:rPr>
          <w:lang w:val="en-US"/>
        </w:rPr>
        <w:t xml:space="preserve">NWAU14 </w:t>
      </w:r>
      <w:r>
        <w:rPr>
          <w:lang w:val="en-US"/>
        </w:rPr>
        <w:t xml:space="preserve">calculator to </w:t>
      </w:r>
      <w:r w:rsidR="005A6FED">
        <w:rPr>
          <w:lang w:val="en-US"/>
        </w:rPr>
        <w:t xml:space="preserve">the </w:t>
      </w:r>
      <w:r w:rsidR="004A3542">
        <w:rPr>
          <w:lang w:val="en-US"/>
        </w:rPr>
        <w:t xml:space="preserve">NWAU15 </w:t>
      </w:r>
      <w:r w:rsidR="005A6FED">
        <w:rPr>
          <w:lang w:val="en-US"/>
        </w:rPr>
        <w:t>calculator</w:t>
      </w:r>
      <w:r>
        <w:rPr>
          <w:lang w:val="en-US"/>
        </w:rPr>
        <w:t xml:space="preserve">. </w:t>
      </w:r>
    </w:p>
    <w:p w:rsidR="002B0212" w:rsidRDefault="00460371" w:rsidP="00AD4FFC">
      <w:pPr>
        <w:rPr>
          <w:lang w:val="en-US"/>
        </w:rPr>
      </w:pPr>
      <w:r>
        <w:rPr>
          <w:lang w:val="en-US"/>
        </w:rPr>
        <w:t>S</w:t>
      </w:r>
      <w:r w:rsidRPr="00241AB0">
        <w:rPr>
          <w:lang w:val="en-US"/>
        </w:rPr>
        <w:t>tate</w:t>
      </w:r>
      <w:r>
        <w:rPr>
          <w:lang w:val="en-US"/>
        </w:rPr>
        <w:t>/territory-</w:t>
      </w:r>
      <w:r w:rsidRPr="00241AB0">
        <w:rPr>
          <w:lang w:val="en-US"/>
        </w:rPr>
        <w:t xml:space="preserve">specific </w:t>
      </w:r>
      <w:proofErr w:type="spellStart"/>
      <w:r w:rsidRPr="00241AB0">
        <w:rPr>
          <w:lang w:val="en-US"/>
        </w:rPr>
        <w:t>backcasting</w:t>
      </w:r>
      <w:proofErr w:type="spellEnd"/>
      <w:r w:rsidRPr="00241AB0">
        <w:rPr>
          <w:lang w:val="en-US"/>
        </w:rPr>
        <w:t xml:space="preserve"> multiplier</w:t>
      </w:r>
      <w:r>
        <w:rPr>
          <w:lang w:val="en-US"/>
        </w:rPr>
        <w:t>s</w:t>
      </w:r>
      <w:r w:rsidRPr="00241AB0">
        <w:rPr>
          <w:lang w:val="en-US"/>
        </w:rPr>
        <w:t xml:space="preserve"> </w:t>
      </w:r>
      <w:r w:rsidR="00A17BAB">
        <w:rPr>
          <w:lang w:val="en-US"/>
        </w:rPr>
        <w:t>for the changes</w:t>
      </w:r>
      <w:r w:rsidRPr="00241AB0">
        <w:rPr>
          <w:lang w:val="en-US"/>
        </w:rPr>
        <w:t xml:space="preserve"> above </w:t>
      </w:r>
      <w:r>
        <w:rPr>
          <w:lang w:val="en-US"/>
        </w:rPr>
        <w:t xml:space="preserve">are derived </w:t>
      </w:r>
      <w:r w:rsidRPr="00241AB0">
        <w:rPr>
          <w:lang w:val="en-US"/>
        </w:rPr>
        <w:t xml:space="preserve">by applying the </w:t>
      </w:r>
      <w:r w:rsidR="008B6C98">
        <w:rPr>
          <w:lang w:val="en-US"/>
        </w:rPr>
        <w:t>NEC15</w:t>
      </w:r>
      <w:r w:rsidR="008B6C98" w:rsidRPr="00241AB0">
        <w:rPr>
          <w:lang w:val="en-US"/>
        </w:rPr>
        <w:t xml:space="preserve"> </w:t>
      </w:r>
      <w:r w:rsidRPr="00241AB0">
        <w:rPr>
          <w:lang w:val="en-US"/>
        </w:rPr>
        <w:t xml:space="preserve">methodology to the </w:t>
      </w:r>
      <w:r w:rsidR="008B6C98">
        <w:rPr>
          <w:lang w:val="en-US"/>
        </w:rPr>
        <w:t xml:space="preserve">NEC16 </w:t>
      </w:r>
      <w:r w:rsidR="00CF75B0">
        <w:rPr>
          <w:lang w:val="en-US"/>
        </w:rPr>
        <w:t>data</w:t>
      </w:r>
      <w:r>
        <w:rPr>
          <w:lang w:val="en-US"/>
        </w:rPr>
        <w:t>.</w:t>
      </w:r>
    </w:p>
    <w:p w:rsidR="002B0212" w:rsidRPr="00891377" w:rsidRDefault="002B0212" w:rsidP="002B0212">
      <w:pPr>
        <w:spacing w:before="120"/>
        <w:rPr>
          <w:rFonts w:ascii="Arial" w:hAnsi="Arial" w:cs="Arial"/>
        </w:rPr>
      </w:pPr>
      <w:r>
        <w:rPr>
          <w:rFonts w:ascii="Arial" w:hAnsi="Arial" w:cs="Arial"/>
        </w:rPr>
        <w:t xml:space="preserve">In addition to changes in model methodology, NEC16 also includes a change in the indexation methodology in projecting the 2013-14 average in-scope cost to the 2016-17 NEC.  This change in indexation methodology means a </w:t>
      </w:r>
      <w:proofErr w:type="spellStart"/>
      <w:r>
        <w:rPr>
          <w:rFonts w:ascii="Arial" w:hAnsi="Arial" w:cs="Arial"/>
        </w:rPr>
        <w:t>backcast</w:t>
      </w:r>
      <w:proofErr w:type="spellEnd"/>
      <w:r>
        <w:rPr>
          <w:rFonts w:ascii="Arial" w:hAnsi="Arial" w:cs="Arial"/>
        </w:rPr>
        <w:t xml:space="preserve"> NEC15 must be calculated in order to appropriately estimate the growth </w:t>
      </w:r>
      <w:proofErr w:type="gramStart"/>
      <w:r>
        <w:rPr>
          <w:rFonts w:ascii="Arial" w:hAnsi="Arial" w:cs="Arial"/>
        </w:rPr>
        <w:t>between 2015-16</w:t>
      </w:r>
      <w:proofErr w:type="gramEnd"/>
      <w:r>
        <w:rPr>
          <w:rFonts w:ascii="Arial" w:hAnsi="Arial" w:cs="Arial"/>
        </w:rPr>
        <w:t xml:space="preserve">.  The </w:t>
      </w:r>
      <w:proofErr w:type="spellStart"/>
      <w:r>
        <w:rPr>
          <w:rFonts w:ascii="Arial" w:hAnsi="Arial" w:cs="Arial"/>
        </w:rPr>
        <w:t>backcast</w:t>
      </w:r>
      <w:proofErr w:type="spellEnd"/>
      <w:r>
        <w:rPr>
          <w:rFonts w:ascii="Arial" w:hAnsi="Arial" w:cs="Arial"/>
        </w:rPr>
        <w:t xml:space="preserve"> NEC15 is calculated by taking the average in-scope cost for NEC15 and indexing it forward three years based on the new indexation methodology.  </w:t>
      </w:r>
    </w:p>
    <w:p w:rsidR="0076228A" w:rsidRDefault="009D121C" w:rsidP="00AD4FFC">
      <w:pPr>
        <w:rPr>
          <w:lang w:val="en-US"/>
        </w:rPr>
        <w:sectPr w:rsidR="0076228A" w:rsidSect="00E05DB3">
          <w:headerReference w:type="even" r:id="rId35"/>
          <w:footerReference w:type="default" r:id="rId36"/>
          <w:pgSz w:w="11907" w:h="16839" w:code="9"/>
          <w:pgMar w:top="1440" w:right="1440" w:bottom="1440" w:left="1440" w:header="709" w:footer="709" w:gutter="0"/>
          <w:cols w:space="708"/>
          <w:docGrid w:linePitch="360"/>
        </w:sectPr>
      </w:pPr>
      <w:r>
        <w:rPr>
          <w:lang w:val="en-US"/>
        </w:rPr>
        <w:t xml:space="preserve">The 12 major city block funded hospitals and the 16 specialist psychiatric hospitals are excluded from the </w:t>
      </w:r>
      <w:proofErr w:type="spellStart"/>
      <w:r>
        <w:rPr>
          <w:lang w:val="en-US"/>
        </w:rPr>
        <w:t>backcasting</w:t>
      </w:r>
      <w:proofErr w:type="spellEnd"/>
      <w:r>
        <w:rPr>
          <w:lang w:val="en-US"/>
        </w:rPr>
        <w:t xml:space="preserve"> process explained </w:t>
      </w:r>
      <w:r w:rsidR="00CC088E">
        <w:rPr>
          <w:lang w:val="en-US"/>
        </w:rPr>
        <w:t>in this section</w:t>
      </w:r>
      <w:r>
        <w:rPr>
          <w:lang w:val="en-US"/>
        </w:rPr>
        <w:t xml:space="preserve">. The calculation of growth in efficient cost for these hospitals is the difference between the </w:t>
      </w:r>
      <w:r w:rsidR="008B6C98">
        <w:rPr>
          <w:lang w:val="en-US"/>
        </w:rPr>
        <w:t>2015-16</w:t>
      </w:r>
      <w:r>
        <w:rPr>
          <w:lang w:val="en-US"/>
        </w:rPr>
        <w:t xml:space="preserve"> </w:t>
      </w:r>
      <w:proofErr w:type="spellStart"/>
      <w:r w:rsidR="007820F6">
        <w:rPr>
          <w:lang w:val="en-US"/>
        </w:rPr>
        <w:t>backcast</w:t>
      </w:r>
      <w:proofErr w:type="spellEnd"/>
      <w:r w:rsidR="007820F6">
        <w:rPr>
          <w:lang w:val="en-US"/>
        </w:rPr>
        <w:t xml:space="preserve"> </w:t>
      </w:r>
      <w:r>
        <w:rPr>
          <w:lang w:val="en-US"/>
        </w:rPr>
        <w:t xml:space="preserve">cost and the </w:t>
      </w:r>
      <w:r w:rsidR="00384C96">
        <w:rPr>
          <w:lang w:val="en-US"/>
        </w:rPr>
        <w:t>2016-17</w:t>
      </w:r>
      <w:r>
        <w:rPr>
          <w:lang w:val="en-US"/>
        </w:rPr>
        <w:t xml:space="preserve"> agreed cost. </w:t>
      </w:r>
      <w:r w:rsidR="007820F6">
        <w:rPr>
          <w:lang w:val="en-US"/>
        </w:rPr>
        <w:t xml:space="preserve"> The 2015-16 </w:t>
      </w:r>
      <w:proofErr w:type="spellStart"/>
      <w:r w:rsidR="007820F6">
        <w:rPr>
          <w:lang w:val="en-US"/>
        </w:rPr>
        <w:t>backcast</w:t>
      </w:r>
      <w:proofErr w:type="spellEnd"/>
      <w:r w:rsidR="007820F6">
        <w:rPr>
          <w:lang w:val="en-US"/>
        </w:rPr>
        <w:t xml:space="preserve"> cost is the NEC15 reference cost indexed forward three years by the NEC15 indexation rate calculated using the NEC16 indexation methodology.</w:t>
      </w:r>
    </w:p>
    <w:p w:rsidR="00915776" w:rsidRPr="00915776" w:rsidRDefault="00915776" w:rsidP="00915776">
      <w:pPr>
        <w:sectPr w:rsidR="00915776" w:rsidRPr="00915776" w:rsidSect="0076228A">
          <w:type w:val="continuous"/>
          <w:pgSz w:w="11907" w:h="16839" w:code="9"/>
          <w:pgMar w:top="1440" w:right="1440" w:bottom="1440" w:left="1440" w:header="709" w:footer="709" w:gutter="0"/>
          <w:cols w:space="708"/>
          <w:docGrid w:linePitch="360"/>
        </w:sectPr>
      </w:pPr>
    </w:p>
    <w:sdt>
      <w:sdtPr>
        <w:rPr>
          <w:rFonts w:asciiTheme="minorHAnsi" w:eastAsiaTheme="minorHAnsi" w:hAnsiTheme="minorHAnsi" w:cstheme="minorBidi"/>
          <w:bCs w:val="0"/>
          <w:noProof/>
          <w:color w:val="auto"/>
          <w:sz w:val="24"/>
          <w:szCs w:val="22"/>
          <w:lang w:val="en-AU" w:eastAsia="en-US"/>
        </w:rPr>
        <w:id w:val="1128210613"/>
        <w:docPartObj>
          <w:docPartGallery w:val="Table of Contents"/>
          <w:docPartUnique/>
        </w:docPartObj>
      </w:sdtPr>
      <w:sdtContent>
        <w:p w:rsidR="00915776" w:rsidRPr="00915776" w:rsidRDefault="00915776" w:rsidP="00915776">
          <w:pPr>
            <w:pStyle w:val="TOCHeading"/>
            <w:rPr>
              <w:lang w:val="en-AU" w:eastAsia="en-US"/>
            </w:rPr>
          </w:pPr>
          <w:r w:rsidRPr="00915776">
            <w:rPr>
              <w:lang w:val="en-AU" w:eastAsia="en-US"/>
            </w:rPr>
            <w:t>Attachments</w:t>
          </w:r>
        </w:p>
        <w:p w:rsidR="00C01DA0" w:rsidRDefault="00AB2DC9">
          <w:pPr>
            <w:pStyle w:val="TOC1"/>
          </w:pPr>
          <w:r w:rsidRPr="00AB2DC9">
            <w:t xml:space="preserve">Attachment A – Summary of 2012-13 input data </w:t>
          </w:r>
          <w:r w:rsidR="00C01DA0">
            <w:ptab w:relativeTo="margin" w:alignment="right" w:leader="dot"/>
          </w:r>
          <w:r w:rsidR="006044ED">
            <w:rPr>
              <w:bCs/>
            </w:rPr>
            <w:t>59</w:t>
          </w:r>
        </w:p>
        <w:p w:rsidR="00C01DA0" w:rsidRDefault="00AB2DC9">
          <w:pPr>
            <w:pStyle w:val="TOC1"/>
            <w:rPr>
              <w:bCs/>
            </w:rPr>
          </w:pPr>
          <w:r w:rsidRPr="00AB2DC9">
            <w:t xml:space="preserve">Attachment B – Development of the National Pricing Model </w:t>
          </w:r>
          <w:r w:rsidR="00C01DA0">
            <w:ptab w:relativeTo="margin" w:alignment="right" w:leader="dot"/>
          </w:r>
          <w:r w:rsidR="006044ED">
            <w:t>60</w:t>
          </w:r>
        </w:p>
        <w:p w:rsidR="00C01DA0" w:rsidRDefault="00AB2DC9">
          <w:pPr>
            <w:pStyle w:val="TOC1"/>
          </w:pPr>
          <w:r w:rsidRPr="00AB2DC9">
            <w:t xml:space="preserve">Attachment C – List of the 21 DRGs </w:t>
          </w:r>
          <w:r w:rsidR="00ED5DBA">
            <w:t>using</w:t>
          </w:r>
          <w:r w:rsidRPr="00AB2DC9">
            <w:t xml:space="preserve"> L1.5H1.5</w:t>
          </w:r>
          <w:r w:rsidR="006044ED">
            <w:tab/>
            <w:t>69</w:t>
          </w:r>
        </w:p>
        <w:p w:rsidR="00AB2DC9" w:rsidRDefault="00AB2DC9" w:rsidP="00AB2DC9">
          <w:pPr>
            <w:pStyle w:val="TOC1"/>
          </w:pPr>
          <w:r w:rsidRPr="00AB2DC9">
            <w:t xml:space="preserve">Attachment </w:t>
          </w:r>
          <w:r w:rsidR="00605B3B">
            <w:t>D</w:t>
          </w:r>
          <w:r w:rsidRPr="00AB2DC9">
            <w:t xml:space="preserve"> – NEC15 Data Preparation</w:t>
          </w:r>
          <w:r w:rsidR="006044ED">
            <w:tab/>
            <w:t>70</w:t>
          </w:r>
        </w:p>
      </w:sdtContent>
    </w:sdt>
    <w:p w:rsidR="00AB2DC9" w:rsidRDefault="00AB2DC9" w:rsidP="00AB2DC9"/>
    <w:p w:rsidR="0036552B" w:rsidRPr="009B622C" w:rsidRDefault="0036552B" w:rsidP="009B622C">
      <w:pPr>
        <w:sectPr w:rsidR="0036552B" w:rsidRPr="009B622C" w:rsidSect="001E6A47">
          <w:pgSz w:w="11907" w:h="16839" w:code="9"/>
          <w:pgMar w:top="1440" w:right="1440" w:bottom="1440" w:left="1440" w:header="709" w:footer="709" w:gutter="0"/>
          <w:cols w:space="708"/>
          <w:docGrid w:linePitch="360"/>
        </w:sectPr>
      </w:pPr>
    </w:p>
    <w:p w:rsidR="00460371" w:rsidRPr="009B622C" w:rsidRDefault="00C91814" w:rsidP="009B622C">
      <w:pPr>
        <w:pStyle w:val="Heading1"/>
        <w:tabs>
          <w:tab w:val="clear" w:pos="1492"/>
        </w:tabs>
        <w:spacing w:after="240"/>
        <w:ind w:firstLine="0"/>
        <w:rPr>
          <w:b w:val="0"/>
        </w:rPr>
      </w:pPr>
      <w:bookmarkStart w:id="476" w:name="_Toc444528657"/>
      <w:r w:rsidRPr="009B622C">
        <w:t xml:space="preserve">Attachment </w:t>
      </w:r>
      <w:r w:rsidR="001E0627" w:rsidRPr="009B622C">
        <w:t>A</w:t>
      </w:r>
      <w:r w:rsidR="001E0627">
        <w:t xml:space="preserve"> </w:t>
      </w:r>
      <w:r w:rsidR="001E0627" w:rsidRPr="001E0627">
        <w:t xml:space="preserve">– Summary of </w:t>
      </w:r>
      <w:r w:rsidR="00ED5DBA" w:rsidRPr="001E0627">
        <w:t>201</w:t>
      </w:r>
      <w:r w:rsidR="00ED5DBA">
        <w:t>3</w:t>
      </w:r>
      <w:r w:rsidR="001E0627" w:rsidRPr="001E0627">
        <w:t>-</w:t>
      </w:r>
      <w:r w:rsidR="00ED5DBA" w:rsidRPr="001E0627">
        <w:t>1</w:t>
      </w:r>
      <w:r w:rsidR="00ED5DBA">
        <w:t>4</w:t>
      </w:r>
      <w:r w:rsidR="00ED5DBA" w:rsidRPr="001E0627">
        <w:t xml:space="preserve"> </w:t>
      </w:r>
      <w:r w:rsidR="001E0627" w:rsidRPr="001E0627">
        <w:t>input data</w:t>
      </w:r>
      <w:bookmarkEnd w:id="476"/>
    </w:p>
    <w:p w:rsidR="00146092" w:rsidRPr="006C7169" w:rsidRDefault="00146092">
      <w:pPr>
        <w:pStyle w:val="table"/>
      </w:pPr>
      <w:r w:rsidRPr="00832C72">
        <w:t>Table 1. Summary of 201</w:t>
      </w:r>
      <w:r w:rsidR="00ED5DBA">
        <w:t>2</w:t>
      </w:r>
      <w:r>
        <w:t>-1</w:t>
      </w:r>
      <w:r w:rsidR="00ED5DBA">
        <w:t>3</w:t>
      </w:r>
      <w:r w:rsidRPr="00832C72">
        <w:t xml:space="preserve"> and </w:t>
      </w:r>
      <w:r>
        <w:t>201</w:t>
      </w:r>
      <w:r w:rsidR="00ED5DBA">
        <w:t>3</w:t>
      </w:r>
      <w:r>
        <w:t>-1</w:t>
      </w:r>
      <w:r w:rsidR="00ED5DBA">
        <w:t>4</w:t>
      </w:r>
      <w:r w:rsidRPr="00832C72">
        <w:t xml:space="preserve"> Patient-Costed </w:t>
      </w:r>
      <w:r>
        <w:t>NHCDC data (ABF hospitals)</w:t>
      </w:r>
    </w:p>
    <w:tbl>
      <w:tblPr>
        <w:tblW w:w="10886" w:type="dxa"/>
        <w:jc w:val="center"/>
        <w:tblLayout w:type="fixed"/>
        <w:tblLook w:val="04A0" w:firstRow="1" w:lastRow="0" w:firstColumn="1" w:lastColumn="0" w:noHBand="0" w:noVBand="1"/>
        <w:tblDescription w:val="Table 1 provides a summary of patient costed National Hospital Cost Data Collection (NHCDC) data measured from the period 2010-11 and 2011-12.Table 2 provides a summary of Population data measured from the period 2010-11 and 2011-12.Table 3 provides a summary of costed National Hospital Cost Data Collection (NHCDC) data measured from the period  2010-11 and 2011-12."/>
      </w:tblPr>
      <w:tblGrid>
        <w:gridCol w:w="1302"/>
        <w:gridCol w:w="1087"/>
        <w:gridCol w:w="1087"/>
        <w:gridCol w:w="1031"/>
        <w:gridCol w:w="1143"/>
        <w:gridCol w:w="1087"/>
        <w:gridCol w:w="955"/>
        <w:gridCol w:w="1219"/>
        <w:gridCol w:w="983"/>
        <w:gridCol w:w="992"/>
      </w:tblGrid>
      <w:tr w:rsidR="00146092" w:rsidRPr="00163EB6" w:rsidTr="00E33EAE">
        <w:trPr>
          <w:trHeight w:val="567"/>
          <w:jc w:val="center"/>
        </w:trPr>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46092" w:rsidRPr="00E33EAE" w:rsidRDefault="00146092" w:rsidP="00DF31C8">
            <w:pPr>
              <w:spacing w:beforeLines="80" w:before="192" w:afterLines="80" w:after="192"/>
              <w:contextualSpacing/>
              <w:rPr>
                <w:rFonts w:cstheme="minorHAnsi"/>
                <w:b/>
                <w:bCs/>
                <w:color w:val="000000"/>
                <w:sz w:val="20"/>
                <w:lang w:eastAsia="en-AU"/>
              </w:rPr>
            </w:pPr>
            <w:r w:rsidRPr="00E33EAE">
              <w:rPr>
                <w:rFonts w:cstheme="minorHAnsi"/>
                <w:b/>
                <w:bCs/>
                <w:color w:val="000000"/>
                <w:sz w:val="20"/>
                <w:lang w:eastAsia="en-AU"/>
              </w:rPr>
              <w:t> </w:t>
            </w:r>
          </w:p>
          <w:p w:rsidR="00146092" w:rsidRPr="00E33EAE" w:rsidRDefault="00146092" w:rsidP="00DF31C8">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 </w:t>
            </w:r>
          </w:p>
        </w:tc>
        <w:tc>
          <w:tcPr>
            <w:tcW w:w="3205" w:type="dxa"/>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146092" w:rsidRPr="00E33EAE" w:rsidRDefault="00146092" w:rsidP="00DF31C8">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Establishments</w:t>
            </w:r>
          </w:p>
        </w:tc>
        <w:tc>
          <w:tcPr>
            <w:tcW w:w="3185" w:type="dxa"/>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146092" w:rsidRPr="00E33EAE" w:rsidRDefault="00146092" w:rsidP="00DF31C8">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Activity (Separations/Episodes)</w:t>
            </w:r>
          </w:p>
        </w:tc>
        <w:tc>
          <w:tcPr>
            <w:tcW w:w="3194"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46092" w:rsidRPr="00E33EAE" w:rsidRDefault="00146092" w:rsidP="00DF31C8">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Total Reported In</w:t>
            </w:r>
            <w:r w:rsidRPr="00E33EAE">
              <w:rPr>
                <w:rFonts w:cstheme="minorHAnsi"/>
                <w:b/>
                <w:bCs/>
                <w:color w:val="000000"/>
                <w:sz w:val="20"/>
                <w:lang w:eastAsia="en-AU"/>
              </w:rPr>
              <w:noBreakHyphen/>
              <w:t>scope Cost</w:t>
            </w:r>
          </w:p>
        </w:tc>
      </w:tr>
      <w:tr w:rsidR="00146092" w:rsidRPr="00163EB6" w:rsidTr="00E33EAE">
        <w:trPr>
          <w:trHeight w:val="567"/>
          <w:jc w:val="center"/>
        </w:trPr>
        <w:tc>
          <w:tcPr>
            <w:tcW w:w="130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6092" w:rsidRPr="00E33EAE" w:rsidRDefault="00146092" w:rsidP="00DF31C8">
            <w:pPr>
              <w:spacing w:beforeLines="80" w:before="192" w:afterLines="80" w:after="192"/>
              <w:contextualSpacing/>
              <w:jc w:val="center"/>
              <w:rPr>
                <w:rFonts w:cstheme="minorHAnsi"/>
                <w:b/>
                <w:bCs/>
                <w:color w:val="000000"/>
                <w:sz w:val="20"/>
                <w:lang w:eastAsia="en-AU"/>
              </w:rPr>
            </w:pPr>
          </w:p>
        </w:tc>
        <w:tc>
          <w:tcPr>
            <w:tcW w:w="1087" w:type="dxa"/>
            <w:tcBorders>
              <w:top w:val="nil"/>
              <w:left w:val="nil"/>
              <w:bottom w:val="single" w:sz="4" w:space="0" w:color="auto"/>
              <w:right w:val="single" w:sz="4" w:space="0" w:color="auto"/>
            </w:tcBorders>
            <w:shd w:val="clear" w:color="auto" w:fill="auto"/>
            <w:noWrap/>
            <w:vAlign w:val="center"/>
            <w:hideMark/>
          </w:tcPr>
          <w:p w:rsidR="00146092" w:rsidRPr="00E33EAE" w:rsidRDefault="00146092" w:rsidP="00ED5DBA">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201</w:t>
            </w:r>
            <w:r w:rsidR="00ED5DBA">
              <w:rPr>
                <w:rFonts w:cstheme="minorHAnsi"/>
                <w:b/>
                <w:bCs/>
                <w:color w:val="000000"/>
                <w:sz w:val="20"/>
                <w:lang w:eastAsia="en-AU"/>
              </w:rPr>
              <w:t>2</w:t>
            </w:r>
            <w:r w:rsidRPr="00E33EAE">
              <w:rPr>
                <w:rFonts w:cstheme="minorHAnsi"/>
                <w:b/>
                <w:bCs/>
                <w:color w:val="000000"/>
                <w:sz w:val="20"/>
                <w:lang w:eastAsia="en-AU"/>
              </w:rPr>
              <w:t>-1</w:t>
            </w:r>
            <w:r w:rsidR="00ED5DBA">
              <w:rPr>
                <w:rFonts w:cstheme="minorHAnsi"/>
                <w:b/>
                <w:bCs/>
                <w:color w:val="000000"/>
                <w:sz w:val="20"/>
                <w:lang w:eastAsia="en-AU"/>
              </w:rPr>
              <w:t>3</w:t>
            </w:r>
          </w:p>
        </w:tc>
        <w:tc>
          <w:tcPr>
            <w:tcW w:w="1087" w:type="dxa"/>
            <w:tcBorders>
              <w:top w:val="nil"/>
              <w:left w:val="nil"/>
              <w:bottom w:val="single" w:sz="4" w:space="0" w:color="auto"/>
              <w:right w:val="single" w:sz="4" w:space="0" w:color="auto"/>
            </w:tcBorders>
            <w:shd w:val="clear" w:color="auto" w:fill="auto"/>
            <w:noWrap/>
            <w:vAlign w:val="center"/>
            <w:hideMark/>
          </w:tcPr>
          <w:p w:rsidR="00146092" w:rsidRPr="00E33EAE" w:rsidRDefault="00146092">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201</w:t>
            </w:r>
            <w:r w:rsidR="00ED5DBA">
              <w:rPr>
                <w:rFonts w:cstheme="minorHAnsi"/>
                <w:b/>
                <w:bCs/>
                <w:color w:val="000000"/>
                <w:sz w:val="20"/>
                <w:lang w:eastAsia="en-AU"/>
              </w:rPr>
              <w:t>3</w:t>
            </w:r>
            <w:r w:rsidRPr="00E33EAE">
              <w:rPr>
                <w:rFonts w:cstheme="minorHAnsi"/>
                <w:b/>
                <w:bCs/>
                <w:color w:val="000000"/>
                <w:sz w:val="20"/>
                <w:lang w:eastAsia="en-AU"/>
              </w:rPr>
              <w:t>-1</w:t>
            </w:r>
            <w:r w:rsidR="00ED5DBA">
              <w:rPr>
                <w:rFonts w:cstheme="minorHAnsi"/>
                <w:b/>
                <w:bCs/>
                <w:color w:val="000000"/>
                <w:sz w:val="20"/>
                <w:lang w:eastAsia="en-AU"/>
              </w:rPr>
              <w:t>4</w:t>
            </w:r>
          </w:p>
        </w:tc>
        <w:tc>
          <w:tcPr>
            <w:tcW w:w="1031" w:type="dxa"/>
            <w:tcBorders>
              <w:top w:val="nil"/>
              <w:left w:val="nil"/>
              <w:bottom w:val="single" w:sz="4" w:space="0" w:color="auto"/>
              <w:right w:val="single" w:sz="4" w:space="0" w:color="auto"/>
            </w:tcBorders>
            <w:shd w:val="clear" w:color="auto" w:fill="auto"/>
            <w:noWrap/>
            <w:vAlign w:val="center"/>
            <w:hideMark/>
          </w:tcPr>
          <w:p w:rsidR="00146092" w:rsidRPr="00E33EAE" w:rsidRDefault="00146092" w:rsidP="00DF31C8">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 Change</w:t>
            </w:r>
          </w:p>
        </w:tc>
        <w:tc>
          <w:tcPr>
            <w:tcW w:w="1143" w:type="dxa"/>
            <w:tcBorders>
              <w:top w:val="nil"/>
              <w:left w:val="nil"/>
              <w:bottom w:val="single" w:sz="4" w:space="0" w:color="auto"/>
              <w:right w:val="single" w:sz="4" w:space="0" w:color="auto"/>
            </w:tcBorders>
            <w:shd w:val="clear" w:color="auto" w:fill="auto"/>
            <w:noWrap/>
            <w:vAlign w:val="center"/>
            <w:hideMark/>
          </w:tcPr>
          <w:p w:rsidR="00146092" w:rsidRPr="00E33EAE" w:rsidRDefault="00146092" w:rsidP="00ED5DBA">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201</w:t>
            </w:r>
            <w:r w:rsidR="00ED5DBA">
              <w:rPr>
                <w:rFonts w:cstheme="minorHAnsi"/>
                <w:b/>
                <w:bCs/>
                <w:color w:val="000000"/>
                <w:sz w:val="20"/>
                <w:lang w:eastAsia="en-AU"/>
              </w:rPr>
              <w:t>2</w:t>
            </w:r>
            <w:r w:rsidRPr="00E33EAE">
              <w:rPr>
                <w:rFonts w:cstheme="minorHAnsi"/>
                <w:b/>
                <w:bCs/>
                <w:color w:val="000000"/>
                <w:sz w:val="20"/>
                <w:lang w:eastAsia="en-AU"/>
              </w:rPr>
              <w:t>-1</w:t>
            </w:r>
            <w:r w:rsidR="00ED5DBA">
              <w:rPr>
                <w:rFonts w:cstheme="minorHAnsi"/>
                <w:b/>
                <w:bCs/>
                <w:color w:val="000000"/>
                <w:sz w:val="20"/>
                <w:lang w:eastAsia="en-AU"/>
              </w:rPr>
              <w:t>3</w:t>
            </w:r>
          </w:p>
        </w:tc>
        <w:tc>
          <w:tcPr>
            <w:tcW w:w="1087" w:type="dxa"/>
            <w:tcBorders>
              <w:top w:val="nil"/>
              <w:left w:val="nil"/>
              <w:bottom w:val="single" w:sz="4" w:space="0" w:color="auto"/>
              <w:right w:val="single" w:sz="4" w:space="0" w:color="auto"/>
            </w:tcBorders>
            <w:shd w:val="clear" w:color="auto" w:fill="auto"/>
            <w:noWrap/>
            <w:vAlign w:val="center"/>
            <w:hideMark/>
          </w:tcPr>
          <w:p w:rsidR="00146092" w:rsidRPr="00E33EAE" w:rsidRDefault="00146092">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201</w:t>
            </w:r>
            <w:r w:rsidR="00ED5DBA">
              <w:rPr>
                <w:rFonts w:cstheme="minorHAnsi"/>
                <w:b/>
                <w:bCs/>
                <w:color w:val="000000"/>
                <w:sz w:val="20"/>
                <w:lang w:eastAsia="en-AU"/>
              </w:rPr>
              <w:t>3</w:t>
            </w:r>
            <w:r w:rsidRPr="00E33EAE">
              <w:rPr>
                <w:rFonts w:cstheme="minorHAnsi"/>
                <w:b/>
                <w:bCs/>
                <w:color w:val="000000"/>
                <w:sz w:val="20"/>
                <w:lang w:eastAsia="en-AU"/>
              </w:rPr>
              <w:t>-1</w:t>
            </w:r>
            <w:r w:rsidR="00ED5DBA">
              <w:rPr>
                <w:rFonts w:cstheme="minorHAnsi"/>
                <w:b/>
                <w:bCs/>
                <w:color w:val="000000"/>
                <w:sz w:val="20"/>
                <w:lang w:eastAsia="en-AU"/>
              </w:rPr>
              <w:t>4</w:t>
            </w:r>
          </w:p>
        </w:tc>
        <w:tc>
          <w:tcPr>
            <w:tcW w:w="955" w:type="dxa"/>
            <w:tcBorders>
              <w:top w:val="nil"/>
              <w:left w:val="nil"/>
              <w:bottom w:val="single" w:sz="4" w:space="0" w:color="auto"/>
              <w:right w:val="single" w:sz="4" w:space="0" w:color="auto"/>
            </w:tcBorders>
            <w:shd w:val="clear" w:color="auto" w:fill="auto"/>
            <w:noWrap/>
            <w:vAlign w:val="center"/>
            <w:hideMark/>
          </w:tcPr>
          <w:p w:rsidR="00146092" w:rsidRPr="00E33EAE" w:rsidRDefault="00146092" w:rsidP="00DF31C8">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 Change</w:t>
            </w:r>
          </w:p>
        </w:tc>
        <w:tc>
          <w:tcPr>
            <w:tcW w:w="1219" w:type="dxa"/>
            <w:tcBorders>
              <w:top w:val="nil"/>
              <w:left w:val="nil"/>
              <w:bottom w:val="single" w:sz="4" w:space="0" w:color="auto"/>
              <w:right w:val="single" w:sz="4" w:space="0" w:color="auto"/>
            </w:tcBorders>
            <w:shd w:val="clear" w:color="auto" w:fill="auto"/>
            <w:noWrap/>
            <w:vAlign w:val="center"/>
            <w:hideMark/>
          </w:tcPr>
          <w:p w:rsidR="00146092" w:rsidRPr="00E33EAE" w:rsidRDefault="00146092" w:rsidP="00ED5DBA">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201</w:t>
            </w:r>
            <w:r w:rsidR="00ED5DBA">
              <w:rPr>
                <w:rFonts w:cstheme="minorHAnsi"/>
                <w:b/>
                <w:bCs/>
                <w:color w:val="000000"/>
                <w:sz w:val="20"/>
                <w:lang w:eastAsia="en-AU"/>
              </w:rPr>
              <w:t>2</w:t>
            </w:r>
            <w:r w:rsidRPr="00E33EAE">
              <w:rPr>
                <w:rFonts w:cstheme="minorHAnsi"/>
                <w:b/>
                <w:bCs/>
                <w:color w:val="000000"/>
                <w:sz w:val="20"/>
                <w:lang w:eastAsia="en-AU"/>
              </w:rPr>
              <w:t>-1</w:t>
            </w:r>
            <w:r w:rsidR="00ED5DBA">
              <w:rPr>
                <w:rFonts w:cstheme="minorHAnsi"/>
                <w:b/>
                <w:bCs/>
                <w:color w:val="000000"/>
                <w:sz w:val="20"/>
                <w:lang w:eastAsia="en-AU"/>
              </w:rPr>
              <w:t>3</w:t>
            </w:r>
          </w:p>
        </w:tc>
        <w:tc>
          <w:tcPr>
            <w:tcW w:w="983" w:type="dxa"/>
            <w:tcBorders>
              <w:top w:val="nil"/>
              <w:left w:val="nil"/>
              <w:bottom w:val="single" w:sz="4" w:space="0" w:color="auto"/>
              <w:right w:val="single" w:sz="4" w:space="0" w:color="auto"/>
            </w:tcBorders>
            <w:shd w:val="clear" w:color="auto" w:fill="auto"/>
            <w:noWrap/>
            <w:vAlign w:val="center"/>
            <w:hideMark/>
          </w:tcPr>
          <w:p w:rsidR="00146092" w:rsidRPr="00E33EAE" w:rsidRDefault="00146092">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201</w:t>
            </w:r>
            <w:r w:rsidR="00ED5DBA">
              <w:rPr>
                <w:rFonts w:cstheme="minorHAnsi"/>
                <w:b/>
                <w:bCs/>
                <w:color w:val="000000"/>
                <w:sz w:val="20"/>
                <w:lang w:eastAsia="en-AU"/>
              </w:rPr>
              <w:t>3</w:t>
            </w:r>
            <w:r w:rsidRPr="00E33EAE">
              <w:rPr>
                <w:rFonts w:cstheme="minorHAnsi"/>
                <w:b/>
                <w:bCs/>
                <w:color w:val="000000"/>
                <w:sz w:val="20"/>
                <w:lang w:eastAsia="en-AU"/>
              </w:rPr>
              <w:t>-1</w:t>
            </w:r>
            <w:r w:rsidR="00ED5DBA">
              <w:rPr>
                <w:rFonts w:cstheme="minorHAnsi"/>
                <w:b/>
                <w:bCs/>
                <w:color w:val="000000"/>
                <w:sz w:val="20"/>
                <w:lang w:eastAsia="en-AU"/>
              </w:rPr>
              <w:t>4</w:t>
            </w:r>
          </w:p>
        </w:tc>
        <w:tc>
          <w:tcPr>
            <w:tcW w:w="992" w:type="dxa"/>
            <w:tcBorders>
              <w:top w:val="nil"/>
              <w:left w:val="nil"/>
              <w:bottom w:val="single" w:sz="4" w:space="0" w:color="auto"/>
              <w:right w:val="single" w:sz="4" w:space="0" w:color="auto"/>
            </w:tcBorders>
          </w:tcPr>
          <w:p w:rsidR="00146092" w:rsidRPr="00E33EAE" w:rsidRDefault="00146092" w:rsidP="00DF31C8">
            <w:pPr>
              <w:spacing w:beforeLines="80" w:before="192" w:afterLines="80" w:after="192"/>
              <w:contextualSpacing/>
              <w:jc w:val="center"/>
              <w:rPr>
                <w:rFonts w:cstheme="minorHAnsi"/>
                <w:b/>
                <w:bCs/>
                <w:color w:val="000000"/>
                <w:sz w:val="20"/>
                <w:lang w:eastAsia="en-AU"/>
              </w:rPr>
            </w:pPr>
            <w:r w:rsidRPr="00E33EAE">
              <w:rPr>
                <w:rFonts w:cstheme="minorHAnsi"/>
                <w:b/>
                <w:bCs/>
                <w:color w:val="000000"/>
                <w:sz w:val="20"/>
                <w:lang w:eastAsia="en-AU"/>
              </w:rPr>
              <w:t>% Change</w:t>
            </w:r>
          </w:p>
        </w:tc>
      </w:tr>
      <w:tr w:rsidR="00146092" w:rsidRPr="00163EB6" w:rsidTr="00176A2D">
        <w:trPr>
          <w:trHeight w:val="567"/>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146092" w:rsidRPr="00E33EAE" w:rsidRDefault="001C6800" w:rsidP="00DF31C8">
            <w:pPr>
              <w:spacing w:beforeLines="80" w:before="192" w:afterLines="80" w:after="192"/>
              <w:contextualSpacing/>
              <w:rPr>
                <w:rFonts w:cstheme="minorHAnsi"/>
                <w:b/>
                <w:bCs/>
                <w:color w:val="000000"/>
                <w:sz w:val="20"/>
                <w:lang w:eastAsia="en-AU"/>
              </w:rPr>
            </w:pPr>
            <w:r>
              <w:rPr>
                <w:rFonts w:cstheme="minorHAnsi"/>
                <w:b/>
                <w:bCs/>
                <w:color w:val="000000"/>
                <w:sz w:val="20"/>
                <w:lang w:eastAsia="en-AU"/>
              </w:rPr>
              <w:t>Admitted acute</w:t>
            </w:r>
          </w:p>
        </w:tc>
        <w:tc>
          <w:tcPr>
            <w:tcW w:w="1087" w:type="dxa"/>
            <w:tcBorders>
              <w:top w:val="nil"/>
              <w:left w:val="nil"/>
              <w:bottom w:val="single" w:sz="4" w:space="0" w:color="auto"/>
              <w:right w:val="single" w:sz="4" w:space="0" w:color="auto"/>
            </w:tcBorders>
            <w:shd w:val="clear" w:color="auto" w:fill="auto"/>
            <w:noWrap/>
            <w:vAlign w:val="center"/>
            <w:hideMark/>
          </w:tcPr>
          <w:p w:rsidR="00146092" w:rsidRPr="00176A2D" w:rsidRDefault="00176A2D" w:rsidP="00DF31C8">
            <w:pPr>
              <w:spacing w:beforeLines="80" w:before="192" w:afterLines="80" w:after="192"/>
              <w:contextualSpacing/>
              <w:jc w:val="center"/>
              <w:rPr>
                <w:rFonts w:cstheme="minorHAnsi"/>
                <w:color w:val="000000"/>
                <w:sz w:val="18"/>
                <w:lang w:eastAsia="en-AU"/>
              </w:rPr>
            </w:pPr>
            <w:r w:rsidRPr="00176A2D">
              <w:rPr>
                <w:rFonts w:cstheme="minorHAnsi"/>
                <w:color w:val="000000"/>
                <w:sz w:val="18"/>
              </w:rPr>
              <w:t>222</w:t>
            </w:r>
          </w:p>
        </w:tc>
        <w:tc>
          <w:tcPr>
            <w:tcW w:w="1087" w:type="dxa"/>
            <w:tcBorders>
              <w:top w:val="nil"/>
              <w:left w:val="nil"/>
              <w:bottom w:val="single" w:sz="4" w:space="0" w:color="auto"/>
              <w:right w:val="single" w:sz="4" w:space="0" w:color="auto"/>
            </w:tcBorders>
            <w:shd w:val="clear" w:color="auto" w:fill="auto"/>
            <w:noWrap/>
            <w:vAlign w:val="center"/>
            <w:hideMark/>
          </w:tcPr>
          <w:p w:rsidR="00146092" w:rsidRPr="00176A2D" w:rsidRDefault="00176A2D" w:rsidP="00DF31C8">
            <w:pPr>
              <w:spacing w:beforeLines="80" w:before="192" w:afterLines="80" w:after="192"/>
              <w:contextualSpacing/>
              <w:jc w:val="center"/>
              <w:rPr>
                <w:rFonts w:cstheme="minorHAnsi"/>
                <w:color w:val="000000"/>
                <w:sz w:val="18"/>
                <w:lang w:eastAsia="en-AU"/>
              </w:rPr>
            </w:pPr>
            <w:r w:rsidRPr="00176A2D">
              <w:rPr>
                <w:rFonts w:cstheme="minorHAnsi"/>
                <w:color w:val="000000"/>
                <w:sz w:val="18"/>
              </w:rPr>
              <w:t>237</w:t>
            </w:r>
          </w:p>
        </w:tc>
        <w:tc>
          <w:tcPr>
            <w:tcW w:w="1031" w:type="dxa"/>
            <w:tcBorders>
              <w:top w:val="nil"/>
              <w:left w:val="nil"/>
              <w:bottom w:val="single" w:sz="4" w:space="0" w:color="auto"/>
              <w:right w:val="single" w:sz="4" w:space="0" w:color="auto"/>
            </w:tcBorders>
            <w:shd w:val="clear" w:color="auto" w:fill="auto"/>
            <w:noWrap/>
            <w:vAlign w:val="center"/>
            <w:hideMark/>
          </w:tcPr>
          <w:p w:rsidR="00146092" w:rsidRPr="00176A2D" w:rsidRDefault="00176A2D" w:rsidP="00DF31C8">
            <w:pPr>
              <w:spacing w:beforeLines="80" w:before="192" w:afterLines="80" w:after="192"/>
              <w:contextualSpacing/>
              <w:jc w:val="center"/>
              <w:rPr>
                <w:rFonts w:cstheme="minorHAnsi"/>
                <w:color w:val="000000"/>
                <w:sz w:val="18"/>
                <w:lang w:eastAsia="en-AU"/>
              </w:rPr>
            </w:pPr>
            <w:r w:rsidRPr="00176A2D">
              <w:rPr>
                <w:rFonts w:cstheme="minorHAnsi"/>
                <w:color w:val="000000"/>
                <w:sz w:val="18"/>
              </w:rPr>
              <w:t>6</w:t>
            </w:r>
            <w:r w:rsidR="00146092" w:rsidRPr="00176A2D">
              <w:rPr>
                <w:rFonts w:cstheme="minorHAnsi"/>
                <w:color w:val="000000"/>
                <w:sz w:val="18"/>
              </w:rPr>
              <w:t>.8%</w:t>
            </w:r>
          </w:p>
        </w:tc>
        <w:tc>
          <w:tcPr>
            <w:tcW w:w="1143" w:type="dxa"/>
            <w:tcBorders>
              <w:top w:val="nil"/>
              <w:left w:val="nil"/>
              <w:bottom w:val="single" w:sz="4" w:space="0" w:color="auto"/>
              <w:right w:val="single" w:sz="4" w:space="0" w:color="auto"/>
            </w:tcBorders>
            <w:shd w:val="clear" w:color="auto" w:fill="auto"/>
            <w:noWrap/>
            <w:vAlign w:val="center"/>
            <w:hideMark/>
          </w:tcPr>
          <w:p w:rsidR="00146092" w:rsidRPr="00176A2D" w:rsidRDefault="00146092" w:rsidP="00176A2D">
            <w:pPr>
              <w:spacing w:beforeLines="80" w:before="192" w:afterLines="80" w:after="192"/>
              <w:contextualSpacing/>
              <w:jc w:val="center"/>
              <w:rPr>
                <w:rFonts w:cstheme="minorHAnsi"/>
                <w:color w:val="000000"/>
                <w:sz w:val="18"/>
                <w:lang w:eastAsia="en-AU"/>
              </w:rPr>
            </w:pPr>
            <w:r w:rsidRPr="00176A2D">
              <w:rPr>
                <w:rFonts w:cstheme="minorHAnsi"/>
                <w:color w:val="000000"/>
                <w:sz w:val="18"/>
              </w:rPr>
              <w:t>4.</w:t>
            </w:r>
            <w:r w:rsidR="00176A2D" w:rsidRPr="00176A2D">
              <w:rPr>
                <w:rFonts w:cstheme="minorHAnsi"/>
                <w:color w:val="000000"/>
                <w:sz w:val="18"/>
              </w:rPr>
              <w:t>7</w:t>
            </w:r>
            <w:r w:rsidRPr="00176A2D">
              <w:rPr>
                <w:rFonts w:cstheme="minorHAnsi"/>
                <w:color w:val="000000"/>
                <w:sz w:val="18"/>
              </w:rPr>
              <w:t>M</w:t>
            </w:r>
          </w:p>
        </w:tc>
        <w:tc>
          <w:tcPr>
            <w:tcW w:w="1087" w:type="dxa"/>
            <w:tcBorders>
              <w:top w:val="nil"/>
              <w:left w:val="nil"/>
              <w:bottom w:val="single" w:sz="4" w:space="0" w:color="auto"/>
              <w:right w:val="single" w:sz="4" w:space="0" w:color="auto"/>
            </w:tcBorders>
            <w:shd w:val="clear" w:color="auto" w:fill="auto"/>
            <w:noWrap/>
            <w:vAlign w:val="center"/>
            <w:hideMark/>
          </w:tcPr>
          <w:p w:rsidR="00146092" w:rsidRPr="00176A2D" w:rsidRDefault="00146092" w:rsidP="00176A2D">
            <w:pPr>
              <w:spacing w:beforeLines="80" w:before="192" w:afterLines="80" w:after="192"/>
              <w:contextualSpacing/>
              <w:jc w:val="center"/>
              <w:rPr>
                <w:rFonts w:cstheme="minorHAnsi"/>
                <w:color w:val="000000"/>
                <w:sz w:val="18"/>
                <w:lang w:eastAsia="en-AU"/>
              </w:rPr>
            </w:pPr>
            <w:r w:rsidRPr="00176A2D">
              <w:rPr>
                <w:rFonts w:cstheme="minorHAnsi"/>
                <w:color w:val="000000"/>
                <w:sz w:val="18"/>
              </w:rPr>
              <w:t>4.</w:t>
            </w:r>
            <w:r w:rsidR="00176A2D" w:rsidRPr="00176A2D">
              <w:rPr>
                <w:rFonts w:cstheme="minorHAnsi"/>
                <w:color w:val="000000"/>
                <w:sz w:val="18"/>
              </w:rPr>
              <w:t>9</w:t>
            </w:r>
            <w:r w:rsidRPr="00176A2D">
              <w:rPr>
                <w:rFonts w:cstheme="minorHAnsi"/>
                <w:color w:val="000000"/>
                <w:sz w:val="18"/>
              </w:rPr>
              <w:t>M</w:t>
            </w:r>
          </w:p>
        </w:tc>
        <w:tc>
          <w:tcPr>
            <w:tcW w:w="955" w:type="dxa"/>
            <w:tcBorders>
              <w:top w:val="nil"/>
              <w:left w:val="nil"/>
              <w:bottom w:val="single" w:sz="4" w:space="0" w:color="auto"/>
              <w:right w:val="single" w:sz="4" w:space="0" w:color="auto"/>
            </w:tcBorders>
            <w:shd w:val="clear" w:color="auto" w:fill="auto"/>
            <w:noWrap/>
            <w:vAlign w:val="center"/>
            <w:hideMark/>
          </w:tcPr>
          <w:p w:rsidR="00146092" w:rsidRPr="00176A2D" w:rsidRDefault="00176A2D" w:rsidP="00DF31C8">
            <w:pPr>
              <w:spacing w:beforeLines="80" w:before="192" w:afterLines="80" w:after="192"/>
              <w:contextualSpacing/>
              <w:jc w:val="center"/>
              <w:rPr>
                <w:rFonts w:cstheme="minorHAnsi"/>
                <w:color w:val="000000"/>
                <w:sz w:val="18"/>
              </w:rPr>
            </w:pPr>
            <w:r w:rsidRPr="00176A2D">
              <w:rPr>
                <w:rFonts w:cstheme="minorHAnsi"/>
                <w:color w:val="000000"/>
                <w:sz w:val="18"/>
              </w:rPr>
              <w:t>5.4</w:t>
            </w:r>
            <w:r w:rsidR="00146092" w:rsidRPr="00176A2D">
              <w:rPr>
                <w:rFonts w:cstheme="minorHAnsi"/>
                <w:color w:val="000000"/>
                <w:sz w:val="18"/>
              </w:rPr>
              <w:t>%</w:t>
            </w:r>
          </w:p>
        </w:tc>
        <w:tc>
          <w:tcPr>
            <w:tcW w:w="1219" w:type="dxa"/>
            <w:tcBorders>
              <w:top w:val="nil"/>
              <w:left w:val="nil"/>
              <w:bottom w:val="single" w:sz="4" w:space="0" w:color="auto"/>
              <w:right w:val="single" w:sz="4" w:space="0" w:color="auto"/>
            </w:tcBorders>
            <w:shd w:val="clear" w:color="auto" w:fill="auto"/>
            <w:noWrap/>
            <w:vAlign w:val="center"/>
            <w:hideMark/>
          </w:tcPr>
          <w:p w:rsidR="00146092" w:rsidRPr="00176A2D" w:rsidRDefault="00176A2D" w:rsidP="00176A2D">
            <w:pPr>
              <w:spacing w:beforeLines="80" w:before="192" w:afterLines="80" w:after="192"/>
              <w:contextualSpacing/>
              <w:jc w:val="center"/>
              <w:rPr>
                <w:rFonts w:cstheme="minorHAnsi"/>
                <w:color w:val="000000"/>
                <w:sz w:val="18"/>
                <w:lang w:eastAsia="en-AU"/>
              </w:rPr>
            </w:pPr>
            <w:r w:rsidRPr="00176A2D">
              <w:rPr>
                <w:rFonts w:cstheme="minorHAnsi"/>
                <w:color w:val="000000"/>
                <w:sz w:val="18"/>
                <w:lang w:eastAsia="en-AU"/>
              </w:rPr>
              <w:t>$21.7B</w:t>
            </w:r>
          </w:p>
        </w:tc>
        <w:tc>
          <w:tcPr>
            <w:tcW w:w="983"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$23.0B</w:t>
            </w:r>
          </w:p>
        </w:tc>
        <w:tc>
          <w:tcPr>
            <w:tcW w:w="992" w:type="dxa"/>
            <w:tcBorders>
              <w:top w:val="nil"/>
              <w:left w:val="nil"/>
              <w:bottom w:val="single" w:sz="4" w:space="0" w:color="auto"/>
              <w:right w:val="single" w:sz="4" w:space="0" w:color="auto"/>
            </w:tcBorders>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6.0%</w:t>
            </w:r>
          </w:p>
        </w:tc>
      </w:tr>
      <w:tr w:rsidR="00146092" w:rsidRPr="00163EB6" w:rsidTr="00176A2D">
        <w:trPr>
          <w:trHeight w:val="567"/>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146092" w:rsidRPr="00E33EAE" w:rsidRDefault="00146092" w:rsidP="00DF31C8">
            <w:pPr>
              <w:spacing w:beforeLines="80" w:before="192" w:afterLines="80" w:after="192"/>
              <w:contextualSpacing/>
              <w:rPr>
                <w:rFonts w:cstheme="minorHAnsi"/>
                <w:b/>
                <w:bCs/>
                <w:color w:val="000000"/>
                <w:sz w:val="20"/>
                <w:lang w:eastAsia="en-AU"/>
              </w:rPr>
            </w:pPr>
            <w:r w:rsidRPr="00E33EAE">
              <w:rPr>
                <w:rFonts w:cstheme="minorHAnsi"/>
                <w:b/>
                <w:bCs/>
                <w:color w:val="000000"/>
                <w:sz w:val="20"/>
                <w:lang w:eastAsia="en-AU"/>
              </w:rPr>
              <w:t>Emergency</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166</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174</w:t>
            </w:r>
          </w:p>
        </w:tc>
        <w:tc>
          <w:tcPr>
            <w:tcW w:w="1031"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4.8%</w:t>
            </w:r>
          </w:p>
        </w:tc>
        <w:tc>
          <w:tcPr>
            <w:tcW w:w="1143"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6.2M</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6.6M</w:t>
            </w:r>
          </w:p>
        </w:tc>
        <w:tc>
          <w:tcPr>
            <w:tcW w:w="955"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rPr>
            </w:pPr>
            <w:r>
              <w:rPr>
                <w:rFonts w:cstheme="minorHAnsi"/>
                <w:color w:val="000000"/>
                <w:sz w:val="18"/>
              </w:rPr>
              <w:t>6.0%</w:t>
            </w:r>
          </w:p>
        </w:tc>
        <w:tc>
          <w:tcPr>
            <w:tcW w:w="1219"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$1.0B</w:t>
            </w:r>
          </w:p>
        </w:tc>
        <w:tc>
          <w:tcPr>
            <w:tcW w:w="983"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$1.1B</w:t>
            </w:r>
          </w:p>
        </w:tc>
        <w:tc>
          <w:tcPr>
            <w:tcW w:w="992" w:type="dxa"/>
            <w:tcBorders>
              <w:top w:val="nil"/>
              <w:left w:val="nil"/>
              <w:bottom w:val="single" w:sz="4" w:space="0" w:color="auto"/>
              <w:right w:val="single" w:sz="4" w:space="0" w:color="auto"/>
            </w:tcBorders>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7.8%</w:t>
            </w:r>
          </w:p>
        </w:tc>
      </w:tr>
      <w:tr w:rsidR="00146092" w:rsidRPr="00163EB6" w:rsidTr="00176A2D">
        <w:trPr>
          <w:trHeight w:val="567"/>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146092" w:rsidRPr="00E33EAE" w:rsidRDefault="00146092" w:rsidP="00DF31C8">
            <w:pPr>
              <w:spacing w:beforeLines="80" w:before="192" w:afterLines="80" w:after="192"/>
              <w:contextualSpacing/>
              <w:rPr>
                <w:rFonts w:cstheme="minorHAnsi"/>
                <w:b/>
                <w:bCs/>
                <w:color w:val="000000"/>
                <w:sz w:val="20"/>
                <w:lang w:eastAsia="en-AU"/>
              </w:rPr>
            </w:pPr>
            <w:r w:rsidRPr="00E33EAE">
              <w:rPr>
                <w:rFonts w:cstheme="minorHAnsi"/>
                <w:b/>
                <w:bCs/>
                <w:color w:val="000000"/>
                <w:sz w:val="20"/>
                <w:lang w:eastAsia="en-AU"/>
              </w:rPr>
              <w:t>Non-admitted</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161</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188</w:t>
            </w:r>
          </w:p>
        </w:tc>
        <w:tc>
          <w:tcPr>
            <w:tcW w:w="1031"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16.8%</w:t>
            </w:r>
          </w:p>
        </w:tc>
        <w:tc>
          <w:tcPr>
            <w:tcW w:w="1143"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12.5M</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15.2M</w:t>
            </w:r>
          </w:p>
        </w:tc>
        <w:tc>
          <w:tcPr>
            <w:tcW w:w="955"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rPr>
            </w:pPr>
            <w:r>
              <w:rPr>
                <w:rFonts w:cstheme="minorHAnsi"/>
                <w:color w:val="000000"/>
                <w:sz w:val="18"/>
              </w:rPr>
              <w:t>21.4%</w:t>
            </w:r>
          </w:p>
        </w:tc>
        <w:tc>
          <w:tcPr>
            <w:tcW w:w="1219"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$3.8B</w:t>
            </w:r>
          </w:p>
        </w:tc>
        <w:tc>
          <w:tcPr>
            <w:tcW w:w="983"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$4.1B</w:t>
            </w:r>
          </w:p>
        </w:tc>
        <w:tc>
          <w:tcPr>
            <w:tcW w:w="992" w:type="dxa"/>
            <w:tcBorders>
              <w:top w:val="nil"/>
              <w:left w:val="nil"/>
              <w:bottom w:val="single" w:sz="4" w:space="0" w:color="auto"/>
              <w:right w:val="single" w:sz="4" w:space="0" w:color="auto"/>
            </w:tcBorders>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8.8%</w:t>
            </w:r>
          </w:p>
        </w:tc>
      </w:tr>
      <w:tr w:rsidR="00146092" w:rsidRPr="00163EB6" w:rsidTr="00176A2D">
        <w:trPr>
          <w:trHeight w:val="567"/>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rsidR="00146092" w:rsidRPr="00E33EAE" w:rsidRDefault="00146092" w:rsidP="00DF31C8">
            <w:pPr>
              <w:spacing w:beforeLines="80" w:before="192" w:afterLines="80" w:after="192"/>
              <w:contextualSpacing/>
              <w:rPr>
                <w:rFonts w:cstheme="minorHAnsi"/>
                <w:b/>
                <w:bCs/>
                <w:color w:val="000000"/>
                <w:sz w:val="20"/>
                <w:lang w:eastAsia="en-AU"/>
              </w:rPr>
            </w:pPr>
            <w:r w:rsidRPr="00E33EAE">
              <w:rPr>
                <w:rFonts w:cstheme="minorHAnsi"/>
                <w:b/>
                <w:bCs/>
                <w:color w:val="000000"/>
                <w:sz w:val="20"/>
                <w:lang w:eastAsia="en-AU"/>
              </w:rPr>
              <w:t>Subacute</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220</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229</w:t>
            </w:r>
          </w:p>
        </w:tc>
        <w:tc>
          <w:tcPr>
            <w:tcW w:w="1031"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4.1%</w:t>
            </w:r>
          </w:p>
        </w:tc>
        <w:tc>
          <w:tcPr>
            <w:tcW w:w="1143"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187.3K</w:t>
            </w:r>
          </w:p>
        </w:tc>
        <w:tc>
          <w:tcPr>
            <w:tcW w:w="1087"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sz w:val="18"/>
                <w:lang w:eastAsia="en-AU"/>
              </w:rPr>
            </w:pPr>
            <w:r>
              <w:rPr>
                <w:rFonts w:cstheme="minorHAnsi"/>
                <w:sz w:val="18"/>
                <w:lang w:eastAsia="en-AU"/>
              </w:rPr>
              <w:t>159.1K</w:t>
            </w:r>
          </w:p>
        </w:tc>
        <w:tc>
          <w:tcPr>
            <w:tcW w:w="955"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rPr>
            </w:pPr>
            <w:r>
              <w:rPr>
                <w:rFonts w:cstheme="minorHAnsi"/>
                <w:color w:val="000000"/>
                <w:sz w:val="18"/>
              </w:rPr>
              <w:t>-15.1%</w:t>
            </w:r>
          </w:p>
        </w:tc>
        <w:tc>
          <w:tcPr>
            <w:tcW w:w="1219" w:type="dxa"/>
            <w:tcBorders>
              <w:top w:val="nil"/>
              <w:left w:val="nil"/>
              <w:bottom w:val="single" w:sz="4" w:space="0" w:color="auto"/>
              <w:right w:val="single" w:sz="4" w:space="0" w:color="auto"/>
            </w:tcBorders>
            <w:shd w:val="clear" w:color="auto" w:fill="auto"/>
            <w:noWrap/>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$2.1B</w:t>
            </w:r>
          </w:p>
        </w:tc>
        <w:tc>
          <w:tcPr>
            <w:tcW w:w="983" w:type="dxa"/>
            <w:tcBorders>
              <w:top w:val="nil"/>
              <w:left w:val="nil"/>
              <w:bottom w:val="single" w:sz="4" w:space="0" w:color="auto"/>
              <w:right w:val="single" w:sz="4" w:space="0" w:color="auto"/>
            </w:tcBorders>
            <w:shd w:val="clear" w:color="auto" w:fill="auto"/>
            <w:noWrap/>
            <w:vAlign w:val="center"/>
          </w:tcPr>
          <w:p w:rsidR="00146092" w:rsidRPr="00176A2D" w:rsidRDefault="00894F71"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$2.3</w:t>
            </w:r>
            <w:r w:rsidR="00176A2D">
              <w:rPr>
                <w:rFonts w:cstheme="minorHAnsi"/>
                <w:color w:val="000000"/>
                <w:sz w:val="18"/>
                <w:lang w:eastAsia="en-AU"/>
              </w:rPr>
              <w:t>B</w:t>
            </w:r>
          </w:p>
        </w:tc>
        <w:tc>
          <w:tcPr>
            <w:tcW w:w="992" w:type="dxa"/>
            <w:tcBorders>
              <w:top w:val="nil"/>
              <w:left w:val="nil"/>
              <w:bottom w:val="single" w:sz="4" w:space="0" w:color="auto"/>
              <w:right w:val="single" w:sz="4" w:space="0" w:color="auto"/>
            </w:tcBorders>
            <w:vAlign w:val="center"/>
          </w:tcPr>
          <w:p w:rsidR="00146092" w:rsidRPr="00176A2D" w:rsidRDefault="00176A2D" w:rsidP="00DF31C8">
            <w:pPr>
              <w:spacing w:beforeLines="80" w:before="192" w:afterLines="80" w:after="192"/>
              <w:contextualSpacing/>
              <w:jc w:val="center"/>
              <w:rPr>
                <w:rFonts w:cstheme="minorHAnsi"/>
                <w:color w:val="000000"/>
                <w:sz w:val="18"/>
                <w:lang w:eastAsia="en-AU"/>
              </w:rPr>
            </w:pPr>
            <w:r>
              <w:rPr>
                <w:rFonts w:cstheme="minorHAnsi"/>
                <w:color w:val="000000"/>
                <w:sz w:val="18"/>
                <w:lang w:eastAsia="en-AU"/>
              </w:rPr>
              <w:t>6.5%</w:t>
            </w:r>
          </w:p>
        </w:tc>
      </w:tr>
    </w:tbl>
    <w:p w:rsidR="00146092" w:rsidRPr="00033F91" w:rsidRDefault="00146092" w:rsidP="00146092">
      <w:pPr>
        <w:spacing w:after="0"/>
        <w:rPr>
          <w:rFonts w:cstheme="minorHAnsi"/>
          <w:bCs/>
          <w:color w:val="000000"/>
          <w:lang w:eastAsia="en-AU"/>
        </w:rPr>
      </w:pPr>
      <w:r w:rsidRPr="00033F91">
        <w:rPr>
          <w:rFonts w:cstheme="minorHAnsi"/>
          <w:bCs/>
          <w:color w:val="000000"/>
          <w:lang w:eastAsia="en-AU"/>
        </w:rPr>
        <w:t>Note:  Only the NHCDC activity is used in the non-admitted Cost Model.</w:t>
      </w:r>
    </w:p>
    <w:p w:rsidR="008B5E5C" w:rsidRDefault="00C618D0" w:rsidP="009B622C">
      <w:pPr>
        <w:spacing w:before="480"/>
        <w:rPr>
          <w:b/>
          <w:sz w:val="20"/>
        </w:rPr>
      </w:pPr>
      <w:r>
        <w:rPr>
          <w:b/>
          <w:sz w:val="20"/>
        </w:rPr>
        <w:t>Table 2. Summary of 2012-13 and 2013-14</w:t>
      </w:r>
      <w:r w:rsidR="00146092" w:rsidRPr="00B84BDC">
        <w:rPr>
          <w:b/>
          <w:sz w:val="20"/>
        </w:rPr>
        <w:t xml:space="preserve"> Population data (ABF hospitals)</w:t>
      </w:r>
    </w:p>
    <w:tbl>
      <w:tblPr>
        <w:tblW w:w="8818" w:type="dxa"/>
        <w:tblInd w:w="93" w:type="dxa"/>
        <w:tblLook w:val="04A0" w:firstRow="1" w:lastRow="0" w:firstColumn="1" w:lastColumn="0" w:noHBand="0" w:noVBand="1"/>
      </w:tblPr>
      <w:tblGrid>
        <w:gridCol w:w="1858"/>
        <w:gridCol w:w="997"/>
        <w:gridCol w:w="997"/>
        <w:gridCol w:w="1586"/>
        <w:gridCol w:w="977"/>
        <w:gridCol w:w="977"/>
        <w:gridCol w:w="1426"/>
      </w:tblGrid>
      <w:tr w:rsidR="00DB1BD5" w:rsidRPr="008B5E5C" w:rsidTr="000716CC">
        <w:trPr>
          <w:trHeight w:val="600"/>
        </w:trPr>
        <w:tc>
          <w:tcPr>
            <w:tcW w:w="1858" w:type="dxa"/>
            <w:tcBorders>
              <w:top w:val="single" w:sz="4" w:space="0" w:color="auto"/>
              <w:left w:val="single" w:sz="4" w:space="0" w:color="auto"/>
              <w:bottom w:val="nil"/>
              <w:right w:val="single" w:sz="4" w:space="0" w:color="auto"/>
            </w:tcBorders>
            <w:shd w:val="clear" w:color="000000" w:fill="FFFFFF"/>
            <w:noWrap/>
            <w:vAlign w:val="bottom"/>
            <w:hideMark/>
          </w:tcPr>
          <w:p w:rsidR="00DB1BD5" w:rsidRPr="008B5E5C" w:rsidRDefault="00DB1BD5" w:rsidP="008B5E5C">
            <w:pPr>
              <w:spacing w:after="0"/>
              <w:rPr>
                <w:rFonts w:ascii="Calibri" w:eastAsia="Times New Roman" w:hAnsi="Calibri" w:cs="Times New Roman"/>
                <w:color w:val="FFFFFF"/>
                <w:lang w:eastAsia="en-AU"/>
              </w:rPr>
            </w:pPr>
            <w:r w:rsidRPr="008B5E5C">
              <w:rPr>
                <w:rFonts w:ascii="Calibri" w:eastAsia="Times New Roman" w:hAnsi="Calibri" w:cs="Times New Roman"/>
                <w:color w:val="FFFFFF"/>
                <w:lang w:eastAsia="en-AU"/>
              </w:rPr>
              <w:t> </w:t>
            </w:r>
          </w:p>
        </w:tc>
        <w:tc>
          <w:tcPr>
            <w:tcW w:w="3580"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rsidR="00DB1BD5" w:rsidRPr="008B5E5C" w:rsidRDefault="00DB1BD5" w:rsidP="008B5E5C">
            <w:pPr>
              <w:spacing w:after="0"/>
              <w:jc w:val="center"/>
              <w:rPr>
                <w:rFonts w:ascii="Calibri" w:eastAsia="Times New Roman" w:hAnsi="Calibri" w:cs="Times New Roman"/>
                <w:b/>
                <w:bCs/>
                <w:color w:val="000000"/>
                <w:lang w:eastAsia="en-AU"/>
              </w:rPr>
            </w:pPr>
            <w:r w:rsidRPr="008B5E5C">
              <w:rPr>
                <w:rFonts w:ascii="Calibri" w:eastAsia="Times New Roman" w:hAnsi="Calibri" w:cs="Times New Roman"/>
                <w:b/>
                <w:bCs/>
                <w:color w:val="000000"/>
                <w:lang w:eastAsia="en-AU"/>
              </w:rPr>
              <w:t>Establishments</w:t>
            </w:r>
          </w:p>
        </w:tc>
        <w:tc>
          <w:tcPr>
            <w:tcW w:w="3380"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rsidR="00DB1BD5" w:rsidRPr="008B5E5C" w:rsidRDefault="000716CC" w:rsidP="008B5E5C">
            <w:pPr>
              <w:spacing w:after="0"/>
              <w:jc w:val="center"/>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Activity </w:t>
            </w:r>
            <w:r>
              <w:rPr>
                <w:rFonts w:ascii="Calibri" w:eastAsia="Times New Roman" w:hAnsi="Calibri" w:cs="Times New Roman"/>
                <w:b/>
                <w:bCs/>
                <w:color w:val="000000"/>
                <w:lang w:eastAsia="en-AU"/>
              </w:rPr>
              <w:br/>
              <w:t>(Separations/</w:t>
            </w:r>
            <w:r w:rsidR="00DB1BD5" w:rsidRPr="008B5E5C">
              <w:rPr>
                <w:rFonts w:ascii="Calibri" w:eastAsia="Times New Roman" w:hAnsi="Calibri" w:cs="Times New Roman"/>
                <w:b/>
                <w:bCs/>
                <w:color w:val="000000"/>
                <w:lang w:eastAsia="en-AU"/>
              </w:rPr>
              <w:t xml:space="preserve">Episodes) </w:t>
            </w:r>
          </w:p>
        </w:tc>
      </w:tr>
      <w:tr w:rsidR="00DB1BD5" w:rsidRPr="008B5E5C" w:rsidTr="000716CC">
        <w:trPr>
          <w:trHeight w:val="600"/>
        </w:trPr>
        <w:tc>
          <w:tcPr>
            <w:tcW w:w="1858" w:type="dxa"/>
            <w:tcBorders>
              <w:top w:val="nil"/>
              <w:left w:val="single" w:sz="4" w:space="0" w:color="auto"/>
              <w:bottom w:val="single" w:sz="4" w:space="0" w:color="auto"/>
              <w:right w:val="single" w:sz="4" w:space="0" w:color="auto"/>
            </w:tcBorders>
            <w:shd w:val="clear" w:color="000000" w:fill="FFFFFF"/>
            <w:noWrap/>
            <w:vAlign w:val="bottom"/>
            <w:hideMark/>
          </w:tcPr>
          <w:p w:rsidR="00DB1BD5" w:rsidRPr="008B5E5C" w:rsidRDefault="00DB1BD5" w:rsidP="008B5E5C">
            <w:pPr>
              <w:spacing w:after="0"/>
              <w:rPr>
                <w:rFonts w:ascii="Calibri" w:eastAsia="Times New Roman" w:hAnsi="Calibri" w:cs="Times New Roman"/>
                <w:color w:val="FFFFFF"/>
                <w:lang w:eastAsia="en-AU"/>
              </w:rPr>
            </w:pPr>
            <w:r w:rsidRPr="008B5E5C">
              <w:rPr>
                <w:rFonts w:ascii="Calibri" w:eastAsia="Times New Roman" w:hAnsi="Calibri" w:cs="Times New Roman"/>
                <w:color w:val="FFFFFF"/>
                <w:lang w:eastAsia="en-AU"/>
              </w:rPr>
              <w:t> </w:t>
            </w:r>
          </w:p>
        </w:tc>
        <w:tc>
          <w:tcPr>
            <w:tcW w:w="997" w:type="dxa"/>
            <w:tcBorders>
              <w:top w:val="nil"/>
              <w:left w:val="single" w:sz="4" w:space="0" w:color="auto"/>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b/>
                <w:bCs/>
                <w:color w:val="000000"/>
                <w:sz w:val="18"/>
                <w:szCs w:val="18"/>
                <w:lang w:eastAsia="en-AU"/>
              </w:rPr>
            </w:pPr>
            <w:r w:rsidRPr="006A1722">
              <w:rPr>
                <w:rFonts w:ascii="Arial" w:eastAsia="Times New Roman" w:hAnsi="Arial" w:cs="Arial"/>
                <w:b/>
                <w:bCs/>
                <w:color w:val="000000"/>
                <w:sz w:val="18"/>
                <w:szCs w:val="18"/>
                <w:lang w:eastAsia="en-AU"/>
              </w:rPr>
              <w:t>2012-13</w:t>
            </w:r>
          </w:p>
        </w:tc>
        <w:tc>
          <w:tcPr>
            <w:tcW w:w="99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b/>
                <w:bCs/>
                <w:color w:val="000000"/>
                <w:sz w:val="18"/>
                <w:szCs w:val="18"/>
                <w:lang w:eastAsia="en-AU"/>
              </w:rPr>
            </w:pPr>
            <w:r w:rsidRPr="006A1722">
              <w:rPr>
                <w:rFonts w:ascii="Arial" w:eastAsia="Times New Roman" w:hAnsi="Arial" w:cs="Arial"/>
                <w:b/>
                <w:bCs/>
                <w:color w:val="000000"/>
                <w:sz w:val="18"/>
                <w:szCs w:val="18"/>
                <w:lang w:eastAsia="en-AU"/>
              </w:rPr>
              <w:t>2013-14</w:t>
            </w:r>
          </w:p>
        </w:tc>
        <w:tc>
          <w:tcPr>
            <w:tcW w:w="1586" w:type="dxa"/>
            <w:tcBorders>
              <w:top w:val="nil"/>
              <w:left w:val="nil"/>
              <w:bottom w:val="single" w:sz="4" w:space="0" w:color="auto"/>
              <w:right w:val="single" w:sz="4" w:space="0" w:color="auto"/>
            </w:tcBorders>
            <w:shd w:val="clear" w:color="000000" w:fill="FFFFFF"/>
            <w:vAlign w:val="center"/>
            <w:hideMark/>
          </w:tcPr>
          <w:p w:rsidR="00DB1BD5" w:rsidRPr="006A1722" w:rsidRDefault="00DB1BD5" w:rsidP="008B5E5C">
            <w:pPr>
              <w:spacing w:after="0"/>
              <w:jc w:val="center"/>
              <w:rPr>
                <w:rFonts w:ascii="Arial" w:eastAsia="Times New Roman" w:hAnsi="Arial" w:cs="Arial"/>
                <w:b/>
                <w:bCs/>
                <w:color w:val="000000"/>
                <w:sz w:val="18"/>
                <w:szCs w:val="18"/>
                <w:lang w:eastAsia="en-AU"/>
              </w:rPr>
            </w:pPr>
            <w:r w:rsidRPr="006A1722">
              <w:rPr>
                <w:rFonts w:ascii="Arial" w:eastAsia="Times New Roman" w:hAnsi="Arial" w:cs="Arial"/>
                <w:b/>
                <w:bCs/>
                <w:color w:val="000000"/>
                <w:sz w:val="18"/>
                <w:szCs w:val="18"/>
                <w:lang w:eastAsia="en-AU"/>
              </w:rPr>
              <w:t xml:space="preserve">% </w:t>
            </w:r>
            <w:r w:rsidRPr="006A1722">
              <w:rPr>
                <w:rFonts w:ascii="Arial" w:eastAsia="Times New Roman" w:hAnsi="Arial" w:cs="Arial"/>
                <w:b/>
                <w:bCs/>
                <w:color w:val="000000"/>
                <w:sz w:val="18"/>
                <w:szCs w:val="18"/>
                <w:lang w:eastAsia="en-AU"/>
              </w:rPr>
              <w:br/>
              <w:t>Change</w:t>
            </w:r>
          </w:p>
        </w:tc>
        <w:tc>
          <w:tcPr>
            <w:tcW w:w="97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b/>
                <w:bCs/>
                <w:color w:val="000000"/>
                <w:sz w:val="18"/>
                <w:szCs w:val="18"/>
                <w:lang w:eastAsia="en-AU"/>
              </w:rPr>
            </w:pPr>
            <w:r w:rsidRPr="006A1722">
              <w:rPr>
                <w:rFonts w:ascii="Arial" w:eastAsia="Times New Roman" w:hAnsi="Arial" w:cs="Arial"/>
                <w:b/>
                <w:bCs/>
                <w:color w:val="000000"/>
                <w:sz w:val="18"/>
                <w:szCs w:val="18"/>
                <w:lang w:eastAsia="en-AU"/>
              </w:rPr>
              <w:t>2012-13</w:t>
            </w:r>
          </w:p>
        </w:tc>
        <w:tc>
          <w:tcPr>
            <w:tcW w:w="97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b/>
                <w:bCs/>
                <w:color w:val="000000"/>
                <w:sz w:val="18"/>
                <w:szCs w:val="18"/>
                <w:lang w:eastAsia="en-AU"/>
              </w:rPr>
            </w:pPr>
            <w:r w:rsidRPr="006A1722">
              <w:rPr>
                <w:rFonts w:ascii="Arial" w:eastAsia="Times New Roman" w:hAnsi="Arial" w:cs="Arial"/>
                <w:b/>
                <w:bCs/>
                <w:color w:val="000000"/>
                <w:sz w:val="18"/>
                <w:szCs w:val="18"/>
                <w:lang w:eastAsia="en-AU"/>
              </w:rPr>
              <w:t>2013-14</w:t>
            </w:r>
          </w:p>
        </w:tc>
        <w:tc>
          <w:tcPr>
            <w:tcW w:w="1426" w:type="dxa"/>
            <w:tcBorders>
              <w:top w:val="nil"/>
              <w:left w:val="nil"/>
              <w:bottom w:val="single" w:sz="4" w:space="0" w:color="auto"/>
              <w:right w:val="single" w:sz="4" w:space="0" w:color="auto"/>
            </w:tcBorders>
            <w:shd w:val="clear" w:color="000000" w:fill="FFFFFF"/>
            <w:vAlign w:val="center"/>
            <w:hideMark/>
          </w:tcPr>
          <w:p w:rsidR="00DB1BD5" w:rsidRPr="006A1722" w:rsidRDefault="00DB1BD5" w:rsidP="008B5E5C">
            <w:pPr>
              <w:spacing w:after="0"/>
              <w:jc w:val="center"/>
              <w:rPr>
                <w:rFonts w:ascii="Arial" w:eastAsia="Times New Roman" w:hAnsi="Arial" w:cs="Arial"/>
                <w:b/>
                <w:bCs/>
                <w:color w:val="000000"/>
                <w:sz w:val="18"/>
                <w:szCs w:val="18"/>
                <w:lang w:eastAsia="en-AU"/>
              </w:rPr>
            </w:pPr>
            <w:r w:rsidRPr="006A1722">
              <w:rPr>
                <w:rFonts w:ascii="Arial" w:eastAsia="Times New Roman" w:hAnsi="Arial" w:cs="Arial"/>
                <w:b/>
                <w:bCs/>
                <w:color w:val="000000"/>
                <w:sz w:val="18"/>
                <w:szCs w:val="18"/>
                <w:lang w:eastAsia="en-AU"/>
              </w:rPr>
              <w:t xml:space="preserve">% </w:t>
            </w:r>
            <w:r w:rsidRPr="006A1722">
              <w:rPr>
                <w:rFonts w:ascii="Arial" w:eastAsia="Times New Roman" w:hAnsi="Arial" w:cs="Arial"/>
                <w:b/>
                <w:bCs/>
                <w:color w:val="000000"/>
                <w:sz w:val="18"/>
                <w:szCs w:val="18"/>
                <w:lang w:eastAsia="en-AU"/>
              </w:rPr>
              <w:br/>
              <w:t>Change</w:t>
            </w:r>
          </w:p>
        </w:tc>
      </w:tr>
      <w:tr w:rsidR="00DB1BD5" w:rsidRPr="008B5E5C" w:rsidTr="00DB1BD5">
        <w:trPr>
          <w:trHeight w:val="345"/>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DB1BD5" w:rsidRPr="008B5E5C" w:rsidRDefault="00DB1BD5" w:rsidP="008B5E5C">
            <w:pPr>
              <w:spacing w:after="0"/>
              <w:jc w:val="center"/>
              <w:rPr>
                <w:rFonts w:ascii="Calibri" w:eastAsia="Times New Roman" w:hAnsi="Calibri" w:cs="Times New Roman"/>
                <w:color w:val="000000"/>
                <w:lang w:eastAsia="en-AU"/>
              </w:rPr>
            </w:pPr>
            <w:r w:rsidRPr="008B5E5C">
              <w:rPr>
                <w:rFonts w:ascii="Calibri" w:eastAsia="Times New Roman" w:hAnsi="Calibri" w:cs="Times New Roman"/>
                <w:color w:val="000000"/>
                <w:lang w:eastAsia="en-AU"/>
              </w:rPr>
              <w:t>Acute Admitted</w:t>
            </w:r>
          </w:p>
        </w:tc>
        <w:tc>
          <w:tcPr>
            <w:tcW w:w="99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267</w:t>
            </w:r>
          </w:p>
        </w:tc>
        <w:tc>
          <w:tcPr>
            <w:tcW w:w="99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270</w:t>
            </w:r>
          </w:p>
        </w:tc>
        <w:tc>
          <w:tcPr>
            <w:tcW w:w="1586"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1.1%</w:t>
            </w:r>
          </w:p>
        </w:tc>
        <w:tc>
          <w:tcPr>
            <w:tcW w:w="97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5.M</w:t>
            </w:r>
          </w:p>
        </w:tc>
        <w:tc>
          <w:tcPr>
            <w:tcW w:w="97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5.2M</w:t>
            </w:r>
          </w:p>
        </w:tc>
        <w:tc>
          <w:tcPr>
            <w:tcW w:w="1426"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4.2%</w:t>
            </w:r>
          </w:p>
        </w:tc>
      </w:tr>
      <w:tr w:rsidR="00DB1BD5" w:rsidRPr="008B5E5C" w:rsidTr="00DB1BD5">
        <w:trPr>
          <w:trHeight w:val="345"/>
        </w:trPr>
        <w:tc>
          <w:tcPr>
            <w:tcW w:w="1858" w:type="dxa"/>
            <w:tcBorders>
              <w:top w:val="nil"/>
              <w:left w:val="single" w:sz="4" w:space="0" w:color="auto"/>
              <w:bottom w:val="single" w:sz="4" w:space="0" w:color="auto"/>
              <w:right w:val="single" w:sz="4" w:space="0" w:color="auto"/>
            </w:tcBorders>
            <w:shd w:val="clear" w:color="000000" w:fill="FFFFFF"/>
            <w:vAlign w:val="center"/>
            <w:hideMark/>
          </w:tcPr>
          <w:p w:rsidR="00DB1BD5" w:rsidRPr="008B5E5C" w:rsidRDefault="00DB1BD5" w:rsidP="008B5E5C">
            <w:pPr>
              <w:spacing w:after="0"/>
              <w:jc w:val="center"/>
              <w:rPr>
                <w:rFonts w:ascii="Calibri" w:eastAsia="Times New Roman" w:hAnsi="Calibri" w:cs="Times New Roman"/>
                <w:color w:val="000000"/>
                <w:lang w:eastAsia="en-AU"/>
              </w:rPr>
            </w:pPr>
            <w:r w:rsidRPr="008B5E5C">
              <w:rPr>
                <w:rFonts w:ascii="Calibri" w:eastAsia="Times New Roman" w:hAnsi="Calibri" w:cs="Times New Roman"/>
                <w:color w:val="000000"/>
                <w:lang w:eastAsia="en-AU"/>
              </w:rPr>
              <w:t>Emergency</w:t>
            </w:r>
          </w:p>
        </w:tc>
        <w:tc>
          <w:tcPr>
            <w:tcW w:w="99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164</w:t>
            </w:r>
          </w:p>
        </w:tc>
        <w:tc>
          <w:tcPr>
            <w:tcW w:w="99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173</w:t>
            </w:r>
          </w:p>
        </w:tc>
        <w:tc>
          <w:tcPr>
            <w:tcW w:w="1586"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5.5%</w:t>
            </w:r>
          </w:p>
        </w:tc>
        <w:tc>
          <w:tcPr>
            <w:tcW w:w="97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6.4M</w:t>
            </w:r>
          </w:p>
        </w:tc>
        <w:tc>
          <w:tcPr>
            <w:tcW w:w="97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6.7M</w:t>
            </w:r>
          </w:p>
        </w:tc>
        <w:tc>
          <w:tcPr>
            <w:tcW w:w="1426"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4.5%</w:t>
            </w:r>
          </w:p>
        </w:tc>
      </w:tr>
      <w:tr w:rsidR="00DB1BD5" w:rsidRPr="008B5E5C" w:rsidTr="00DB1BD5">
        <w:trPr>
          <w:trHeight w:val="345"/>
        </w:trPr>
        <w:tc>
          <w:tcPr>
            <w:tcW w:w="1858" w:type="dxa"/>
            <w:tcBorders>
              <w:top w:val="nil"/>
              <w:left w:val="single" w:sz="4" w:space="0" w:color="auto"/>
              <w:bottom w:val="single" w:sz="4" w:space="0" w:color="auto"/>
              <w:right w:val="single" w:sz="4" w:space="0" w:color="auto"/>
            </w:tcBorders>
            <w:shd w:val="clear" w:color="000000" w:fill="FFFFFF"/>
            <w:vAlign w:val="bottom"/>
            <w:hideMark/>
          </w:tcPr>
          <w:p w:rsidR="00DB1BD5" w:rsidRPr="008B5E5C" w:rsidRDefault="00DB1BD5" w:rsidP="008B5E5C">
            <w:pPr>
              <w:spacing w:after="0"/>
              <w:jc w:val="center"/>
              <w:rPr>
                <w:rFonts w:ascii="Calibri" w:eastAsia="Times New Roman" w:hAnsi="Calibri" w:cs="Times New Roman"/>
                <w:lang w:eastAsia="en-AU"/>
              </w:rPr>
            </w:pPr>
            <w:r w:rsidRPr="008B5E5C">
              <w:rPr>
                <w:rFonts w:ascii="Calibri" w:eastAsia="Times New Roman" w:hAnsi="Calibri" w:cs="Times New Roman"/>
                <w:lang w:eastAsia="en-AU"/>
              </w:rPr>
              <w:t>Non - admitted</w:t>
            </w:r>
          </w:p>
        </w:tc>
        <w:tc>
          <w:tcPr>
            <w:tcW w:w="997" w:type="dxa"/>
            <w:tcBorders>
              <w:top w:val="nil"/>
              <w:left w:val="nil"/>
              <w:bottom w:val="single" w:sz="4" w:space="0" w:color="auto"/>
              <w:right w:val="single" w:sz="4" w:space="0" w:color="auto"/>
            </w:tcBorders>
            <w:shd w:val="clear" w:color="000000" w:fill="D9D9D9"/>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 </w:t>
            </w:r>
          </w:p>
        </w:tc>
        <w:tc>
          <w:tcPr>
            <w:tcW w:w="997" w:type="dxa"/>
            <w:tcBorders>
              <w:top w:val="nil"/>
              <w:left w:val="nil"/>
              <w:bottom w:val="single" w:sz="4" w:space="0" w:color="auto"/>
              <w:right w:val="single" w:sz="4" w:space="0" w:color="auto"/>
            </w:tcBorders>
            <w:shd w:val="clear" w:color="000000" w:fill="D9D9D9"/>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 </w:t>
            </w:r>
          </w:p>
        </w:tc>
        <w:tc>
          <w:tcPr>
            <w:tcW w:w="1586" w:type="dxa"/>
            <w:tcBorders>
              <w:top w:val="nil"/>
              <w:left w:val="nil"/>
              <w:bottom w:val="single" w:sz="4" w:space="0" w:color="auto"/>
              <w:right w:val="single" w:sz="4" w:space="0" w:color="auto"/>
            </w:tcBorders>
            <w:shd w:val="clear" w:color="000000" w:fill="D9D9D9"/>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 </w:t>
            </w:r>
          </w:p>
        </w:tc>
        <w:tc>
          <w:tcPr>
            <w:tcW w:w="977" w:type="dxa"/>
            <w:tcBorders>
              <w:top w:val="nil"/>
              <w:left w:val="nil"/>
              <w:bottom w:val="single" w:sz="4" w:space="0" w:color="auto"/>
              <w:right w:val="single" w:sz="4" w:space="0" w:color="auto"/>
            </w:tcBorders>
            <w:shd w:val="clear" w:color="000000" w:fill="D9D9D9"/>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 </w:t>
            </w:r>
          </w:p>
        </w:tc>
        <w:tc>
          <w:tcPr>
            <w:tcW w:w="977" w:type="dxa"/>
            <w:tcBorders>
              <w:top w:val="nil"/>
              <w:left w:val="nil"/>
              <w:bottom w:val="single" w:sz="4" w:space="0" w:color="auto"/>
              <w:right w:val="single" w:sz="4" w:space="0" w:color="auto"/>
            </w:tcBorders>
            <w:shd w:val="clear" w:color="000000" w:fill="D9D9D9"/>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 </w:t>
            </w:r>
          </w:p>
        </w:tc>
        <w:tc>
          <w:tcPr>
            <w:tcW w:w="1426" w:type="dxa"/>
            <w:tcBorders>
              <w:top w:val="nil"/>
              <w:left w:val="nil"/>
              <w:bottom w:val="single" w:sz="4" w:space="0" w:color="auto"/>
              <w:right w:val="single" w:sz="4" w:space="0" w:color="auto"/>
            </w:tcBorders>
            <w:shd w:val="clear" w:color="000000" w:fill="D9D9D9"/>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 </w:t>
            </w:r>
          </w:p>
        </w:tc>
      </w:tr>
      <w:tr w:rsidR="00DB1BD5" w:rsidRPr="008B5E5C" w:rsidTr="00DB1BD5">
        <w:trPr>
          <w:trHeight w:val="345"/>
        </w:trPr>
        <w:tc>
          <w:tcPr>
            <w:tcW w:w="1858" w:type="dxa"/>
            <w:tcBorders>
              <w:top w:val="nil"/>
              <w:left w:val="single" w:sz="4" w:space="0" w:color="auto"/>
              <w:bottom w:val="single" w:sz="4" w:space="0" w:color="auto"/>
              <w:right w:val="single" w:sz="4" w:space="0" w:color="auto"/>
            </w:tcBorders>
            <w:shd w:val="clear" w:color="000000" w:fill="FFFFFF"/>
            <w:noWrap/>
            <w:vAlign w:val="center"/>
            <w:hideMark/>
          </w:tcPr>
          <w:p w:rsidR="00DB1BD5" w:rsidRPr="008B5E5C" w:rsidRDefault="00DB1BD5" w:rsidP="008B5E5C">
            <w:pPr>
              <w:spacing w:after="0"/>
              <w:jc w:val="center"/>
              <w:rPr>
                <w:rFonts w:ascii="Calibri" w:eastAsia="Times New Roman" w:hAnsi="Calibri" w:cs="Times New Roman"/>
                <w:color w:val="000000"/>
                <w:lang w:eastAsia="en-AU"/>
              </w:rPr>
            </w:pPr>
            <w:r w:rsidRPr="008B5E5C">
              <w:rPr>
                <w:rFonts w:ascii="Calibri" w:eastAsia="Times New Roman" w:hAnsi="Calibri" w:cs="Times New Roman"/>
                <w:color w:val="000000"/>
                <w:lang w:eastAsia="en-AU"/>
              </w:rPr>
              <w:t>Subacute</w:t>
            </w:r>
          </w:p>
        </w:tc>
        <w:tc>
          <w:tcPr>
            <w:tcW w:w="99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255</w:t>
            </w:r>
          </w:p>
        </w:tc>
        <w:tc>
          <w:tcPr>
            <w:tcW w:w="99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260</w:t>
            </w:r>
          </w:p>
        </w:tc>
        <w:tc>
          <w:tcPr>
            <w:tcW w:w="1586"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2.0%</w:t>
            </w:r>
          </w:p>
        </w:tc>
        <w:tc>
          <w:tcPr>
            <w:tcW w:w="97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182.2K</w:t>
            </w:r>
          </w:p>
        </w:tc>
        <w:tc>
          <w:tcPr>
            <w:tcW w:w="977"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178.7K</w:t>
            </w:r>
          </w:p>
        </w:tc>
        <w:tc>
          <w:tcPr>
            <w:tcW w:w="1426" w:type="dxa"/>
            <w:tcBorders>
              <w:top w:val="nil"/>
              <w:left w:val="nil"/>
              <w:bottom w:val="single" w:sz="4" w:space="0" w:color="auto"/>
              <w:right w:val="single" w:sz="4" w:space="0" w:color="auto"/>
            </w:tcBorders>
            <w:shd w:val="clear" w:color="000000" w:fill="FFFFFF"/>
            <w:noWrap/>
            <w:vAlign w:val="center"/>
            <w:hideMark/>
          </w:tcPr>
          <w:p w:rsidR="00DB1BD5" w:rsidRPr="006A1722" w:rsidRDefault="00DB1BD5" w:rsidP="008B5E5C">
            <w:pPr>
              <w:spacing w:after="0"/>
              <w:jc w:val="center"/>
              <w:rPr>
                <w:rFonts w:ascii="Arial" w:eastAsia="Times New Roman" w:hAnsi="Arial" w:cs="Arial"/>
                <w:color w:val="000000"/>
                <w:sz w:val="18"/>
                <w:szCs w:val="18"/>
                <w:lang w:eastAsia="en-AU"/>
              </w:rPr>
            </w:pPr>
            <w:r w:rsidRPr="006A1722">
              <w:rPr>
                <w:rFonts w:ascii="Arial" w:eastAsia="Times New Roman" w:hAnsi="Arial" w:cs="Arial"/>
                <w:color w:val="000000"/>
                <w:sz w:val="18"/>
                <w:szCs w:val="18"/>
                <w:lang w:eastAsia="en-AU"/>
              </w:rPr>
              <w:t>-1.9%</w:t>
            </w:r>
          </w:p>
        </w:tc>
      </w:tr>
    </w:tbl>
    <w:p w:rsidR="00146092" w:rsidRDefault="00146092" w:rsidP="009B622C">
      <w:pPr>
        <w:spacing w:before="480"/>
        <w:rPr>
          <w:b/>
          <w:sz w:val="20"/>
        </w:rPr>
      </w:pPr>
      <w:r w:rsidRPr="00B84BDC">
        <w:rPr>
          <w:b/>
          <w:sz w:val="20"/>
        </w:rPr>
        <w:t>Table 3. Costed (NHCDC) sample as proportion of total population</w:t>
      </w:r>
    </w:p>
    <w:tbl>
      <w:tblPr>
        <w:tblW w:w="8136" w:type="dxa"/>
        <w:tblInd w:w="93" w:type="dxa"/>
        <w:tblLayout w:type="fixed"/>
        <w:tblLook w:val="04A0" w:firstRow="1" w:lastRow="0" w:firstColumn="1" w:lastColumn="0" w:noHBand="0" w:noVBand="1"/>
      </w:tblPr>
      <w:tblGrid>
        <w:gridCol w:w="2709"/>
        <w:gridCol w:w="1359"/>
        <w:gridCol w:w="1356"/>
        <w:gridCol w:w="1356"/>
        <w:gridCol w:w="1356"/>
      </w:tblGrid>
      <w:tr w:rsidR="00146092" w:rsidRPr="00163EB6" w:rsidTr="00E97A71">
        <w:trPr>
          <w:trHeight w:val="429"/>
        </w:trPr>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46092" w:rsidRPr="00E33EAE" w:rsidRDefault="00146092" w:rsidP="00DF31C8">
            <w:pPr>
              <w:spacing w:before="80" w:after="80"/>
              <w:jc w:val="center"/>
              <w:rPr>
                <w:rFonts w:cstheme="minorHAnsi"/>
                <w:b/>
                <w:bCs/>
                <w:color w:val="000000"/>
                <w:sz w:val="20"/>
                <w:lang w:eastAsia="en-AU"/>
              </w:rPr>
            </w:pPr>
            <w:r w:rsidRPr="00E33EAE">
              <w:rPr>
                <w:rFonts w:cstheme="minorHAnsi"/>
                <w:b/>
                <w:bCs/>
                <w:color w:val="000000"/>
                <w:sz w:val="20"/>
                <w:lang w:eastAsia="en-AU"/>
              </w:rPr>
              <w:t> </w:t>
            </w:r>
          </w:p>
          <w:p w:rsidR="00146092" w:rsidRPr="00E33EAE" w:rsidRDefault="00146092" w:rsidP="00DF31C8">
            <w:pPr>
              <w:spacing w:before="80" w:after="80"/>
              <w:jc w:val="center"/>
              <w:rPr>
                <w:rFonts w:cstheme="minorHAnsi"/>
                <w:b/>
                <w:bCs/>
                <w:color w:val="000000"/>
                <w:sz w:val="20"/>
                <w:lang w:eastAsia="en-AU"/>
              </w:rPr>
            </w:pPr>
            <w:r w:rsidRPr="00E33EAE">
              <w:rPr>
                <w:rFonts w:cstheme="minorHAnsi"/>
                <w:b/>
                <w:bCs/>
                <w:color w:val="000000"/>
                <w:sz w:val="20"/>
                <w:lang w:eastAsia="en-AU"/>
              </w:rPr>
              <w:t> </w:t>
            </w:r>
          </w:p>
        </w:tc>
        <w:tc>
          <w:tcPr>
            <w:tcW w:w="2715"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146092" w:rsidRPr="00E33EAE" w:rsidRDefault="00146092" w:rsidP="00DF31C8">
            <w:pPr>
              <w:spacing w:before="80" w:after="80"/>
              <w:jc w:val="center"/>
              <w:rPr>
                <w:rFonts w:cstheme="minorHAnsi"/>
                <w:b/>
                <w:bCs/>
                <w:color w:val="000000"/>
                <w:sz w:val="20"/>
                <w:lang w:eastAsia="en-AU"/>
              </w:rPr>
            </w:pPr>
            <w:r w:rsidRPr="00E33EAE">
              <w:rPr>
                <w:rFonts w:cstheme="minorHAnsi"/>
                <w:b/>
                <w:bCs/>
                <w:color w:val="000000"/>
                <w:sz w:val="20"/>
                <w:lang w:eastAsia="en-AU"/>
              </w:rPr>
              <w:t>Establishments</w:t>
            </w:r>
          </w:p>
        </w:tc>
        <w:tc>
          <w:tcPr>
            <w:tcW w:w="2712"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146092" w:rsidRPr="00E33EAE" w:rsidRDefault="00146092" w:rsidP="00DF31C8">
            <w:pPr>
              <w:spacing w:before="80" w:after="80"/>
              <w:jc w:val="center"/>
              <w:rPr>
                <w:rFonts w:cstheme="minorHAnsi"/>
                <w:b/>
                <w:bCs/>
                <w:color w:val="000000"/>
                <w:sz w:val="20"/>
                <w:lang w:eastAsia="en-AU"/>
              </w:rPr>
            </w:pPr>
            <w:r w:rsidRPr="00E33EAE">
              <w:rPr>
                <w:rFonts w:cstheme="minorHAnsi"/>
                <w:b/>
                <w:bCs/>
                <w:color w:val="000000"/>
                <w:sz w:val="20"/>
                <w:lang w:eastAsia="en-AU"/>
              </w:rPr>
              <w:t>Activity (Separations)</w:t>
            </w:r>
          </w:p>
        </w:tc>
      </w:tr>
      <w:tr w:rsidR="00ED5DBA" w:rsidRPr="00163EB6" w:rsidTr="00E33EAE">
        <w:trPr>
          <w:trHeight w:val="429"/>
        </w:trPr>
        <w:tc>
          <w:tcPr>
            <w:tcW w:w="2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D5DBA" w:rsidRPr="00E33EAE" w:rsidRDefault="00ED5DBA" w:rsidP="00DF31C8">
            <w:pPr>
              <w:spacing w:before="80" w:after="80"/>
              <w:jc w:val="center"/>
              <w:rPr>
                <w:rFonts w:cstheme="minorHAnsi"/>
                <w:b/>
                <w:bCs/>
                <w:color w:val="000000"/>
                <w:sz w:val="20"/>
                <w:lang w:eastAsia="en-AU"/>
              </w:rPr>
            </w:pP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ED5DBA" w:rsidRPr="00E33EAE" w:rsidRDefault="00ED5DBA" w:rsidP="00DF31C8">
            <w:pPr>
              <w:spacing w:before="80" w:after="80"/>
              <w:jc w:val="center"/>
              <w:rPr>
                <w:rFonts w:cstheme="minorHAnsi"/>
                <w:b/>
                <w:bCs/>
                <w:color w:val="000000"/>
                <w:sz w:val="20"/>
                <w:lang w:eastAsia="en-AU"/>
              </w:rPr>
            </w:pPr>
            <w:r w:rsidRPr="00994619">
              <w:rPr>
                <w:rFonts w:cstheme="minorHAnsi"/>
                <w:b/>
                <w:bCs/>
                <w:color w:val="000000"/>
                <w:sz w:val="20"/>
                <w:lang w:eastAsia="en-AU"/>
              </w:rPr>
              <w:t>201</w:t>
            </w:r>
            <w:r>
              <w:rPr>
                <w:rFonts w:cstheme="minorHAnsi"/>
                <w:b/>
                <w:bCs/>
                <w:color w:val="000000"/>
                <w:sz w:val="20"/>
                <w:lang w:eastAsia="en-AU"/>
              </w:rPr>
              <w:t>2</w:t>
            </w:r>
            <w:r w:rsidRPr="00994619">
              <w:rPr>
                <w:rFonts w:cstheme="minorHAnsi"/>
                <w:b/>
                <w:bCs/>
                <w:color w:val="000000"/>
                <w:sz w:val="20"/>
                <w:lang w:eastAsia="en-AU"/>
              </w:rPr>
              <w:t>-1</w:t>
            </w:r>
            <w:r>
              <w:rPr>
                <w:rFonts w:cstheme="minorHAnsi"/>
                <w:b/>
                <w:bCs/>
                <w:color w:val="000000"/>
                <w:sz w:val="20"/>
                <w:lang w:eastAsia="en-AU"/>
              </w:rPr>
              <w:t>3</w:t>
            </w:r>
          </w:p>
        </w:tc>
        <w:tc>
          <w:tcPr>
            <w:tcW w:w="1356" w:type="dxa"/>
            <w:tcBorders>
              <w:top w:val="nil"/>
              <w:left w:val="nil"/>
              <w:bottom w:val="single" w:sz="4" w:space="0" w:color="auto"/>
              <w:right w:val="single" w:sz="4" w:space="0" w:color="auto"/>
            </w:tcBorders>
            <w:shd w:val="clear" w:color="auto" w:fill="auto"/>
            <w:noWrap/>
            <w:vAlign w:val="center"/>
            <w:hideMark/>
          </w:tcPr>
          <w:p w:rsidR="00ED5DBA" w:rsidRPr="00E33EAE" w:rsidRDefault="00ED5DBA" w:rsidP="00DF31C8">
            <w:pPr>
              <w:spacing w:before="80" w:after="80"/>
              <w:jc w:val="center"/>
              <w:rPr>
                <w:rFonts w:cstheme="minorHAnsi"/>
                <w:b/>
                <w:bCs/>
                <w:color w:val="000000"/>
                <w:sz w:val="20"/>
                <w:lang w:eastAsia="en-AU"/>
              </w:rPr>
            </w:pPr>
            <w:r w:rsidRPr="00994619">
              <w:rPr>
                <w:rFonts w:cstheme="minorHAnsi"/>
                <w:b/>
                <w:bCs/>
                <w:color w:val="000000"/>
                <w:sz w:val="20"/>
                <w:lang w:eastAsia="en-AU"/>
              </w:rPr>
              <w:t>201</w:t>
            </w:r>
            <w:r>
              <w:rPr>
                <w:rFonts w:cstheme="minorHAnsi"/>
                <w:b/>
                <w:bCs/>
                <w:color w:val="000000"/>
                <w:sz w:val="20"/>
                <w:lang w:eastAsia="en-AU"/>
              </w:rPr>
              <w:t>3</w:t>
            </w:r>
            <w:r w:rsidRPr="00994619">
              <w:rPr>
                <w:rFonts w:cstheme="minorHAnsi"/>
                <w:b/>
                <w:bCs/>
                <w:color w:val="000000"/>
                <w:sz w:val="20"/>
                <w:lang w:eastAsia="en-AU"/>
              </w:rPr>
              <w:t>-1</w:t>
            </w:r>
            <w:r>
              <w:rPr>
                <w:rFonts w:cstheme="minorHAnsi"/>
                <w:b/>
                <w:bCs/>
                <w:color w:val="000000"/>
                <w:sz w:val="20"/>
                <w:lang w:eastAsia="en-AU"/>
              </w:rPr>
              <w:t>4</w:t>
            </w:r>
          </w:p>
        </w:tc>
        <w:tc>
          <w:tcPr>
            <w:tcW w:w="1356" w:type="dxa"/>
            <w:tcBorders>
              <w:top w:val="nil"/>
              <w:left w:val="nil"/>
              <w:bottom w:val="single" w:sz="4" w:space="0" w:color="auto"/>
              <w:right w:val="single" w:sz="4" w:space="0" w:color="auto"/>
            </w:tcBorders>
            <w:shd w:val="clear" w:color="auto" w:fill="auto"/>
            <w:noWrap/>
            <w:vAlign w:val="center"/>
            <w:hideMark/>
          </w:tcPr>
          <w:p w:rsidR="00ED5DBA" w:rsidRPr="00E33EAE" w:rsidRDefault="00ED5DBA" w:rsidP="00DF31C8">
            <w:pPr>
              <w:spacing w:before="80" w:after="80"/>
              <w:jc w:val="center"/>
              <w:rPr>
                <w:rFonts w:cstheme="minorHAnsi"/>
                <w:b/>
                <w:bCs/>
                <w:color w:val="000000"/>
                <w:sz w:val="20"/>
                <w:lang w:eastAsia="en-AU"/>
              </w:rPr>
            </w:pPr>
            <w:r w:rsidRPr="00994619">
              <w:rPr>
                <w:rFonts w:cstheme="minorHAnsi"/>
                <w:b/>
                <w:bCs/>
                <w:color w:val="000000"/>
                <w:sz w:val="20"/>
                <w:lang w:eastAsia="en-AU"/>
              </w:rPr>
              <w:t>201</w:t>
            </w:r>
            <w:r>
              <w:rPr>
                <w:rFonts w:cstheme="minorHAnsi"/>
                <w:b/>
                <w:bCs/>
                <w:color w:val="000000"/>
                <w:sz w:val="20"/>
                <w:lang w:eastAsia="en-AU"/>
              </w:rPr>
              <w:t>2</w:t>
            </w:r>
            <w:r w:rsidRPr="00994619">
              <w:rPr>
                <w:rFonts w:cstheme="minorHAnsi"/>
                <w:b/>
                <w:bCs/>
                <w:color w:val="000000"/>
                <w:sz w:val="20"/>
                <w:lang w:eastAsia="en-AU"/>
              </w:rPr>
              <w:t>-1</w:t>
            </w:r>
            <w:r>
              <w:rPr>
                <w:rFonts w:cstheme="minorHAnsi"/>
                <w:b/>
                <w:bCs/>
                <w:color w:val="000000"/>
                <w:sz w:val="20"/>
                <w:lang w:eastAsia="en-AU"/>
              </w:rPr>
              <w:t>3</w:t>
            </w:r>
          </w:p>
        </w:tc>
        <w:tc>
          <w:tcPr>
            <w:tcW w:w="1356" w:type="dxa"/>
            <w:tcBorders>
              <w:top w:val="nil"/>
              <w:left w:val="nil"/>
              <w:bottom w:val="single" w:sz="4" w:space="0" w:color="auto"/>
              <w:right w:val="single" w:sz="4" w:space="0" w:color="auto"/>
            </w:tcBorders>
            <w:shd w:val="clear" w:color="auto" w:fill="auto"/>
            <w:noWrap/>
            <w:vAlign w:val="center"/>
            <w:hideMark/>
          </w:tcPr>
          <w:p w:rsidR="00ED5DBA" w:rsidRPr="00E33EAE" w:rsidRDefault="00ED5DBA" w:rsidP="00DF31C8">
            <w:pPr>
              <w:spacing w:before="80" w:after="80"/>
              <w:jc w:val="center"/>
              <w:rPr>
                <w:rFonts w:cstheme="minorHAnsi"/>
                <w:b/>
                <w:bCs/>
                <w:color w:val="000000"/>
                <w:sz w:val="20"/>
                <w:lang w:eastAsia="en-AU"/>
              </w:rPr>
            </w:pPr>
            <w:r w:rsidRPr="00994619">
              <w:rPr>
                <w:rFonts w:cstheme="minorHAnsi"/>
                <w:b/>
                <w:bCs/>
                <w:color w:val="000000"/>
                <w:sz w:val="20"/>
                <w:lang w:eastAsia="en-AU"/>
              </w:rPr>
              <w:t>201</w:t>
            </w:r>
            <w:r>
              <w:rPr>
                <w:rFonts w:cstheme="minorHAnsi"/>
                <w:b/>
                <w:bCs/>
                <w:color w:val="000000"/>
                <w:sz w:val="20"/>
                <w:lang w:eastAsia="en-AU"/>
              </w:rPr>
              <w:t>3</w:t>
            </w:r>
            <w:r w:rsidRPr="00994619">
              <w:rPr>
                <w:rFonts w:cstheme="minorHAnsi"/>
                <w:b/>
                <w:bCs/>
                <w:color w:val="000000"/>
                <w:sz w:val="20"/>
                <w:lang w:eastAsia="en-AU"/>
              </w:rPr>
              <w:t>-1</w:t>
            </w:r>
            <w:r>
              <w:rPr>
                <w:rFonts w:cstheme="minorHAnsi"/>
                <w:b/>
                <w:bCs/>
                <w:color w:val="000000"/>
                <w:sz w:val="20"/>
                <w:lang w:eastAsia="en-AU"/>
              </w:rPr>
              <w:t>4</w:t>
            </w:r>
          </w:p>
        </w:tc>
      </w:tr>
      <w:tr w:rsidR="00146092" w:rsidRPr="00163EB6" w:rsidTr="00176A2D">
        <w:trPr>
          <w:trHeight w:val="429"/>
        </w:trPr>
        <w:tc>
          <w:tcPr>
            <w:tcW w:w="2709" w:type="dxa"/>
            <w:tcBorders>
              <w:top w:val="nil"/>
              <w:left w:val="single" w:sz="4" w:space="0" w:color="auto"/>
              <w:bottom w:val="single" w:sz="4" w:space="0" w:color="auto"/>
              <w:right w:val="single" w:sz="4" w:space="0" w:color="auto"/>
            </w:tcBorders>
            <w:vAlign w:val="center"/>
          </w:tcPr>
          <w:p w:rsidR="00146092" w:rsidRPr="00E33EAE" w:rsidRDefault="001C6800" w:rsidP="00DF31C8">
            <w:pPr>
              <w:spacing w:before="80" w:after="80"/>
              <w:rPr>
                <w:rFonts w:cstheme="minorHAnsi"/>
                <w:color w:val="000000"/>
                <w:sz w:val="20"/>
              </w:rPr>
            </w:pPr>
            <w:r>
              <w:rPr>
                <w:rFonts w:cstheme="minorHAnsi"/>
                <w:b/>
                <w:bCs/>
                <w:color w:val="000000"/>
                <w:sz w:val="20"/>
                <w:lang w:eastAsia="en-AU"/>
              </w:rPr>
              <w:t>Admitted acute</w:t>
            </w:r>
          </w:p>
        </w:tc>
        <w:tc>
          <w:tcPr>
            <w:tcW w:w="1359" w:type="dxa"/>
            <w:tcBorders>
              <w:top w:val="nil"/>
              <w:left w:val="single" w:sz="4" w:space="0" w:color="auto"/>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sidRPr="00176A2D">
              <w:rPr>
                <w:rFonts w:cstheme="minorHAnsi"/>
                <w:color w:val="000000"/>
                <w:sz w:val="18"/>
                <w:lang w:eastAsia="en-AU"/>
              </w:rPr>
              <w:t>95.7%</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sidRPr="00176A2D">
              <w:rPr>
                <w:rFonts w:cstheme="minorHAnsi"/>
                <w:color w:val="000000"/>
                <w:sz w:val="18"/>
                <w:lang w:eastAsia="en-AU"/>
              </w:rPr>
              <w:t>83.2%</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sidRPr="00176A2D">
              <w:rPr>
                <w:rFonts w:cstheme="minorHAnsi"/>
                <w:color w:val="000000"/>
                <w:sz w:val="18"/>
                <w:lang w:eastAsia="en-AU"/>
              </w:rPr>
              <w:t>94.7%</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sidRPr="00176A2D">
              <w:rPr>
                <w:rFonts w:cstheme="minorHAnsi"/>
                <w:color w:val="000000"/>
                <w:sz w:val="18"/>
                <w:lang w:eastAsia="en-AU"/>
              </w:rPr>
              <w:t>95.7%</w:t>
            </w:r>
          </w:p>
        </w:tc>
      </w:tr>
      <w:tr w:rsidR="00146092" w:rsidRPr="00163EB6" w:rsidTr="00176A2D">
        <w:trPr>
          <w:trHeight w:val="429"/>
        </w:trPr>
        <w:tc>
          <w:tcPr>
            <w:tcW w:w="2709" w:type="dxa"/>
            <w:tcBorders>
              <w:top w:val="nil"/>
              <w:left w:val="single" w:sz="4" w:space="0" w:color="auto"/>
              <w:bottom w:val="single" w:sz="4" w:space="0" w:color="auto"/>
              <w:right w:val="single" w:sz="4" w:space="0" w:color="auto"/>
            </w:tcBorders>
            <w:vAlign w:val="center"/>
          </w:tcPr>
          <w:p w:rsidR="00146092" w:rsidRPr="00E33EAE" w:rsidRDefault="00146092" w:rsidP="00DF31C8">
            <w:pPr>
              <w:spacing w:before="80" w:after="80"/>
              <w:rPr>
                <w:rFonts w:cstheme="minorHAnsi"/>
                <w:color w:val="000000"/>
                <w:sz w:val="20"/>
              </w:rPr>
            </w:pPr>
            <w:r w:rsidRPr="00E33EAE">
              <w:rPr>
                <w:rFonts w:cstheme="minorHAnsi"/>
                <w:b/>
                <w:bCs/>
                <w:color w:val="000000"/>
                <w:sz w:val="20"/>
                <w:lang w:eastAsia="en-AU"/>
              </w:rPr>
              <w:t>Emergency</w:t>
            </w:r>
          </w:p>
        </w:tc>
        <w:tc>
          <w:tcPr>
            <w:tcW w:w="1359" w:type="dxa"/>
            <w:tcBorders>
              <w:top w:val="nil"/>
              <w:left w:val="single" w:sz="4" w:space="0" w:color="auto"/>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Pr>
                <w:rFonts w:cstheme="minorHAnsi"/>
                <w:color w:val="000000"/>
                <w:sz w:val="18"/>
                <w:lang w:eastAsia="en-AU"/>
              </w:rPr>
              <w:t>97.3%</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Pr>
                <w:rFonts w:cstheme="minorHAnsi"/>
                <w:color w:val="000000"/>
                <w:sz w:val="18"/>
                <w:lang w:eastAsia="en-AU"/>
              </w:rPr>
              <w:t>101.2%</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Pr>
                <w:rFonts w:cstheme="minorHAnsi"/>
                <w:color w:val="000000"/>
                <w:sz w:val="18"/>
                <w:lang w:eastAsia="en-AU"/>
              </w:rPr>
              <w:t>96.0%</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Pr>
                <w:rFonts w:cstheme="minorHAnsi"/>
                <w:color w:val="000000"/>
                <w:sz w:val="18"/>
                <w:lang w:eastAsia="en-AU"/>
              </w:rPr>
              <w:t>97.3%</w:t>
            </w:r>
          </w:p>
        </w:tc>
      </w:tr>
      <w:tr w:rsidR="00146092" w:rsidRPr="00163EB6" w:rsidTr="00176A2D">
        <w:trPr>
          <w:trHeight w:val="429"/>
        </w:trPr>
        <w:tc>
          <w:tcPr>
            <w:tcW w:w="2709" w:type="dxa"/>
            <w:tcBorders>
              <w:top w:val="nil"/>
              <w:left w:val="single" w:sz="4" w:space="0" w:color="auto"/>
              <w:bottom w:val="single" w:sz="4" w:space="0" w:color="auto"/>
              <w:right w:val="single" w:sz="4" w:space="0" w:color="auto"/>
            </w:tcBorders>
            <w:shd w:val="clear" w:color="auto" w:fill="FFFFFF" w:themeFill="background1"/>
            <w:vAlign w:val="center"/>
          </w:tcPr>
          <w:p w:rsidR="00146092" w:rsidRPr="00E33EAE" w:rsidRDefault="00146092" w:rsidP="00DF31C8">
            <w:pPr>
              <w:spacing w:before="80" w:after="80"/>
              <w:rPr>
                <w:rFonts w:cstheme="minorHAnsi"/>
                <w:color w:val="000000"/>
                <w:sz w:val="20"/>
                <w:lang w:eastAsia="en-AU"/>
              </w:rPr>
            </w:pPr>
            <w:r w:rsidRPr="00E33EAE">
              <w:rPr>
                <w:rFonts w:cstheme="minorHAnsi"/>
                <w:b/>
                <w:bCs/>
                <w:color w:val="000000"/>
                <w:sz w:val="20"/>
                <w:lang w:eastAsia="en-AU"/>
              </w:rPr>
              <w:t>Non-admitted</w:t>
            </w:r>
          </w:p>
        </w:tc>
        <w:tc>
          <w:tcPr>
            <w:tcW w:w="1359" w:type="dxa"/>
            <w:tcBorders>
              <w:top w:val="nil"/>
              <w:left w:val="single" w:sz="4" w:space="0" w:color="auto"/>
              <w:bottom w:val="single" w:sz="4" w:space="0" w:color="auto"/>
              <w:right w:val="single" w:sz="4" w:space="0" w:color="auto"/>
            </w:tcBorders>
            <w:shd w:val="clear" w:color="000000" w:fill="D9D9D9"/>
            <w:noWrap/>
            <w:vAlign w:val="bottom"/>
          </w:tcPr>
          <w:p w:rsidR="00146092" w:rsidRPr="00E33EAE" w:rsidRDefault="00146092" w:rsidP="00DF31C8">
            <w:pPr>
              <w:spacing w:before="80" w:after="80"/>
              <w:rPr>
                <w:rFonts w:cstheme="minorHAnsi"/>
                <w:color w:val="000000"/>
                <w:sz w:val="18"/>
                <w:lang w:eastAsia="en-AU"/>
              </w:rPr>
            </w:pPr>
          </w:p>
        </w:tc>
        <w:tc>
          <w:tcPr>
            <w:tcW w:w="1356" w:type="dxa"/>
            <w:tcBorders>
              <w:top w:val="nil"/>
              <w:left w:val="nil"/>
              <w:bottom w:val="single" w:sz="4" w:space="0" w:color="auto"/>
              <w:right w:val="single" w:sz="4" w:space="0" w:color="auto"/>
            </w:tcBorders>
            <w:shd w:val="clear" w:color="000000" w:fill="D9D9D9"/>
            <w:noWrap/>
            <w:vAlign w:val="bottom"/>
          </w:tcPr>
          <w:p w:rsidR="00146092" w:rsidRPr="00E33EAE" w:rsidRDefault="00146092" w:rsidP="00DF31C8">
            <w:pPr>
              <w:spacing w:before="80" w:after="80"/>
              <w:rPr>
                <w:rFonts w:cstheme="minorHAnsi"/>
                <w:color w:val="000000"/>
                <w:sz w:val="18"/>
                <w:lang w:eastAsia="en-AU"/>
              </w:rPr>
            </w:pPr>
          </w:p>
        </w:tc>
        <w:tc>
          <w:tcPr>
            <w:tcW w:w="1356" w:type="dxa"/>
            <w:tcBorders>
              <w:top w:val="nil"/>
              <w:left w:val="nil"/>
              <w:bottom w:val="single" w:sz="4" w:space="0" w:color="auto"/>
              <w:right w:val="single" w:sz="4" w:space="0" w:color="auto"/>
            </w:tcBorders>
            <w:shd w:val="clear" w:color="000000" w:fill="D9D9D9"/>
            <w:noWrap/>
            <w:vAlign w:val="bottom"/>
          </w:tcPr>
          <w:p w:rsidR="00146092" w:rsidRPr="00E33EAE" w:rsidRDefault="00146092" w:rsidP="00DF31C8">
            <w:pPr>
              <w:spacing w:before="80" w:after="80"/>
              <w:rPr>
                <w:rFonts w:cstheme="minorHAnsi"/>
                <w:color w:val="000000"/>
                <w:sz w:val="18"/>
                <w:lang w:eastAsia="en-AU"/>
              </w:rPr>
            </w:pPr>
          </w:p>
        </w:tc>
        <w:tc>
          <w:tcPr>
            <w:tcW w:w="1356" w:type="dxa"/>
            <w:tcBorders>
              <w:top w:val="nil"/>
              <w:left w:val="nil"/>
              <w:bottom w:val="single" w:sz="4" w:space="0" w:color="auto"/>
              <w:right w:val="single" w:sz="4" w:space="0" w:color="auto"/>
            </w:tcBorders>
            <w:shd w:val="clear" w:color="000000" w:fill="D9D9D9"/>
            <w:noWrap/>
            <w:vAlign w:val="bottom"/>
          </w:tcPr>
          <w:p w:rsidR="00146092" w:rsidRPr="00E33EAE" w:rsidRDefault="00146092" w:rsidP="00DF31C8">
            <w:pPr>
              <w:spacing w:before="80" w:after="80"/>
              <w:rPr>
                <w:rFonts w:cstheme="minorHAnsi"/>
                <w:color w:val="000000"/>
                <w:sz w:val="18"/>
                <w:lang w:eastAsia="en-AU"/>
              </w:rPr>
            </w:pPr>
          </w:p>
        </w:tc>
      </w:tr>
      <w:tr w:rsidR="00146092" w:rsidRPr="00163EB6" w:rsidTr="00176A2D">
        <w:trPr>
          <w:trHeight w:val="429"/>
        </w:trPr>
        <w:tc>
          <w:tcPr>
            <w:tcW w:w="2709" w:type="dxa"/>
            <w:tcBorders>
              <w:top w:val="nil"/>
              <w:left w:val="single" w:sz="4" w:space="0" w:color="auto"/>
              <w:bottom w:val="single" w:sz="4" w:space="0" w:color="auto"/>
              <w:right w:val="single" w:sz="4" w:space="0" w:color="auto"/>
            </w:tcBorders>
            <w:vAlign w:val="center"/>
          </w:tcPr>
          <w:p w:rsidR="00146092" w:rsidRPr="00E33EAE" w:rsidRDefault="00146092" w:rsidP="00DF31C8">
            <w:pPr>
              <w:spacing w:before="80" w:after="80"/>
              <w:rPr>
                <w:rFonts w:cstheme="minorHAnsi"/>
                <w:color w:val="000000"/>
                <w:sz w:val="20"/>
              </w:rPr>
            </w:pPr>
            <w:r w:rsidRPr="00E33EAE">
              <w:rPr>
                <w:rFonts w:cstheme="minorHAnsi"/>
                <w:b/>
                <w:bCs/>
                <w:color w:val="000000"/>
                <w:sz w:val="20"/>
                <w:lang w:eastAsia="en-AU"/>
              </w:rPr>
              <w:t>Subacute</w:t>
            </w:r>
          </w:p>
        </w:tc>
        <w:tc>
          <w:tcPr>
            <w:tcW w:w="1359" w:type="dxa"/>
            <w:tcBorders>
              <w:top w:val="nil"/>
              <w:left w:val="single" w:sz="4" w:space="0" w:color="auto"/>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Pr>
                <w:rFonts w:cstheme="minorHAnsi"/>
                <w:color w:val="000000"/>
                <w:sz w:val="18"/>
                <w:lang w:eastAsia="en-AU"/>
              </w:rPr>
              <w:t>89.0%</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Pr>
                <w:rFonts w:cstheme="minorHAnsi"/>
                <w:color w:val="000000"/>
                <w:sz w:val="18"/>
                <w:lang w:eastAsia="en-AU"/>
              </w:rPr>
              <w:t>86.3%</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Pr>
                <w:rFonts w:cstheme="minorHAnsi"/>
                <w:color w:val="000000"/>
                <w:sz w:val="18"/>
                <w:lang w:eastAsia="en-AU"/>
              </w:rPr>
              <w:t>102.8%</w:t>
            </w:r>
          </w:p>
        </w:tc>
        <w:tc>
          <w:tcPr>
            <w:tcW w:w="1356" w:type="dxa"/>
            <w:tcBorders>
              <w:top w:val="nil"/>
              <w:left w:val="nil"/>
              <w:bottom w:val="single" w:sz="4" w:space="0" w:color="auto"/>
              <w:right w:val="single" w:sz="4" w:space="0" w:color="auto"/>
            </w:tcBorders>
            <w:shd w:val="clear" w:color="auto" w:fill="auto"/>
            <w:noWrap/>
            <w:vAlign w:val="bottom"/>
          </w:tcPr>
          <w:p w:rsidR="00146092" w:rsidRPr="00176A2D" w:rsidRDefault="00176A2D" w:rsidP="00176A2D">
            <w:pPr>
              <w:spacing w:before="80" w:after="80"/>
              <w:jc w:val="center"/>
              <w:rPr>
                <w:rFonts w:cstheme="minorHAnsi"/>
                <w:color w:val="000000"/>
                <w:sz w:val="18"/>
                <w:lang w:eastAsia="en-AU"/>
              </w:rPr>
            </w:pPr>
            <w:r>
              <w:rPr>
                <w:rFonts w:cstheme="minorHAnsi"/>
                <w:color w:val="000000"/>
                <w:sz w:val="18"/>
                <w:lang w:eastAsia="en-AU"/>
              </w:rPr>
              <w:t>89.0%</w:t>
            </w:r>
          </w:p>
        </w:tc>
      </w:tr>
    </w:tbl>
    <w:p w:rsidR="00146092" w:rsidRPr="00033F91" w:rsidRDefault="00146092" w:rsidP="00146092">
      <w:pPr>
        <w:spacing w:after="0"/>
        <w:rPr>
          <w:rFonts w:cstheme="minorHAnsi"/>
          <w:bCs/>
          <w:color w:val="000000"/>
          <w:lang w:eastAsia="en-AU"/>
        </w:rPr>
      </w:pPr>
      <w:r w:rsidRPr="00033F91">
        <w:rPr>
          <w:rFonts w:cstheme="minorHAnsi"/>
          <w:bCs/>
          <w:color w:val="000000"/>
          <w:lang w:eastAsia="en-AU"/>
        </w:rPr>
        <w:t>Note: Only the NHCDC activity is used in the non-admitted Cost Model.</w:t>
      </w:r>
    </w:p>
    <w:p w:rsidR="00460371" w:rsidRPr="00704036" w:rsidRDefault="00460371" w:rsidP="00AD4FFC">
      <w:pPr>
        <w:spacing w:after="0"/>
        <w:rPr>
          <w:rFonts w:cstheme="minorHAnsi"/>
          <w:bCs/>
          <w:color w:val="000000"/>
          <w:lang w:eastAsia="en-AU"/>
        </w:rPr>
      </w:pPr>
    </w:p>
    <w:p w:rsidR="003473A3" w:rsidRPr="00704036" w:rsidRDefault="003473A3" w:rsidP="00AD4FFC">
      <w:pPr>
        <w:spacing w:after="0"/>
        <w:rPr>
          <w:rFonts w:cstheme="minorHAnsi"/>
          <w:bCs/>
          <w:color w:val="000000"/>
          <w:lang w:eastAsia="en-AU"/>
        </w:rPr>
        <w:sectPr w:rsidR="003473A3" w:rsidRPr="00704036" w:rsidSect="001E6A47">
          <w:pgSz w:w="11907" w:h="16839" w:code="9"/>
          <w:pgMar w:top="1440" w:right="1440" w:bottom="1440" w:left="1440" w:header="709" w:footer="709" w:gutter="0"/>
          <w:cols w:space="708"/>
          <w:docGrid w:linePitch="360"/>
        </w:sectPr>
      </w:pPr>
    </w:p>
    <w:p w:rsidR="00460371" w:rsidRPr="009B622C" w:rsidRDefault="00453076" w:rsidP="009B622C">
      <w:pPr>
        <w:pStyle w:val="Heading1"/>
        <w:tabs>
          <w:tab w:val="clear" w:pos="1492"/>
        </w:tabs>
        <w:spacing w:after="240"/>
        <w:ind w:firstLine="0"/>
        <w:rPr>
          <w:b w:val="0"/>
        </w:rPr>
      </w:pPr>
      <w:bookmarkStart w:id="477" w:name="_Toc444528658"/>
      <w:r w:rsidRPr="009B622C">
        <w:t>Attachment B</w:t>
      </w:r>
      <w:r w:rsidR="00C91814">
        <w:t xml:space="preserve"> – </w:t>
      </w:r>
      <w:r w:rsidR="00460371" w:rsidRPr="009B622C">
        <w:t>Development of the National Pricing Model</w:t>
      </w:r>
      <w:bookmarkEnd w:id="477"/>
      <w:r w:rsidR="00460371" w:rsidRPr="009B622C">
        <w:t xml:space="preserve"> </w:t>
      </w:r>
    </w:p>
    <w:p w:rsidR="004325BA" w:rsidRPr="00033F91" w:rsidRDefault="00BB5EA9" w:rsidP="00AD4FFC">
      <w:pPr>
        <w:rPr>
          <w:rFonts w:eastAsia="Calibri" w:cstheme="minorHAnsi"/>
          <w:b/>
          <w:sz w:val="28"/>
          <w:szCs w:val="28"/>
        </w:rPr>
      </w:pPr>
      <w:r w:rsidRPr="00033F91">
        <w:rPr>
          <w:rFonts w:eastAsia="Calibri" w:cstheme="minorHAnsi"/>
          <w:b/>
          <w:sz w:val="28"/>
          <w:szCs w:val="28"/>
        </w:rPr>
        <w:t>Contents</w:t>
      </w:r>
    </w:p>
    <w:p w:rsidR="004325BA" w:rsidRPr="00033F91" w:rsidRDefault="00C51C2A" w:rsidP="00C245E0">
      <w:pPr>
        <w:pStyle w:val="ListParagraph"/>
        <w:numPr>
          <w:ilvl w:val="0"/>
          <w:numId w:val="52"/>
        </w:numPr>
        <w:tabs>
          <w:tab w:val="right" w:leader="dot" w:pos="9072"/>
        </w:tabs>
        <w:spacing w:after="240"/>
        <w:ind w:left="567" w:hanging="567"/>
        <w:rPr>
          <w:rFonts w:eastAsia="Calibri" w:cstheme="minorHAnsi"/>
          <w:sz w:val="24"/>
        </w:rPr>
      </w:pPr>
      <w:r w:rsidRPr="00033F91">
        <w:rPr>
          <w:rFonts w:eastAsia="Calibri" w:cstheme="minorHAnsi"/>
          <w:sz w:val="24"/>
        </w:rPr>
        <w:t>Purpose</w:t>
      </w:r>
      <w:r w:rsidR="004325BA" w:rsidRPr="00033F91">
        <w:rPr>
          <w:rFonts w:eastAsia="Calibri" w:cstheme="minorHAnsi"/>
          <w:sz w:val="24"/>
        </w:rPr>
        <w:tab/>
      </w:r>
      <w:r w:rsidR="001F122B" w:rsidRPr="00033F91">
        <w:rPr>
          <w:rFonts w:eastAsia="Calibri" w:cstheme="minorHAnsi"/>
          <w:sz w:val="24"/>
        </w:rPr>
        <w:t>6</w:t>
      </w:r>
      <w:r w:rsidR="006044ED">
        <w:rPr>
          <w:rFonts w:eastAsia="Calibri" w:cstheme="minorHAnsi"/>
          <w:sz w:val="24"/>
        </w:rPr>
        <w:t>1</w:t>
      </w:r>
    </w:p>
    <w:p w:rsidR="004325BA" w:rsidRPr="00033F91" w:rsidRDefault="00C51C2A" w:rsidP="00C245E0">
      <w:pPr>
        <w:pStyle w:val="ListParagraph"/>
        <w:numPr>
          <w:ilvl w:val="0"/>
          <w:numId w:val="52"/>
        </w:numPr>
        <w:tabs>
          <w:tab w:val="right" w:leader="dot" w:pos="9072"/>
        </w:tabs>
        <w:spacing w:after="240"/>
        <w:ind w:left="567" w:hanging="567"/>
        <w:rPr>
          <w:rFonts w:eastAsia="Calibri" w:cstheme="minorHAnsi"/>
          <w:sz w:val="24"/>
        </w:rPr>
      </w:pPr>
      <w:r w:rsidRPr="00033F91">
        <w:rPr>
          <w:rFonts w:eastAsia="Calibri" w:cstheme="minorHAnsi"/>
          <w:sz w:val="24"/>
        </w:rPr>
        <w:t>Overview</w:t>
      </w:r>
      <w:r w:rsidR="004325BA" w:rsidRPr="00033F91">
        <w:rPr>
          <w:rFonts w:eastAsia="Calibri" w:cstheme="minorHAnsi"/>
          <w:sz w:val="24"/>
        </w:rPr>
        <w:tab/>
      </w:r>
      <w:r w:rsidR="00106F73" w:rsidRPr="00033F91">
        <w:rPr>
          <w:rFonts w:eastAsia="Calibri" w:cstheme="minorHAnsi"/>
          <w:sz w:val="24"/>
        </w:rPr>
        <w:t>6</w:t>
      </w:r>
      <w:r w:rsidR="006044ED">
        <w:rPr>
          <w:rFonts w:eastAsia="Calibri" w:cstheme="minorHAnsi"/>
          <w:sz w:val="24"/>
        </w:rPr>
        <w:t>1</w:t>
      </w:r>
    </w:p>
    <w:p w:rsidR="004325BA" w:rsidRPr="00033F91" w:rsidRDefault="00C51C2A" w:rsidP="00C245E0">
      <w:pPr>
        <w:pStyle w:val="ListParagraph"/>
        <w:numPr>
          <w:ilvl w:val="0"/>
          <w:numId w:val="52"/>
        </w:numPr>
        <w:tabs>
          <w:tab w:val="right" w:leader="dot" w:pos="9072"/>
        </w:tabs>
        <w:spacing w:after="240"/>
        <w:ind w:left="567" w:hanging="567"/>
        <w:rPr>
          <w:rFonts w:eastAsia="Calibri" w:cstheme="minorHAnsi"/>
          <w:sz w:val="24"/>
        </w:rPr>
      </w:pPr>
      <w:r w:rsidRPr="00033F91">
        <w:rPr>
          <w:rFonts w:eastAsia="Calibri" w:cstheme="minorHAnsi"/>
          <w:sz w:val="24"/>
        </w:rPr>
        <w:t>Identification of out of scope costs</w:t>
      </w:r>
      <w:r w:rsidR="004325BA" w:rsidRPr="00033F91">
        <w:rPr>
          <w:rFonts w:eastAsia="Calibri" w:cstheme="minorHAnsi"/>
          <w:sz w:val="24"/>
        </w:rPr>
        <w:tab/>
      </w:r>
      <w:r w:rsidR="001F122B" w:rsidRPr="00033F91">
        <w:rPr>
          <w:rFonts w:eastAsia="Calibri" w:cstheme="minorHAnsi"/>
          <w:sz w:val="24"/>
        </w:rPr>
        <w:t>6</w:t>
      </w:r>
      <w:r w:rsidR="006044ED">
        <w:rPr>
          <w:rFonts w:eastAsia="Calibri" w:cstheme="minorHAnsi"/>
          <w:sz w:val="24"/>
        </w:rPr>
        <w:t>2</w:t>
      </w:r>
    </w:p>
    <w:p w:rsidR="00C51C2A" w:rsidRPr="00033F91" w:rsidRDefault="00C51C2A" w:rsidP="00C245E0">
      <w:pPr>
        <w:pStyle w:val="ListParagraph"/>
        <w:numPr>
          <w:ilvl w:val="0"/>
          <w:numId w:val="52"/>
        </w:numPr>
        <w:tabs>
          <w:tab w:val="right" w:leader="dot" w:pos="9072"/>
        </w:tabs>
        <w:spacing w:after="240"/>
        <w:ind w:left="567" w:hanging="567"/>
        <w:rPr>
          <w:rFonts w:eastAsia="Calibri" w:cstheme="minorHAnsi"/>
          <w:sz w:val="24"/>
        </w:rPr>
      </w:pPr>
      <w:r w:rsidRPr="00033F91">
        <w:rPr>
          <w:rFonts w:eastAsia="Calibri" w:cstheme="minorHAnsi"/>
          <w:sz w:val="24"/>
        </w:rPr>
        <w:t>De</w:t>
      </w:r>
      <w:r w:rsidR="006044ED">
        <w:rPr>
          <w:rFonts w:eastAsia="Calibri" w:cstheme="minorHAnsi"/>
          <w:sz w:val="24"/>
        </w:rPr>
        <w:t xml:space="preserve">rivation of a reference cost </w:t>
      </w:r>
      <w:r w:rsidR="006044ED">
        <w:rPr>
          <w:rFonts w:eastAsia="Calibri" w:cstheme="minorHAnsi"/>
          <w:sz w:val="24"/>
        </w:rPr>
        <w:tab/>
        <w:t>62</w:t>
      </w:r>
    </w:p>
    <w:p w:rsidR="00C51C2A" w:rsidRPr="00033F91" w:rsidRDefault="006044ED" w:rsidP="00C245E0">
      <w:pPr>
        <w:pStyle w:val="ListParagraph"/>
        <w:numPr>
          <w:ilvl w:val="0"/>
          <w:numId w:val="52"/>
        </w:numPr>
        <w:tabs>
          <w:tab w:val="right" w:leader="dot" w:pos="9072"/>
        </w:tabs>
        <w:spacing w:after="240"/>
        <w:ind w:left="567" w:hanging="567"/>
        <w:rPr>
          <w:rFonts w:eastAsia="Calibri" w:cstheme="minorHAnsi"/>
          <w:sz w:val="24"/>
        </w:rPr>
      </w:pPr>
      <w:r>
        <w:rPr>
          <w:rFonts w:eastAsia="Calibri" w:cstheme="minorHAnsi"/>
          <w:sz w:val="24"/>
        </w:rPr>
        <w:t xml:space="preserve">Indexation </w:t>
      </w:r>
      <w:r>
        <w:rPr>
          <w:rFonts w:eastAsia="Calibri" w:cstheme="minorHAnsi"/>
          <w:sz w:val="24"/>
        </w:rPr>
        <w:tab/>
        <w:t>64</w:t>
      </w:r>
    </w:p>
    <w:p w:rsidR="00C51C2A" w:rsidRPr="00033F91" w:rsidRDefault="00C51C2A" w:rsidP="00C245E0">
      <w:pPr>
        <w:pStyle w:val="ListParagraph"/>
        <w:numPr>
          <w:ilvl w:val="0"/>
          <w:numId w:val="52"/>
        </w:numPr>
        <w:tabs>
          <w:tab w:val="right" w:leader="dot" w:pos="9072"/>
        </w:tabs>
        <w:spacing w:after="240"/>
        <w:ind w:left="567" w:hanging="567"/>
        <w:rPr>
          <w:rFonts w:eastAsia="Calibri" w:cstheme="minorHAnsi"/>
          <w:sz w:val="24"/>
        </w:rPr>
      </w:pPr>
      <w:r w:rsidRPr="00033F91">
        <w:rPr>
          <w:rFonts w:eastAsia="Calibri" w:cstheme="minorHAnsi"/>
          <w:sz w:val="24"/>
        </w:rPr>
        <w:t>Transformation o</w:t>
      </w:r>
      <w:r w:rsidR="00106F73" w:rsidRPr="00033F91">
        <w:rPr>
          <w:rFonts w:eastAsia="Calibri" w:cstheme="minorHAnsi"/>
          <w:sz w:val="24"/>
        </w:rPr>
        <w:t>f cost model t</w:t>
      </w:r>
      <w:r w:rsidR="001F122B" w:rsidRPr="00033F91">
        <w:rPr>
          <w:rFonts w:eastAsia="Calibri" w:cstheme="minorHAnsi"/>
          <w:sz w:val="24"/>
        </w:rPr>
        <w:t>o pricing model</w:t>
      </w:r>
      <w:r w:rsidR="001F122B" w:rsidRPr="00033F91">
        <w:rPr>
          <w:rFonts w:eastAsia="Calibri" w:cstheme="minorHAnsi"/>
          <w:sz w:val="24"/>
        </w:rPr>
        <w:tab/>
      </w:r>
      <w:r w:rsidR="006044ED">
        <w:rPr>
          <w:rFonts w:eastAsia="Calibri" w:cstheme="minorHAnsi"/>
          <w:sz w:val="24"/>
        </w:rPr>
        <w:t>68</w:t>
      </w:r>
    </w:p>
    <w:p w:rsidR="000674A1" w:rsidRPr="00033F91" w:rsidRDefault="000674A1" w:rsidP="00AD4FFC">
      <w:pPr>
        <w:rPr>
          <w:rFonts w:eastAsia="Calibri" w:cstheme="minorHAnsi"/>
          <w:sz w:val="24"/>
        </w:rPr>
        <w:sectPr w:rsidR="000674A1" w:rsidRPr="00033F91" w:rsidSect="00E05DB3">
          <w:pgSz w:w="11907" w:h="16839" w:code="9"/>
          <w:pgMar w:top="1440" w:right="1440" w:bottom="1440" w:left="1440" w:header="709" w:footer="709" w:gutter="0"/>
          <w:cols w:space="708"/>
          <w:docGrid w:linePitch="360"/>
        </w:sectPr>
      </w:pPr>
    </w:p>
    <w:p w:rsidR="004E443D" w:rsidRPr="004256F4" w:rsidRDefault="004E443D" w:rsidP="00AD4FFC">
      <w:pPr>
        <w:pStyle w:val="ListParagraph"/>
        <w:numPr>
          <w:ilvl w:val="2"/>
          <w:numId w:val="36"/>
        </w:numPr>
        <w:spacing w:before="100" w:beforeAutospacing="1" w:after="100" w:afterAutospacing="1"/>
        <w:ind w:left="284"/>
        <w:rPr>
          <w:rFonts w:eastAsia="Calibri" w:cstheme="minorHAnsi"/>
          <w:b/>
          <w:sz w:val="24"/>
          <w:szCs w:val="28"/>
        </w:rPr>
      </w:pPr>
      <w:r w:rsidRPr="004256F4">
        <w:rPr>
          <w:rFonts w:eastAsia="Calibri" w:cstheme="minorHAnsi"/>
          <w:b/>
          <w:sz w:val="24"/>
          <w:szCs w:val="28"/>
        </w:rPr>
        <w:t>Purpose</w:t>
      </w:r>
    </w:p>
    <w:p w:rsidR="00460371" w:rsidRPr="00033F91" w:rsidRDefault="00460371" w:rsidP="00AD4FFC">
      <w:pPr>
        <w:spacing w:before="100" w:beforeAutospacing="1" w:after="100" w:afterAutospacing="1"/>
        <w:rPr>
          <w:rFonts w:eastAsia="Calibri" w:cstheme="minorHAnsi"/>
          <w:szCs w:val="24"/>
        </w:rPr>
      </w:pPr>
      <w:r w:rsidRPr="00033F91">
        <w:rPr>
          <w:rFonts w:eastAsia="Calibri" w:cstheme="minorHAnsi"/>
          <w:szCs w:val="24"/>
        </w:rPr>
        <w:t xml:space="preserve">The purpose of this </w:t>
      </w:r>
      <w:r w:rsidR="00F9621D" w:rsidRPr="00033F91">
        <w:rPr>
          <w:rFonts w:eastAsia="Calibri" w:cstheme="minorHAnsi"/>
          <w:szCs w:val="24"/>
        </w:rPr>
        <w:t xml:space="preserve">Attachment </w:t>
      </w:r>
      <w:r w:rsidRPr="00033F91">
        <w:rPr>
          <w:rFonts w:eastAsia="Calibri" w:cstheme="minorHAnsi"/>
          <w:szCs w:val="24"/>
        </w:rPr>
        <w:t>is to explain the steps undertaken to transform the historical cost and activity data into the National Pricing Model, which includes the National Efficient Price (NEP), Price Weights and Adjustments.</w:t>
      </w:r>
    </w:p>
    <w:p w:rsidR="000674A1" w:rsidRPr="004256F4" w:rsidRDefault="000674A1" w:rsidP="00AD4FFC">
      <w:pPr>
        <w:pStyle w:val="ListParagraph"/>
        <w:numPr>
          <w:ilvl w:val="2"/>
          <w:numId w:val="36"/>
        </w:numPr>
        <w:spacing w:before="100" w:beforeAutospacing="1" w:after="100" w:afterAutospacing="1"/>
        <w:ind w:left="284"/>
        <w:rPr>
          <w:rFonts w:eastAsia="Calibri" w:cstheme="minorHAnsi"/>
          <w:b/>
          <w:sz w:val="24"/>
          <w:szCs w:val="28"/>
        </w:rPr>
      </w:pPr>
      <w:r w:rsidRPr="004256F4">
        <w:rPr>
          <w:rFonts w:eastAsia="Calibri" w:cstheme="minorHAnsi"/>
          <w:b/>
          <w:sz w:val="24"/>
          <w:szCs w:val="28"/>
        </w:rPr>
        <w:t>Overview</w:t>
      </w:r>
    </w:p>
    <w:p w:rsidR="00460371" w:rsidRPr="00033F91" w:rsidRDefault="00460371" w:rsidP="00AD4FFC">
      <w:pPr>
        <w:spacing w:before="100" w:beforeAutospacing="1" w:after="100" w:afterAutospacing="1"/>
        <w:rPr>
          <w:rFonts w:eastAsia="Calibri" w:cstheme="minorHAnsi"/>
          <w:szCs w:val="24"/>
        </w:rPr>
      </w:pPr>
      <w:r w:rsidRPr="00033F91">
        <w:rPr>
          <w:rFonts w:eastAsia="Calibri" w:cstheme="minorHAnsi"/>
          <w:szCs w:val="24"/>
        </w:rPr>
        <w:t xml:space="preserve">The </w:t>
      </w:r>
      <w:r w:rsidR="00384C96" w:rsidRPr="00033F91">
        <w:rPr>
          <w:rFonts w:eastAsia="Calibri" w:cstheme="minorHAnsi"/>
          <w:szCs w:val="24"/>
        </w:rPr>
        <w:t>2016-17</w:t>
      </w:r>
      <w:r w:rsidRPr="00033F91">
        <w:rPr>
          <w:rFonts w:eastAsia="Calibri" w:cstheme="minorHAnsi"/>
          <w:szCs w:val="24"/>
        </w:rPr>
        <w:t xml:space="preserve"> National Pricing Model is the </w:t>
      </w:r>
      <w:r w:rsidR="00001E10" w:rsidRPr="00033F91">
        <w:rPr>
          <w:rFonts w:eastAsia="Calibri" w:cstheme="minorHAnsi"/>
          <w:szCs w:val="24"/>
        </w:rPr>
        <w:t xml:space="preserve">fifth </w:t>
      </w:r>
      <w:r w:rsidRPr="00033F91">
        <w:rPr>
          <w:rFonts w:eastAsia="Calibri" w:cstheme="minorHAnsi"/>
          <w:szCs w:val="24"/>
        </w:rPr>
        <w:t xml:space="preserve">annual pricing model that IHPA has produced. Each pricing model comprises a National Efficient Price (NEP), Price Weights and Adjustments, and each is based on cost and activity data from three years prior: the </w:t>
      </w:r>
      <w:r w:rsidR="00384C96" w:rsidRPr="00033F91">
        <w:rPr>
          <w:rFonts w:eastAsia="Calibri" w:cstheme="minorHAnsi"/>
          <w:szCs w:val="24"/>
        </w:rPr>
        <w:t>2016-17</w:t>
      </w:r>
      <w:r w:rsidRPr="00033F91">
        <w:rPr>
          <w:rFonts w:eastAsia="Calibri" w:cstheme="minorHAnsi"/>
          <w:szCs w:val="24"/>
        </w:rPr>
        <w:t xml:space="preserve"> pricing model is based on </w:t>
      </w:r>
      <w:r w:rsidR="00001E10" w:rsidRPr="00033F91">
        <w:rPr>
          <w:rFonts w:eastAsia="Calibri" w:cstheme="minorHAnsi"/>
          <w:szCs w:val="24"/>
        </w:rPr>
        <w:t>2013-14</w:t>
      </w:r>
      <w:r w:rsidRPr="00033F91">
        <w:rPr>
          <w:rFonts w:eastAsia="Calibri" w:cstheme="minorHAnsi"/>
          <w:szCs w:val="24"/>
        </w:rPr>
        <w:t xml:space="preserve"> cost and activity data.</w:t>
      </w:r>
    </w:p>
    <w:p w:rsidR="00460371" w:rsidRPr="00033F91" w:rsidRDefault="00460371" w:rsidP="00AD4FFC">
      <w:pPr>
        <w:spacing w:before="100" w:beforeAutospacing="1" w:after="100" w:afterAutospacing="1"/>
        <w:rPr>
          <w:rFonts w:eastAsia="Calibri" w:cstheme="minorHAnsi"/>
          <w:szCs w:val="24"/>
        </w:rPr>
      </w:pPr>
      <w:r w:rsidRPr="00033F91">
        <w:rPr>
          <w:rFonts w:eastAsia="Calibri" w:cstheme="minorHAnsi"/>
          <w:szCs w:val="24"/>
        </w:rPr>
        <w:t xml:space="preserve">The cost and activity data for each of the historical years are used to derive a cost model for that year, with only those costs and activity from </w:t>
      </w:r>
      <w:r w:rsidR="001A1C94" w:rsidRPr="00033F91">
        <w:rPr>
          <w:rFonts w:eastAsia="Calibri" w:cstheme="minorHAnsi"/>
          <w:szCs w:val="24"/>
        </w:rPr>
        <w:t>activity based funding (</w:t>
      </w:r>
      <w:r w:rsidRPr="00033F91">
        <w:rPr>
          <w:rFonts w:eastAsia="Calibri" w:cstheme="minorHAnsi"/>
          <w:szCs w:val="24"/>
        </w:rPr>
        <w:t>ABF</w:t>
      </w:r>
      <w:r w:rsidR="001A1C94" w:rsidRPr="00033F91">
        <w:rPr>
          <w:rFonts w:eastAsia="Calibri" w:cstheme="minorHAnsi"/>
          <w:szCs w:val="24"/>
        </w:rPr>
        <w:t>)</w:t>
      </w:r>
      <w:r w:rsidRPr="00033F91">
        <w:rPr>
          <w:rFonts w:eastAsia="Calibri" w:cstheme="minorHAnsi"/>
          <w:szCs w:val="24"/>
        </w:rPr>
        <w:t xml:space="preserve"> establishments being used. The cost model is designed to ensure that the total model costs are equalised with the estimated total actual costs across the ABF establishments.</w:t>
      </w:r>
    </w:p>
    <w:p w:rsidR="00460371" w:rsidRPr="00033F91" w:rsidRDefault="00460371" w:rsidP="00AD4FFC">
      <w:pPr>
        <w:spacing w:before="100" w:beforeAutospacing="1" w:after="100" w:afterAutospacing="1"/>
        <w:rPr>
          <w:rFonts w:eastAsia="Calibri" w:cstheme="minorHAnsi"/>
          <w:szCs w:val="24"/>
        </w:rPr>
      </w:pPr>
      <w:r w:rsidRPr="00033F91">
        <w:rPr>
          <w:rFonts w:eastAsia="Calibri" w:cstheme="minorHAnsi"/>
          <w:szCs w:val="24"/>
        </w:rPr>
        <w:t xml:space="preserve">The cost model is made up of cost parameters and adjustments, including the paediatric adjustment, specialist mental health age adjustment, </w:t>
      </w:r>
      <w:r w:rsidR="00DF77B4">
        <w:rPr>
          <w:rFonts w:eastAsia="Calibri" w:cstheme="minorHAnsi"/>
          <w:szCs w:val="24"/>
        </w:rPr>
        <w:t>Indigenous</w:t>
      </w:r>
      <w:r w:rsidRPr="00033F91">
        <w:rPr>
          <w:rFonts w:eastAsia="Calibri" w:cstheme="minorHAnsi"/>
          <w:szCs w:val="24"/>
        </w:rPr>
        <w:t xml:space="preserve"> adjustment, remoteness area adjustment and ICU adjustment, but excluding the private patient service adjustment and private patient accommodation adjustment. The latter two adjustments are introduced in the pricing model to remove out of scope </w:t>
      </w:r>
      <w:r w:rsidR="00B97568" w:rsidRPr="00033F91">
        <w:rPr>
          <w:rFonts w:eastAsia="Calibri" w:cstheme="minorHAnsi"/>
          <w:szCs w:val="24"/>
        </w:rPr>
        <w:t xml:space="preserve">patient </w:t>
      </w:r>
      <w:r w:rsidRPr="00033F91">
        <w:rPr>
          <w:rFonts w:eastAsia="Calibri" w:cstheme="minorHAnsi"/>
          <w:szCs w:val="24"/>
        </w:rPr>
        <w:t>costs associated with private patients (see Section</w:t>
      </w:r>
      <w:r w:rsidR="004E443D" w:rsidRPr="00033F91">
        <w:rPr>
          <w:rFonts w:eastAsia="Calibri" w:cstheme="minorHAnsi"/>
          <w:szCs w:val="24"/>
        </w:rPr>
        <w:t xml:space="preserve"> 3</w:t>
      </w:r>
      <w:r w:rsidRPr="00033F91">
        <w:rPr>
          <w:rFonts w:eastAsia="Calibri" w:cstheme="minorHAnsi"/>
          <w:szCs w:val="24"/>
        </w:rPr>
        <w:t>).</w:t>
      </w:r>
    </w:p>
    <w:p w:rsidR="00460371" w:rsidRPr="00033F91" w:rsidRDefault="00460371" w:rsidP="00AD4FFC">
      <w:pPr>
        <w:spacing w:before="100" w:beforeAutospacing="1" w:after="100" w:afterAutospacing="1"/>
        <w:rPr>
          <w:rFonts w:eastAsia="Calibri" w:cstheme="minorHAnsi"/>
          <w:szCs w:val="24"/>
        </w:rPr>
      </w:pPr>
      <w:r w:rsidRPr="00033F91">
        <w:rPr>
          <w:rFonts w:eastAsia="Calibri" w:cstheme="minorHAnsi"/>
          <w:szCs w:val="24"/>
        </w:rPr>
        <w:t>There are four steps in the transformation of each year’s cost model into its associated pricing model, namely:</w:t>
      </w:r>
    </w:p>
    <w:p w:rsidR="00460371" w:rsidRPr="00033F91" w:rsidRDefault="00460371" w:rsidP="00C245E0">
      <w:pPr>
        <w:numPr>
          <w:ilvl w:val="0"/>
          <w:numId w:val="40"/>
        </w:numPr>
        <w:spacing w:before="100" w:beforeAutospacing="1" w:after="100" w:afterAutospacing="1"/>
        <w:contextualSpacing/>
        <w:rPr>
          <w:rFonts w:eastAsia="Calibri" w:cstheme="minorHAnsi"/>
          <w:szCs w:val="24"/>
        </w:rPr>
      </w:pPr>
      <w:r w:rsidRPr="00033F91">
        <w:rPr>
          <w:rFonts w:eastAsia="Calibri" w:cstheme="minorHAnsi"/>
          <w:szCs w:val="24"/>
        </w:rPr>
        <w:t>Identification and exclusion of costs and activity regarded under the National Health Reform Agreement as out of scope for the purpose</w:t>
      </w:r>
      <w:r w:rsidR="001A1C94" w:rsidRPr="00033F91">
        <w:rPr>
          <w:rFonts w:eastAsia="Calibri" w:cstheme="minorHAnsi"/>
          <w:szCs w:val="24"/>
        </w:rPr>
        <w:t xml:space="preserve"> of ABF</w:t>
      </w:r>
      <w:r w:rsidR="00F9621D" w:rsidRPr="00033F91">
        <w:rPr>
          <w:rFonts w:eastAsia="Calibri" w:cstheme="minorHAnsi"/>
          <w:szCs w:val="24"/>
        </w:rPr>
        <w:t>.</w:t>
      </w:r>
    </w:p>
    <w:p w:rsidR="00460371" w:rsidRPr="00033F91" w:rsidRDefault="00460371" w:rsidP="00C245E0">
      <w:pPr>
        <w:numPr>
          <w:ilvl w:val="0"/>
          <w:numId w:val="40"/>
        </w:numPr>
        <w:spacing w:before="100" w:beforeAutospacing="1" w:after="100" w:afterAutospacing="1"/>
        <w:contextualSpacing/>
        <w:rPr>
          <w:rFonts w:eastAsia="Calibri" w:cstheme="minorHAnsi"/>
          <w:szCs w:val="24"/>
        </w:rPr>
      </w:pPr>
      <w:r w:rsidRPr="00033F91">
        <w:rPr>
          <w:rFonts w:eastAsia="Calibri" w:cstheme="minorHAnsi"/>
          <w:szCs w:val="24"/>
        </w:rPr>
        <w:t xml:space="preserve">Derivation of a reference cost </w:t>
      </w:r>
      <w:r w:rsidR="00F9621D" w:rsidRPr="00033F91">
        <w:rPr>
          <w:rFonts w:eastAsia="Calibri" w:cstheme="minorHAnsi"/>
          <w:szCs w:val="24"/>
        </w:rPr>
        <w:t xml:space="preserve">(or standardised mean) </w:t>
      </w:r>
      <w:r w:rsidRPr="00033F91">
        <w:rPr>
          <w:rFonts w:eastAsia="Calibri" w:cstheme="minorHAnsi"/>
          <w:szCs w:val="24"/>
        </w:rPr>
        <w:t>used to transform the cost model into a cost weight model</w:t>
      </w:r>
      <w:r w:rsidR="00F9621D" w:rsidRPr="00033F91">
        <w:rPr>
          <w:rFonts w:eastAsia="Calibri" w:cstheme="minorHAnsi"/>
          <w:szCs w:val="24"/>
        </w:rPr>
        <w:t>.</w:t>
      </w:r>
    </w:p>
    <w:p w:rsidR="00460371" w:rsidRPr="00033F91" w:rsidRDefault="00460371" w:rsidP="00C245E0">
      <w:pPr>
        <w:numPr>
          <w:ilvl w:val="0"/>
          <w:numId w:val="40"/>
        </w:numPr>
        <w:spacing w:before="100" w:beforeAutospacing="1" w:after="100" w:afterAutospacing="1"/>
        <w:contextualSpacing/>
        <w:rPr>
          <w:rFonts w:eastAsia="Calibri" w:cstheme="minorHAnsi"/>
          <w:szCs w:val="24"/>
        </w:rPr>
      </w:pPr>
      <w:r w:rsidRPr="00033F91">
        <w:rPr>
          <w:rFonts w:eastAsia="Calibri" w:cstheme="minorHAnsi"/>
          <w:szCs w:val="24"/>
        </w:rPr>
        <w:t>Derivation of an annual indexation rate used to inflate the cost model to a level reflective of the estimated cost of delivering hospital services in the year of the pricing model</w:t>
      </w:r>
      <w:r w:rsidR="00F9621D" w:rsidRPr="00033F91">
        <w:rPr>
          <w:rFonts w:eastAsia="Calibri" w:cstheme="minorHAnsi"/>
          <w:szCs w:val="24"/>
        </w:rPr>
        <w:t xml:space="preserve">. </w:t>
      </w:r>
    </w:p>
    <w:p w:rsidR="00460371" w:rsidRPr="00033F91" w:rsidRDefault="00460371" w:rsidP="00C245E0">
      <w:pPr>
        <w:numPr>
          <w:ilvl w:val="0"/>
          <w:numId w:val="40"/>
        </w:numPr>
        <w:spacing w:before="100" w:beforeAutospacing="1" w:after="240"/>
        <w:ind w:left="357" w:hanging="357"/>
        <w:rPr>
          <w:rFonts w:eastAsia="Calibri" w:cstheme="minorHAnsi"/>
          <w:szCs w:val="24"/>
        </w:rPr>
      </w:pPr>
      <w:r w:rsidRPr="00033F91">
        <w:rPr>
          <w:rFonts w:eastAsia="Calibri" w:cstheme="minorHAnsi"/>
          <w:szCs w:val="24"/>
        </w:rPr>
        <w:t>Transformation of the cost model to the pricing model using the results of the previous three steps.</w:t>
      </w:r>
      <w:bookmarkStart w:id="478" w:name="_Ref350415171"/>
    </w:p>
    <w:p w:rsidR="00460371" w:rsidRPr="00033F91" w:rsidRDefault="00B97568" w:rsidP="00033F91">
      <w:pPr>
        <w:spacing w:before="100" w:beforeAutospacing="1" w:after="100" w:afterAutospacing="1"/>
        <w:rPr>
          <w:rFonts w:eastAsia="Calibri" w:cstheme="minorHAnsi"/>
          <w:szCs w:val="24"/>
        </w:rPr>
      </w:pPr>
      <w:r w:rsidRPr="00033F91">
        <w:rPr>
          <w:rFonts w:eastAsia="Calibri" w:cstheme="minorHAnsi"/>
          <w:szCs w:val="24"/>
        </w:rPr>
        <w:t>Figure 1</w:t>
      </w:r>
      <w:r w:rsidR="00460371" w:rsidRPr="00033F91">
        <w:rPr>
          <w:rFonts w:eastAsia="Calibri" w:cstheme="minorHAnsi"/>
          <w:szCs w:val="24"/>
        </w:rPr>
        <w:t xml:space="preserve"> summarises this process of transforming the </w:t>
      </w:r>
      <w:r w:rsidR="00001E10" w:rsidRPr="00033F91">
        <w:rPr>
          <w:rFonts w:eastAsia="Calibri" w:cstheme="minorHAnsi"/>
          <w:szCs w:val="24"/>
        </w:rPr>
        <w:t>2013-14</w:t>
      </w:r>
      <w:r w:rsidR="00460371" w:rsidRPr="00033F91">
        <w:rPr>
          <w:rFonts w:eastAsia="Calibri" w:cstheme="minorHAnsi"/>
          <w:szCs w:val="24"/>
        </w:rPr>
        <w:t xml:space="preserve"> Cost Model to the </w:t>
      </w:r>
      <w:r w:rsidR="00384C96" w:rsidRPr="00033F91">
        <w:rPr>
          <w:rFonts w:eastAsia="Calibri" w:cstheme="minorHAnsi"/>
          <w:szCs w:val="24"/>
        </w:rPr>
        <w:t>2016-17</w:t>
      </w:r>
      <w:r w:rsidR="00460371" w:rsidRPr="00033F91">
        <w:rPr>
          <w:rFonts w:eastAsia="Calibri" w:cstheme="minorHAnsi"/>
          <w:szCs w:val="24"/>
        </w:rPr>
        <w:t xml:space="preserve"> National Pricing Model.</w:t>
      </w:r>
    </w:p>
    <w:p w:rsidR="00460371" w:rsidRPr="00033F91" w:rsidRDefault="00460371" w:rsidP="00664156">
      <w:pPr>
        <w:keepNext/>
        <w:spacing w:before="100" w:beforeAutospacing="1"/>
        <w:contextualSpacing/>
        <w:rPr>
          <w:rFonts w:eastAsia="Calibri" w:cstheme="minorHAnsi"/>
          <w:b/>
          <w:bCs/>
          <w:sz w:val="20"/>
        </w:rPr>
      </w:pPr>
      <w:bookmarkStart w:id="479" w:name="_Ref351380719"/>
      <w:r w:rsidRPr="00033F91">
        <w:rPr>
          <w:rFonts w:eastAsia="Calibri" w:cstheme="minorHAnsi"/>
          <w:b/>
          <w:bCs/>
          <w:sz w:val="20"/>
        </w:rPr>
        <w:t xml:space="preserve">Figure </w:t>
      </w:r>
      <w:bookmarkEnd w:id="479"/>
      <w:r w:rsidR="005C0F8A" w:rsidRPr="00033F91">
        <w:rPr>
          <w:rFonts w:eastAsia="Calibri" w:cstheme="minorHAnsi"/>
          <w:b/>
          <w:bCs/>
          <w:sz w:val="20"/>
        </w:rPr>
        <w:t>1</w:t>
      </w:r>
      <w:r w:rsidR="00664156" w:rsidRPr="00033F91">
        <w:rPr>
          <w:rFonts w:eastAsia="Calibri" w:cstheme="minorHAnsi"/>
          <w:b/>
          <w:bCs/>
          <w:sz w:val="20"/>
        </w:rPr>
        <w:t>: P</w:t>
      </w:r>
      <w:r w:rsidRPr="00033F91">
        <w:rPr>
          <w:rFonts w:eastAsia="Calibri" w:cstheme="minorHAnsi"/>
          <w:b/>
          <w:bCs/>
          <w:sz w:val="20"/>
        </w:rPr>
        <w:t>rocess of transforming</w:t>
      </w:r>
      <w:r w:rsidR="00750B8E" w:rsidRPr="00033F91">
        <w:rPr>
          <w:rFonts w:eastAsia="Calibri" w:cstheme="minorHAnsi"/>
          <w:b/>
          <w:bCs/>
          <w:sz w:val="20"/>
        </w:rPr>
        <w:t xml:space="preserve"> the </w:t>
      </w:r>
      <w:r w:rsidR="00001E10" w:rsidRPr="00033F91">
        <w:rPr>
          <w:rFonts w:eastAsia="Calibri" w:cstheme="minorHAnsi"/>
          <w:b/>
          <w:bCs/>
          <w:sz w:val="20"/>
        </w:rPr>
        <w:t>2013-14</w:t>
      </w:r>
      <w:r w:rsidR="00750B8E" w:rsidRPr="00033F91">
        <w:rPr>
          <w:rFonts w:eastAsia="Calibri" w:cstheme="minorHAnsi"/>
          <w:b/>
          <w:bCs/>
          <w:sz w:val="20"/>
        </w:rPr>
        <w:t xml:space="preserve"> Cost Model to the </w:t>
      </w:r>
      <w:r w:rsidR="00384C96" w:rsidRPr="00033F91">
        <w:rPr>
          <w:rFonts w:eastAsia="Calibri" w:cstheme="minorHAnsi"/>
          <w:b/>
          <w:bCs/>
          <w:sz w:val="20"/>
        </w:rPr>
        <w:t>2016-17</w:t>
      </w:r>
      <w:r w:rsidRPr="00033F91">
        <w:rPr>
          <w:rFonts w:eastAsia="Calibri" w:cstheme="minorHAnsi"/>
          <w:b/>
          <w:bCs/>
          <w:sz w:val="20"/>
        </w:rPr>
        <w:t xml:space="preserve"> National Pricing Model</w:t>
      </w:r>
    </w:p>
    <w:p w:rsidR="0087742B" w:rsidRDefault="0087742B" w:rsidP="00664156">
      <w:pPr>
        <w:keepNext/>
        <w:spacing w:before="100" w:beforeAutospacing="1"/>
        <w:contextualSpacing/>
        <w:rPr>
          <w:rFonts w:ascii="Calibri" w:eastAsia="Calibri" w:hAnsi="Calibri"/>
          <w:b/>
          <w:bCs/>
        </w:rPr>
      </w:pPr>
    </w:p>
    <w:p w:rsidR="0087742B" w:rsidRDefault="00D37B89" w:rsidP="00664156">
      <w:pPr>
        <w:keepNext/>
        <w:spacing w:before="100" w:beforeAutospacing="1"/>
        <w:contextualSpacing/>
        <w:rPr>
          <w:rFonts w:ascii="Calibri" w:eastAsia="Calibri" w:hAnsi="Calibri"/>
          <w:b/>
          <w:bCs/>
        </w:rPr>
      </w:pPr>
      <w:r>
        <w:rPr>
          <w:noProof/>
          <w:lang w:eastAsia="en-AU"/>
        </w:rPr>
        <w:drawing>
          <wp:inline distT="0" distB="0" distL="0" distR="0" wp14:anchorId="1319C279" wp14:editId="5E465773">
            <wp:extent cx="5943600" cy="2212975"/>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943600" cy="2212975"/>
                    </a:xfrm>
                    <a:prstGeom prst="rect">
                      <a:avLst/>
                    </a:prstGeom>
                  </pic:spPr>
                </pic:pic>
              </a:graphicData>
            </a:graphic>
          </wp:inline>
        </w:drawing>
      </w:r>
    </w:p>
    <w:p w:rsidR="00460371" w:rsidRPr="004256F4" w:rsidRDefault="00460371" w:rsidP="00AD4FFC">
      <w:pPr>
        <w:pStyle w:val="ListParagraph"/>
        <w:numPr>
          <w:ilvl w:val="2"/>
          <w:numId w:val="36"/>
        </w:numPr>
        <w:spacing w:before="100" w:beforeAutospacing="1" w:after="100" w:afterAutospacing="1"/>
        <w:ind w:left="284"/>
        <w:rPr>
          <w:rFonts w:eastAsia="Calibri" w:cstheme="minorHAnsi"/>
          <w:b/>
          <w:sz w:val="24"/>
          <w:szCs w:val="28"/>
        </w:rPr>
      </w:pPr>
      <w:bookmarkStart w:id="480" w:name="_Ref350264102"/>
      <w:r w:rsidRPr="004256F4">
        <w:rPr>
          <w:rFonts w:eastAsia="Calibri" w:cstheme="minorHAnsi"/>
          <w:b/>
          <w:sz w:val="24"/>
          <w:szCs w:val="28"/>
        </w:rPr>
        <w:t>Identification of out of scope costs</w:t>
      </w:r>
      <w:bookmarkEnd w:id="480"/>
    </w:p>
    <w:p w:rsidR="00460371" w:rsidRPr="00033F91" w:rsidRDefault="00460371" w:rsidP="00AD4FFC">
      <w:pPr>
        <w:spacing w:before="100" w:beforeAutospacing="1" w:after="100" w:afterAutospacing="1"/>
        <w:rPr>
          <w:rFonts w:eastAsia="Calibri" w:cstheme="minorHAnsi"/>
          <w:szCs w:val="24"/>
        </w:rPr>
      </w:pPr>
      <w:r w:rsidRPr="00033F91">
        <w:rPr>
          <w:rFonts w:eastAsia="Calibri" w:cstheme="minorHAnsi"/>
          <w:szCs w:val="24"/>
        </w:rPr>
        <w:t>The first step in the process of transforming cost model to pricing model involves the identification of out of scope costs, such as those associated with programs covered entirely or in part by other Commonwealth funding. These out of scope costs can be separated into three groups:</w:t>
      </w:r>
    </w:p>
    <w:p w:rsidR="00460371" w:rsidRPr="00033F91" w:rsidRDefault="00460371" w:rsidP="00C245E0">
      <w:pPr>
        <w:numPr>
          <w:ilvl w:val="0"/>
          <w:numId w:val="41"/>
        </w:numPr>
        <w:spacing w:before="100" w:beforeAutospacing="1" w:after="100" w:afterAutospacing="1"/>
        <w:contextualSpacing/>
        <w:rPr>
          <w:rFonts w:eastAsia="Calibri" w:cstheme="minorHAnsi"/>
          <w:szCs w:val="24"/>
        </w:rPr>
      </w:pPr>
      <w:r w:rsidRPr="00033F91">
        <w:rPr>
          <w:rFonts w:eastAsia="Calibri" w:cstheme="minorHAnsi"/>
          <w:szCs w:val="24"/>
        </w:rPr>
        <w:t>Costs associated with out of scope activity, including activity delivered to out of scope patient types such as DVA, Defence and Compensable, and activity not regarded as from an in-scope service type, such as that delivered through out of scope non-admitted Tier 2 Clinics.</w:t>
      </w:r>
    </w:p>
    <w:p w:rsidR="00460371" w:rsidRPr="00033F91" w:rsidRDefault="00460371" w:rsidP="00C245E0">
      <w:pPr>
        <w:numPr>
          <w:ilvl w:val="0"/>
          <w:numId w:val="41"/>
        </w:numPr>
        <w:spacing w:before="100" w:beforeAutospacing="1" w:after="100" w:afterAutospacing="1"/>
        <w:contextualSpacing/>
        <w:rPr>
          <w:rFonts w:eastAsia="Calibri" w:cstheme="minorHAnsi"/>
          <w:szCs w:val="24"/>
        </w:rPr>
      </w:pPr>
      <w:r w:rsidRPr="00033F91">
        <w:rPr>
          <w:rFonts w:eastAsia="Calibri" w:cstheme="minorHAnsi"/>
          <w:szCs w:val="24"/>
        </w:rPr>
        <w:t>Those proportions of costs associated with private patients that are offset by non-government and Commonwealth revenue.</w:t>
      </w:r>
    </w:p>
    <w:p w:rsidR="00460371" w:rsidRPr="00033F91" w:rsidRDefault="00460371" w:rsidP="00C245E0">
      <w:pPr>
        <w:numPr>
          <w:ilvl w:val="0"/>
          <w:numId w:val="41"/>
        </w:numPr>
        <w:spacing w:before="100" w:beforeAutospacing="1"/>
        <w:ind w:left="357" w:hanging="357"/>
        <w:contextualSpacing/>
        <w:rPr>
          <w:rFonts w:eastAsia="Calibri" w:cstheme="minorHAnsi"/>
          <w:szCs w:val="24"/>
        </w:rPr>
      </w:pPr>
      <w:r w:rsidRPr="00033F91">
        <w:rPr>
          <w:rFonts w:eastAsia="Calibri" w:cstheme="minorHAnsi"/>
          <w:szCs w:val="24"/>
        </w:rPr>
        <w:t>Costs associated with other Commonwealth programs that are inherent within the cost data such as the Highly Specialised Drugs program and Pharmacy Reform Agreements.</w:t>
      </w:r>
    </w:p>
    <w:p w:rsidR="00460371" w:rsidRPr="00033F91" w:rsidRDefault="00460371" w:rsidP="00AD4FFC">
      <w:pPr>
        <w:spacing w:before="100" w:beforeAutospacing="1" w:after="100" w:afterAutospacing="1"/>
        <w:rPr>
          <w:rFonts w:eastAsia="Calibri" w:cstheme="minorHAnsi"/>
          <w:szCs w:val="24"/>
        </w:rPr>
      </w:pPr>
      <w:r w:rsidRPr="00033F91">
        <w:rPr>
          <w:rFonts w:eastAsia="Calibri" w:cstheme="minorHAnsi"/>
          <w:szCs w:val="24"/>
        </w:rPr>
        <w:t>Exclusion of these costs from the cost model is undertaken as follows:</w:t>
      </w:r>
    </w:p>
    <w:p w:rsidR="00460371" w:rsidRPr="00033F91" w:rsidRDefault="00460371" w:rsidP="00033F91">
      <w:pPr>
        <w:numPr>
          <w:ilvl w:val="0"/>
          <w:numId w:val="77"/>
        </w:numPr>
        <w:spacing w:before="100" w:beforeAutospacing="1" w:after="100" w:afterAutospacing="1"/>
        <w:contextualSpacing/>
        <w:rPr>
          <w:rFonts w:eastAsia="Calibri" w:cstheme="minorHAnsi"/>
          <w:szCs w:val="24"/>
        </w:rPr>
      </w:pPr>
      <w:r w:rsidRPr="00033F91">
        <w:rPr>
          <w:rFonts w:eastAsia="Calibri" w:cstheme="minorHAnsi"/>
          <w:szCs w:val="24"/>
        </w:rPr>
        <w:t>Group 1 costs are excluded by simply restricting the cost model to in-scope activity.</w:t>
      </w:r>
    </w:p>
    <w:p w:rsidR="00460371" w:rsidRPr="00033F91" w:rsidRDefault="00460371" w:rsidP="00033F91">
      <w:pPr>
        <w:numPr>
          <w:ilvl w:val="0"/>
          <w:numId w:val="77"/>
        </w:numPr>
        <w:spacing w:before="100" w:beforeAutospacing="1" w:after="100" w:afterAutospacing="1"/>
        <w:contextualSpacing/>
        <w:rPr>
          <w:rFonts w:eastAsia="Calibri" w:cstheme="minorHAnsi"/>
          <w:szCs w:val="24"/>
        </w:rPr>
      </w:pPr>
      <w:r w:rsidRPr="00033F91">
        <w:rPr>
          <w:rFonts w:eastAsia="Calibri" w:cstheme="minorHAnsi"/>
          <w:szCs w:val="24"/>
        </w:rPr>
        <w:t>Group 2 costs are excluded through the implementation of the private patient service adjustment and private patient accommodation adjustment within the pricing model.</w:t>
      </w:r>
    </w:p>
    <w:p w:rsidR="000674A1" w:rsidRPr="00033F91" w:rsidRDefault="00460371" w:rsidP="00033F91">
      <w:pPr>
        <w:numPr>
          <w:ilvl w:val="0"/>
          <w:numId w:val="77"/>
        </w:numPr>
        <w:spacing w:before="100" w:beforeAutospacing="1" w:after="100" w:afterAutospacing="1"/>
        <w:contextualSpacing/>
        <w:rPr>
          <w:rFonts w:eastAsia="Calibri" w:cstheme="minorHAnsi"/>
          <w:szCs w:val="24"/>
        </w:rPr>
      </w:pPr>
      <w:r w:rsidRPr="00033F91">
        <w:rPr>
          <w:rFonts w:eastAsia="Calibri" w:cstheme="minorHAnsi"/>
          <w:szCs w:val="24"/>
        </w:rPr>
        <w:t xml:space="preserve">Group 3 costs are excluded by </w:t>
      </w:r>
      <w:r w:rsidR="00AE4F70">
        <w:rPr>
          <w:rFonts w:eastAsia="Calibri" w:cstheme="minorHAnsi"/>
          <w:szCs w:val="24"/>
        </w:rPr>
        <w:t xml:space="preserve">matching at the patient level where possible, otherwise by </w:t>
      </w:r>
      <w:r w:rsidRPr="00033F91">
        <w:rPr>
          <w:rFonts w:eastAsia="Calibri" w:cstheme="minorHAnsi"/>
          <w:szCs w:val="24"/>
        </w:rPr>
        <w:t xml:space="preserve">first calculating the costs as a </w:t>
      </w:r>
      <w:r w:rsidR="00347801">
        <w:rPr>
          <w:rFonts w:eastAsia="Calibri" w:cstheme="minorHAnsi"/>
          <w:szCs w:val="24"/>
        </w:rPr>
        <w:t>percent</w:t>
      </w:r>
      <w:r w:rsidRPr="00033F91">
        <w:rPr>
          <w:rFonts w:eastAsia="Calibri" w:cstheme="minorHAnsi"/>
          <w:szCs w:val="24"/>
        </w:rPr>
        <w:t>age of estimated total costs, and then deflating the cost model by this percentage.</w:t>
      </w:r>
      <w:bookmarkEnd w:id="478"/>
    </w:p>
    <w:p w:rsidR="00460371" w:rsidRPr="00704036" w:rsidRDefault="00110E37" w:rsidP="00AD4FFC">
      <w:pPr>
        <w:pStyle w:val="ListParagraph"/>
        <w:numPr>
          <w:ilvl w:val="2"/>
          <w:numId w:val="36"/>
        </w:numPr>
        <w:spacing w:before="100" w:beforeAutospacing="1" w:after="100" w:afterAutospacing="1"/>
        <w:ind w:left="284"/>
        <w:rPr>
          <w:rFonts w:eastAsia="Calibri" w:cstheme="minorHAnsi"/>
          <w:b/>
          <w:sz w:val="24"/>
          <w:szCs w:val="28"/>
        </w:rPr>
      </w:pPr>
      <w:r w:rsidRPr="00704036">
        <w:rPr>
          <w:rFonts w:eastAsia="Calibri" w:cstheme="minorHAnsi"/>
          <w:b/>
          <w:sz w:val="24"/>
          <w:szCs w:val="28"/>
        </w:rPr>
        <w:t xml:space="preserve">Derivation of a reference cost </w:t>
      </w:r>
    </w:p>
    <w:p w:rsidR="00460371" w:rsidRPr="00704036" w:rsidRDefault="00460371" w:rsidP="00AD4FFC">
      <w:pPr>
        <w:spacing w:before="100" w:beforeAutospacing="1" w:after="100" w:afterAutospacing="1"/>
        <w:rPr>
          <w:rFonts w:eastAsia="Calibri" w:cstheme="minorHAnsi"/>
          <w:szCs w:val="24"/>
        </w:rPr>
      </w:pPr>
      <w:r w:rsidRPr="00704036">
        <w:rPr>
          <w:rFonts w:eastAsia="Calibri" w:cstheme="minorHAnsi"/>
          <w:szCs w:val="24"/>
        </w:rPr>
        <w:t xml:space="preserve">The second step in the transformation of cost model to pricing model is the derivation of a reference cost </w:t>
      </w:r>
      <w:r w:rsidR="00F9621D" w:rsidRPr="00704036">
        <w:rPr>
          <w:rFonts w:eastAsia="Calibri" w:cstheme="minorHAnsi"/>
          <w:szCs w:val="24"/>
        </w:rPr>
        <w:t xml:space="preserve">(or a mean standardised to ensure the measure of an NWAU remains constant over time) </w:t>
      </w:r>
      <w:r w:rsidRPr="00704036">
        <w:rPr>
          <w:rFonts w:eastAsia="Calibri" w:cstheme="minorHAnsi"/>
          <w:szCs w:val="24"/>
        </w:rPr>
        <w:t>that is used to convert the cost model into a cost weight model. Put simply, the parameters of the cost model are divided by this reference cost, converting the parameters to cost weights.</w:t>
      </w:r>
    </w:p>
    <w:p w:rsidR="00460371" w:rsidRPr="00704036" w:rsidRDefault="00460371" w:rsidP="00AD4FFC">
      <w:pPr>
        <w:spacing w:before="100" w:beforeAutospacing="1" w:after="100" w:afterAutospacing="1"/>
        <w:rPr>
          <w:rFonts w:eastAsia="Calibri" w:cstheme="minorHAnsi"/>
          <w:szCs w:val="24"/>
        </w:rPr>
      </w:pPr>
      <w:r w:rsidRPr="00704036">
        <w:rPr>
          <w:rFonts w:eastAsia="Calibri" w:cstheme="minorHAnsi"/>
          <w:szCs w:val="24"/>
        </w:rPr>
        <w:t xml:space="preserve">A separate reference cost is derived for each year’s cost model based on the modelled costs of </w:t>
      </w:r>
      <w:r w:rsidR="001C6800">
        <w:rPr>
          <w:rFonts w:eastAsia="Calibri" w:cstheme="minorHAnsi"/>
          <w:szCs w:val="24"/>
        </w:rPr>
        <w:t>admitted acute</w:t>
      </w:r>
      <w:r w:rsidRPr="00704036">
        <w:rPr>
          <w:rFonts w:eastAsia="Calibri" w:cstheme="minorHAnsi"/>
          <w:szCs w:val="24"/>
        </w:rPr>
        <w:t xml:space="preserve"> activity in-scope for ABF. In particular, this activity excludes the Group 1 out of scope costs discussed in Section </w:t>
      </w:r>
      <w:r w:rsidR="004E443D" w:rsidRPr="00704036">
        <w:rPr>
          <w:rFonts w:eastAsia="Calibri" w:cstheme="minorHAnsi"/>
          <w:szCs w:val="24"/>
        </w:rPr>
        <w:t>3</w:t>
      </w:r>
      <w:r w:rsidRPr="00704036">
        <w:rPr>
          <w:rFonts w:eastAsia="Calibri" w:cstheme="minorHAnsi"/>
          <w:szCs w:val="24"/>
        </w:rPr>
        <w:t>.</w:t>
      </w:r>
    </w:p>
    <w:p w:rsidR="00460371" w:rsidRPr="00704036" w:rsidRDefault="00460371" w:rsidP="00AD4FFC">
      <w:pPr>
        <w:spacing w:before="100" w:beforeAutospacing="1" w:after="100" w:afterAutospacing="1"/>
        <w:rPr>
          <w:rFonts w:eastAsia="Calibri" w:cstheme="minorHAnsi"/>
          <w:szCs w:val="24"/>
        </w:rPr>
      </w:pPr>
      <w:r w:rsidRPr="00704036">
        <w:rPr>
          <w:rFonts w:eastAsia="Calibri" w:cstheme="minorHAnsi"/>
          <w:szCs w:val="24"/>
        </w:rPr>
        <w:t>The 2009-10 reference cost associated with IHPA’s first National Pricing Model is defined as the mean model cost taken across all 2009</w:t>
      </w:r>
      <w:r w:rsidRPr="00704036">
        <w:rPr>
          <w:rFonts w:eastAsia="Calibri" w:cstheme="minorHAnsi"/>
          <w:szCs w:val="24"/>
        </w:rPr>
        <w:noBreakHyphen/>
        <w:t xml:space="preserve">10 </w:t>
      </w:r>
      <w:r w:rsidR="001C6800">
        <w:rPr>
          <w:rFonts w:eastAsia="Calibri" w:cstheme="minorHAnsi"/>
          <w:szCs w:val="24"/>
        </w:rPr>
        <w:t>admitted acute</w:t>
      </w:r>
      <w:r w:rsidRPr="00704036">
        <w:rPr>
          <w:rFonts w:eastAsia="Calibri" w:cstheme="minorHAnsi"/>
          <w:szCs w:val="24"/>
        </w:rPr>
        <w:t xml:space="preserve"> activity in-scope for ABF. This mean model cost is $4,260.</w:t>
      </w:r>
    </w:p>
    <w:p w:rsidR="00B97568" w:rsidRPr="00704036" w:rsidRDefault="00B97568" w:rsidP="00AD4FFC">
      <w:pPr>
        <w:spacing w:before="100" w:beforeAutospacing="1" w:after="100" w:afterAutospacing="1"/>
        <w:rPr>
          <w:rFonts w:eastAsia="Calibri" w:cstheme="minorHAnsi"/>
          <w:szCs w:val="24"/>
        </w:rPr>
      </w:pPr>
      <w:r w:rsidRPr="00704036">
        <w:rPr>
          <w:rFonts w:eastAsia="Calibri" w:cstheme="minorHAnsi"/>
          <w:szCs w:val="24"/>
        </w:rPr>
        <w:t xml:space="preserve">From 2010-11 onward, the reference cost is defined so that change in the reference cost over time reflects change in unit costs, excluding any influence of underlying changes in activity profiles between years (i.e. case-mix change). So, the 2010-11 reference cost is defined so that the change from the 2009-10 reference cost represents change in unit costs of an NWAU between the 2009-10 and 2010-11 cost models, excluding the effect of any changes in case-mix between 2009-10 and 2010-11. Similarly, the </w:t>
      </w:r>
      <w:r w:rsidR="003C2513" w:rsidRPr="00704036">
        <w:rPr>
          <w:rFonts w:eastAsia="Calibri" w:cstheme="minorHAnsi"/>
          <w:szCs w:val="24"/>
        </w:rPr>
        <w:t>2013-14</w:t>
      </w:r>
      <w:r w:rsidRPr="00704036">
        <w:rPr>
          <w:rFonts w:eastAsia="Calibri" w:cstheme="minorHAnsi"/>
          <w:szCs w:val="24"/>
        </w:rPr>
        <w:t xml:space="preserve"> reference cost represents the change in unit cost between the </w:t>
      </w:r>
      <w:r w:rsidR="003C2513" w:rsidRPr="00704036">
        <w:rPr>
          <w:rFonts w:eastAsia="Calibri" w:cstheme="minorHAnsi"/>
          <w:szCs w:val="24"/>
        </w:rPr>
        <w:t>2012-13</w:t>
      </w:r>
      <w:r w:rsidRPr="00704036">
        <w:rPr>
          <w:rFonts w:eastAsia="Calibri" w:cstheme="minorHAnsi"/>
          <w:szCs w:val="24"/>
        </w:rPr>
        <w:t xml:space="preserve"> and </w:t>
      </w:r>
      <w:r w:rsidR="003C2513" w:rsidRPr="00704036">
        <w:rPr>
          <w:rFonts w:eastAsia="Calibri" w:cstheme="minorHAnsi"/>
          <w:szCs w:val="24"/>
        </w:rPr>
        <w:t>2013-14</w:t>
      </w:r>
      <w:r w:rsidRPr="00704036">
        <w:rPr>
          <w:rFonts w:eastAsia="Calibri" w:cstheme="minorHAnsi"/>
          <w:szCs w:val="24"/>
        </w:rPr>
        <w:t xml:space="preserve"> cost models, excluding the effect of any changes in case-mix between </w:t>
      </w:r>
      <w:r w:rsidR="003C2513" w:rsidRPr="00704036">
        <w:rPr>
          <w:rFonts w:eastAsia="Calibri" w:cstheme="minorHAnsi"/>
          <w:szCs w:val="24"/>
        </w:rPr>
        <w:t>2012-13</w:t>
      </w:r>
      <w:r w:rsidRPr="00704036">
        <w:rPr>
          <w:rFonts w:eastAsia="Calibri" w:cstheme="minorHAnsi"/>
          <w:szCs w:val="24"/>
        </w:rPr>
        <w:t xml:space="preserve"> and </w:t>
      </w:r>
      <w:r w:rsidR="003C2513" w:rsidRPr="00704036">
        <w:rPr>
          <w:rFonts w:eastAsia="Calibri" w:cstheme="minorHAnsi"/>
          <w:szCs w:val="24"/>
        </w:rPr>
        <w:t>2013-14</w:t>
      </w:r>
      <w:r w:rsidRPr="00704036">
        <w:rPr>
          <w:rFonts w:eastAsia="Calibri" w:cstheme="minorHAnsi"/>
          <w:szCs w:val="24"/>
        </w:rPr>
        <w:t>.</w:t>
      </w:r>
    </w:p>
    <w:p w:rsidR="00460371" w:rsidRPr="00704036" w:rsidRDefault="00460371" w:rsidP="00AD4FFC">
      <w:pPr>
        <w:spacing w:before="100" w:beforeAutospacing="1" w:after="100" w:afterAutospacing="1"/>
        <w:rPr>
          <w:rFonts w:eastAsia="Calibri" w:cstheme="minorHAnsi"/>
          <w:szCs w:val="24"/>
        </w:rPr>
      </w:pPr>
      <w:r w:rsidRPr="00704036">
        <w:rPr>
          <w:rFonts w:eastAsia="Calibri" w:cstheme="minorHAnsi"/>
          <w:szCs w:val="24"/>
        </w:rPr>
        <w:t xml:space="preserve">To exclude the external effects of case-mix change between years, the two cost models are compared by first applying them to a common set of activity, namely </w:t>
      </w:r>
      <w:r w:rsidR="003C2513" w:rsidRPr="00704036">
        <w:rPr>
          <w:rFonts w:eastAsia="Calibri" w:cstheme="minorHAnsi"/>
          <w:szCs w:val="24"/>
        </w:rPr>
        <w:t>2013-14</w:t>
      </w:r>
      <w:r w:rsidRPr="00704036">
        <w:rPr>
          <w:rFonts w:eastAsia="Calibri" w:cstheme="minorHAnsi"/>
          <w:szCs w:val="24"/>
        </w:rPr>
        <w:t xml:space="preserve"> </w:t>
      </w:r>
      <w:r w:rsidR="001C6800">
        <w:rPr>
          <w:rFonts w:eastAsia="Calibri" w:cstheme="minorHAnsi"/>
          <w:szCs w:val="24"/>
        </w:rPr>
        <w:t>admitted acute</w:t>
      </w:r>
      <w:r w:rsidRPr="00704036">
        <w:rPr>
          <w:rFonts w:eastAsia="Calibri" w:cstheme="minorHAnsi"/>
          <w:szCs w:val="24"/>
        </w:rPr>
        <w:t xml:space="preserve"> activity in-scope for ABF. Once applied to this activity, the resulting pair of mean model costs is calculated, and the change between the two cost models is defined as the change in these two mean values. This is referred to as the standardised change in cost models, with the associated growth referred to as the standardised growth rate. In other words, the growth between the </w:t>
      </w:r>
      <w:r w:rsidR="00AD6931" w:rsidRPr="00704036">
        <w:rPr>
          <w:rFonts w:eastAsia="Calibri" w:cstheme="minorHAnsi"/>
          <w:szCs w:val="24"/>
        </w:rPr>
        <w:t>2012-13</w:t>
      </w:r>
      <w:r w:rsidRPr="00704036">
        <w:rPr>
          <w:rFonts w:eastAsia="Calibri" w:cstheme="minorHAnsi"/>
          <w:szCs w:val="24"/>
        </w:rPr>
        <w:t xml:space="preserve"> and </w:t>
      </w:r>
      <w:r w:rsidR="00AD6931" w:rsidRPr="00704036">
        <w:rPr>
          <w:rFonts w:eastAsia="Calibri" w:cstheme="minorHAnsi"/>
          <w:szCs w:val="24"/>
        </w:rPr>
        <w:t>2013-14</w:t>
      </w:r>
      <w:r w:rsidRPr="00704036">
        <w:rPr>
          <w:rFonts w:eastAsia="Calibri" w:cstheme="minorHAnsi"/>
          <w:szCs w:val="24"/>
        </w:rPr>
        <w:t xml:space="preserve"> cost models is standardised against </w:t>
      </w:r>
      <w:r w:rsidR="00AD6931" w:rsidRPr="00704036">
        <w:rPr>
          <w:rFonts w:eastAsia="Calibri" w:cstheme="minorHAnsi"/>
          <w:szCs w:val="24"/>
        </w:rPr>
        <w:t>2013-14</w:t>
      </w:r>
      <w:r w:rsidRPr="00704036">
        <w:rPr>
          <w:rFonts w:eastAsia="Calibri" w:cstheme="minorHAnsi"/>
          <w:szCs w:val="24"/>
        </w:rPr>
        <w:t xml:space="preserve"> activity.</w:t>
      </w:r>
    </w:p>
    <w:p w:rsidR="00460371" w:rsidRPr="00704036" w:rsidRDefault="00200D1A" w:rsidP="00AD4FFC">
      <w:pPr>
        <w:spacing w:before="100" w:beforeAutospacing="1" w:after="100" w:afterAutospacing="1"/>
        <w:rPr>
          <w:rFonts w:eastAsia="Calibri" w:cstheme="minorHAnsi"/>
          <w:szCs w:val="24"/>
        </w:rPr>
      </w:pPr>
      <w:r w:rsidRPr="00704036">
        <w:rPr>
          <w:rFonts w:eastAsia="Calibri" w:cstheme="minorHAnsi"/>
          <w:szCs w:val="24"/>
        </w:rPr>
        <w:t xml:space="preserve">Table 1 </w:t>
      </w:r>
      <w:r w:rsidR="00460371" w:rsidRPr="00704036">
        <w:rPr>
          <w:rFonts w:eastAsia="Calibri" w:cstheme="minorHAnsi"/>
          <w:szCs w:val="24"/>
        </w:rPr>
        <w:t xml:space="preserve">shows the mean model costs of each model based on their application to the </w:t>
      </w:r>
      <w:r w:rsidR="00AD6931" w:rsidRPr="00704036">
        <w:rPr>
          <w:rFonts w:eastAsia="Calibri" w:cstheme="minorHAnsi"/>
          <w:szCs w:val="24"/>
        </w:rPr>
        <w:t>2013-14</w:t>
      </w:r>
      <w:r w:rsidR="00460371" w:rsidRPr="00704036">
        <w:rPr>
          <w:rFonts w:eastAsia="Calibri" w:cstheme="minorHAnsi"/>
          <w:szCs w:val="24"/>
        </w:rPr>
        <w:t xml:space="preserve"> ABF activity along with the resulting standardised growth rate.</w:t>
      </w:r>
    </w:p>
    <w:p w:rsidR="00053234" w:rsidRPr="00704036" w:rsidRDefault="00053234" w:rsidP="00664156">
      <w:pPr>
        <w:keepNext/>
        <w:spacing w:before="100" w:beforeAutospacing="1"/>
        <w:rPr>
          <w:rFonts w:eastAsia="Calibri" w:cstheme="minorHAnsi"/>
          <w:b/>
          <w:bCs/>
          <w:sz w:val="20"/>
        </w:rPr>
      </w:pPr>
      <w:r w:rsidRPr="00704036">
        <w:rPr>
          <w:rFonts w:eastAsia="Calibri" w:cstheme="minorHAnsi"/>
          <w:b/>
          <w:bCs/>
          <w:sz w:val="20"/>
        </w:rPr>
        <w:t xml:space="preserve">Table 1: Mean model costs when each cost model is applied to </w:t>
      </w:r>
      <w:r w:rsidR="00AD6931" w:rsidRPr="00704036">
        <w:rPr>
          <w:rFonts w:eastAsia="Calibri" w:cstheme="minorHAnsi"/>
          <w:b/>
          <w:bCs/>
          <w:sz w:val="20"/>
        </w:rPr>
        <w:t>2013-14</w:t>
      </w:r>
      <w:r w:rsidRPr="00704036">
        <w:rPr>
          <w:rFonts w:eastAsia="Calibri" w:cstheme="minorHAnsi"/>
          <w:b/>
          <w:bCs/>
          <w:sz w:val="20"/>
        </w:rPr>
        <w:t xml:space="preserve"> in-scope </w:t>
      </w:r>
      <w:r w:rsidR="001C6800">
        <w:rPr>
          <w:rFonts w:eastAsia="Calibri" w:cstheme="minorHAnsi"/>
          <w:b/>
          <w:bCs/>
          <w:sz w:val="20"/>
        </w:rPr>
        <w:t>admitted acute</w:t>
      </w:r>
      <w:r w:rsidRPr="00704036">
        <w:rPr>
          <w:rFonts w:eastAsia="Calibri" w:cstheme="minorHAnsi"/>
          <w:b/>
          <w:bCs/>
          <w:sz w:val="20"/>
        </w:rPr>
        <w:t xml:space="preserve"> activity data, and resulting standardised growth rate</w:t>
      </w:r>
    </w:p>
    <w:tbl>
      <w:tblPr>
        <w:tblStyle w:val="TableGrid10"/>
        <w:tblW w:w="0" w:type="auto"/>
        <w:tblInd w:w="108" w:type="dxa"/>
        <w:tblLook w:val="04A0" w:firstRow="1" w:lastRow="0" w:firstColumn="1" w:lastColumn="0" w:noHBand="0" w:noVBand="1"/>
        <w:tblDescription w:val="A summary of table 1 is outlined in the text prior to this table."/>
      </w:tblPr>
      <w:tblGrid>
        <w:gridCol w:w="2269"/>
        <w:gridCol w:w="2269"/>
        <w:gridCol w:w="2941"/>
      </w:tblGrid>
      <w:tr w:rsidR="00053234" w:rsidRPr="00704036" w:rsidTr="00664156">
        <w:trPr>
          <w:tblHeader/>
        </w:trPr>
        <w:tc>
          <w:tcPr>
            <w:tcW w:w="2269" w:type="dxa"/>
            <w:shd w:val="clear" w:color="auto" w:fill="BFBFBF" w:themeFill="background1" w:themeFillShade="BF"/>
          </w:tcPr>
          <w:p w:rsidR="00053234" w:rsidRPr="00E33EAE" w:rsidRDefault="00AD6931" w:rsidP="001322FE">
            <w:pPr>
              <w:spacing w:before="60" w:after="60"/>
              <w:jc w:val="center"/>
              <w:rPr>
                <w:rFonts w:asciiTheme="minorHAnsi" w:hAnsiTheme="minorHAnsi" w:cstheme="minorHAnsi"/>
                <w:b/>
                <w:sz w:val="20"/>
              </w:rPr>
            </w:pPr>
            <w:r w:rsidRPr="00E33EAE">
              <w:rPr>
                <w:rFonts w:cstheme="minorHAnsi"/>
                <w:b/>
                <w:sz w:val="20"/>
              </w:rPr>
              <w:t>2012-13</w:t>
            </w:r>
            <w:r w:rsidR="00053234" w:rsidRPr="00E33EAE">
              <w:rPr>
                <w:rFonts w:cstheme="minorHAnsi"/>
                <w:b/>
                <w:sz w:val="20"/>
              </w:rPr>
              <w:t xml:space="preserve"> cost model</w:t>
            </w:r>
          </w:p>
        </w:tc>
        <w:tc>
          <w:tcPr>
            <w:tcW w:w="2269" w:type="dxa"/>
            <w:shd w:val="clear" w:color="auto" w:fill="BFBFBF" w:themeFill="background1" w:themeFillShade="BF"/>
          </w:tcPr>
          <w:p w:rsidR="00053234" w:rsidRPr="00E33EAE" w:rsidRDefault="00AD6931" w:rsidP="001322FE">
            <w:pPr>
              <w:spacing w:before="60" w:after="60"/>
              <w:jc w:val="center"/>
              <w:rPr>
                <w:rFonts w:asciiTheme="minorHAnsi" w:hAnsiTheme="minorHAnsi" w:cstheme="minorHAnsi"/>
                <w:b/>
                <w:sz w:val="20"/>
              </w:rPr>
            </w:pPr>
            <w:r w:rsidRPr="00E33EAE">
              <w:rPr>
                <w:rFonts w:cstheme="minorHAnsi"/>
                <w:b/>
                <w:sz w:val="20"/>
              </w:rPr>
              <w:t>2013-14</w:t>
            </w:r>
            <w:r w:rsidR="00053234" w:rsidRPr="00E33EAE">
              <w:rPr>
                <w:rFonts w:cstheme="minorHAnsi"/>
                <w:b/>
                <w:sz w:val="20"/>
              </w:rPr>
              <w:t xml:space="preserve"> cost model</w:t>
            </w:r>
          </w:p>
        </w:tc>
        <w:tc>
          <w:tcPr>
            <w:tcW w:w="2941" w:type="dxa"/>
            <w:shd w:val="clear" w:color="auto" w:fill="BFBFBF" w:themeFill="background1" w:themeFillShade="BF"/>
          </w:tcPr>
          <w:p w:rsidR="00053234" w:rsidRPr="00E33EAE" w:rsidRDefault="00053234" w:rsidP="001322FE">
            <w:pPr>
              <w:spacing w:before="60" w:after="60"/>
              <w:jc w:val="center"/>
              <w:rPr>
                <w:rFonts w:asciiTheme="minorHAnsi" w:hAnsiTheme="minorHAnsi" w:cstheme="minorHAnsi"/>
                <w:b/>
                <w:sz w:val="20"/>
              </w:rPr>
            </w:pPr>
            <w:r w:rsidRPr="00E33EAE">
              <w:rPr>
                <w:rFonts w:cstheme="minorHAnsi"/>
                <w:b/>
                <w:sz w:val="20"/>
              </w:rPr>
              <w:t>Standardised growth rate</w:t>
            </w:r>
          </w:p>
        </w:tc>
      </w:tr>
      <w:tr w:rsidR="00D028D9" w:rsidRPr="00704036" w:rsidTr="00664156">
        <w:tc>
          <w:tcPr>
            <w:tcW w:w="2269" w:type="dxa"/>
          </w:tcPr>
          <w:p w:rsidR="00D028D9" w:rsidRPr="00E33EAE" w:rsidRDefault="001A1738" w:rsidP="00440903">
            <w:pPr>
              <w:spacing w:before="60" w:after="60"/>
              <w:jc w:val="center"/>
              <w:rPr>
                <w:rFonts w:ascii="Arial" w:hAnsi="Arial" w:cs="Arial"/>
                <w:sz w:val="18"/>
              </w:rPr>
            </w:pPr>
            <w:r w:rsidRPr="00E33EAE">
              <w:rPr>
                <w:rFonts w:ascii="Arial" w:hAnsi="Arial" w:cs="Arial"/>
                <w:sz w:val="18"/>
              </w:rPr>
              <w:t>$</w:t>
            </w:r>
            <w:r w:rsidR="00440903">
              <w:rPr>
                <w:rFonts w:ascii="Arial" w:hAnsi="Arial" w:cs="Arial"/>
                <w:sz w:val="18"/>
              </w:rPr>
              <w:t>4,655</w:t>
            </w:r>
          </w:p>
        </w:tc>
        <w:tc>
          <w:tcPr>
            <w:tcW w:w="2269" w:type="dxa"/>
          </w:tcPr>
          <w:p w:rsidR="00D028D9" w:rsidRPr="00E33EAE" w:rsidRDefault="005448BE" w:rsidP="00440903">
            <w:pPr>
              <w:spacing w:before="60" w:after="60"/>
              <w:jc w:val="center"/>
              <w:rPr>
                <w:rFonts w:ascii="Arial" w:hAnsi="Arial" w:cs="Arial"/>
                <w:sz w:val="18"/>
              </w:rPr>
            </w:pPr>
            <w:r w:rsidRPr="00E33EAE">
              <w:rPr>
                <w:rFonts w:ascii="Arial" w:hAnsi="Arial" w:cs="Arial"/>
                <w:sz w:val="18"/>
              </w:rPr>
              <w:t>$</w:t>
            </w:r>
            <w:r w:rsidR="00440903">
              <w:rPr>
                <w:rFonts w:ascii="Arial" w:hAnsi="Arial" w:cs="Arial"/>
                <w:sz w:val="18"/>
              </w:rPr>
              <w:t>4,694</w:t>
            </w:r>
          </w:p>
        </w:tc>
        <w:tc>
          <w:tcPr>
            <w:tcW w:w="2941" w:type="dxa"/>
          </w:tcPr>
          <w:p w:rsidR="00D028D9" w:rsidRPr="00E33EAE" w:rsidRDefault="00440903" w:rsidP="001322FE">
            <w:pPr>
              <w:spacing w:before="60" w:after="60"/>
              <w:jc w:val="center"/>
              <w:rPr>
                <w:rFonts w:ascii="Arial" w:hAnsi="Arial" w:cs="Arial"/>
                <w:sz w:val="18"/>
              </w:rPr>
            </w:pPr>
            <w:r>
              <w:rPr>
                <w:rFonts w:ascii="Arial" w:hAnsi="Arial" w:cs="Arial"/>
                <w:sz w:val="18"/>
              </w:rPr>
              <w:t>0.8</w:t>
            </w:r>
            <w:r w:rsidR="005448BE" w:rsidRPr="00E33EAE">
              <w:rPr>
                <w:rFonts w:ascii="Arial" w:hAnsi="Arial" w:cs="Arial"/>
                <w:sz w:val="18"/>
              </w:rPr>
              <w:t>%</w:t>
            </w:r>
          </w:p>
        </w:tc>
      </w:tr>
    </w:tbl>
    <w:p w:rsidR="00053234" w:rsidRPr="00704036" w:rsidRDefault="00053234" w:rsidP="00AD4FFC">
      <w:pPr>
        <w:spacing w:before="100" w:beforeAutospacing="1"/>
        <w:rPr>
          <w:rFonts w:eastAsia="Calibri" w:cstheme="minorHAnsi"/>
        </w:rPr>
      </w:pPr>
      <w:r w:rsidRPr="00704036">
        <w:rPr>
          <w:rFonts w:eastAsia="Calibri" w:cstheme="minorHAnsi"/>
        </w:rPr>
        <w:t xml:space="preserve">Finally, the </w:t>
      </w:r>
      <w:r w:rsidR="00AD6931" w:rsidRPr="00704036">
        <w:rPr>
          <w:rFonts w:eastAsia="Calibri" w:cstheme="minorHAnsi"/>
        </w:rPr>
        <w:t>2013-14</w:t>
      </w:r>
      <w:r w:rsidRPr="00704036">
        <w:rPr>
          <w:rFonts w:eastAsia="Calibri" w:cstheme="minorHAnsi"/>
        </w:rPr>
        <w:t xml:space="preserve"> reference cost is defined as the </w:t>
      </w:r>
      <w:r w:rsidR="00AD6931" w:rsidRPr="00704036">
        <w:rPr>
          <w:rFonts w:eastAsia="Calibri" w:cstheme="minorHAnsi"/>
        </w:rPr>
        <w:t>2012-13</w:t>
      </w:r>
      <w:r w:rsidRPr="00704036">
        <w:rPr>
          <w:rFonts w:eastAsia="Calibri" w:cstheme="minorHAnsi"/>
        </w:rPr>
        <w:t xml:space="preserve"> reference cost indexed by the standardised growth rate; that is, </w:t>
      </w:r>
      <w:r w:rsidRPr="00704036">
        <w:rPr>
          <w:rFonts w:eastAsia="Calibri" w:cstheme="minorHAnsi"/>
          <w:szCs w:val="24"/>
        </w:rPr>
        <w:t xml:space="preserve">the </w:t>
      </w:r>
      <w:r w:rsidR="00AD6931" w:rsidRPr="00704036">
        <w:rPr>
          <w:rFonts w:cstheme="minorHAnsi"/>
          <w:szCs w:val="24"/>
        </w:rPr>
        <w:t>2013-14</w:t>
      </w:r>
      <w:r w:rsidRPr="00704036">
        <w:rPr>
          <w:rFonts w:cstheme="minorHAnsi"/>
          <w:szCs w:val="24"/>
        </w:rPr>
        <w:t xml:space="preserve"> reference cost:</w:t>
      </w:r>
    </w:p>
    <w:p w:rsidR="00053234" w:rsidRPr="00704036" w:rsidRDefault="00053234" w:rsidP="00AD4FFC">
      <w:pPr>
        <w:spacing w:before="120"/>
        <w:ind w:left="2880"/>
        <w:rPr>
          <w:rFonts w:eastAsia="Calibri" w:cstheme="minorHAnsi"/>
        </w:rPr>
      </w:pPr>
      <w:r w:rsidRPr="00704036">
        <w:rPr>
          <w:rFonts w:cstheme="minorHAnsi"/>
          <w:sz w:val="20"/>
        </w:rPr>
        <w:t>= (</w:t>
      </w:r>
      <w:r w:rsidR="00AD6931" w:rsidRPr="00704036">
        <w:rPr>
          <w:rFonts w:cstheme="minorHAnsi"/>
          <w:sz w:val="20"/>
        </w:rPr>
        <w:t>2012-13</w:t>
      </w:r>
      <w:r w:rsidRPr="00704036">
        <w:rPr>
          <w:rFonts w:cstheme="minorHAnsi"/>
          <w:sz w:val="20"/>
        </w:rPr>
        <w:t xml:space="preserve"> reference cost) × (standardised growth rate)</w:t>
      </w:r>
    </w:p>
    <w:p w:rsidR="00053234" w:rsidRPr="00704036" w:rsidRDefault="00053234" w:rsidP="00AD4FFC">
      <w:pPr>
        <w:ind w:left="2880"/>
        <w:rPr>
          <w:rFonts w:cstheme="minorHAnsi"/>
          <w:sz w:val="20"/>
        </w:rPr>
      </w:pPr>
      <w:r w:rsidRPr="006C7A18">
        <w:rPr>
          <w:rFonts w:cstheme="minorHAnsi"/>
          <w:sz w:val="20"/>
        </w:rPr>
        <w:t xml:space="preserve">= </w:t>
      </w:r>
      <w:r w:rsidR="005448BE" w:rsidRPr="00E33EAE">
        <w:rPr>
          <w:rFonts w:cstheme="minorHAnsi"/>
          <w:sz w:val="20"/>
        </w:rPr>
        <w:t xml:space="preserve">$4,549 × </w:t>
      </w:r>
      <w:r w:rsidR="00440903">
        <w:rPr>
          <w:rFonts w:cstheme="minorHAnsi"/>
          <w:sz w:val="20"/>
        </w:rPr>
        <w:t>100.8</w:t>
      </w:r>
      <w:r w:rsidR="005448BE" w:rsidRPr="00E33EAE">
        <w:rPr>
          <w:rFonts w:cstheme="minorHAnsi"/>
          <w:sz w:val="20"/>
        </w:rPr>
        <w:t xml:space="preserve">% </w:t>
      </w:r>
    </w:p>
    <w:p w:rsidR="00053234" w:rsidRPr="00704036" w:rsidRDefault="00053234" w:rsidP="00AD4FFC">
      <w:pPr>
        <w:ind w:left="2880"/>
        <w:rPr>
          <w:rFonts w:cstheme="minorHAnsi"/>
          <w:sz w:val="20"/>
        </w:rPr>
      </w:pPr>
      <w:r w:rsidRPr="00704036">
        <w:rPr>
          <w:rFonts w:cstheme="minorHAnsi"/>
          <w:sz w:val="20"/>
        </w:rPr>
        <w:t xml:space="preserve">= </w:t>
      </w:r>
      <w:r w:rsidR="005448BE" w:rsidRPr="00704036">
        <w:rPr>
          <w:rFonts w:cstheme="minorHAnsi"/>
          <w:sz w:val="20"/>
        </w:rPr>
        <w:t>$</w:t>
      </w:r>
      <w:r w:rsidR="00440903">
        <w:rPr>
          <w:rFonts w:cstheme="minorHAnsi"/>
          <w:sz w:val="20"/>
        </w:rPr>
        <w:t>4,588</w:t>
      </w:r>
    </w:p>
    <w:p w:rsidR="00053234" w:rsidRPr="00704036" w:rsidRDefault="00053234" w:rsidP="00AD4FFC">
      <w:pPr>
        <w:spacing w:before="100" w:beforeAutospacing="1" w:after="100" w:afterAutospacing="1"/>
        <w:rPr>
          <w:rFonts w:eastAsia="Calibri" w:cstheme="minorHAnsi"/>
        </w:rPr>
      </w:pPr>
      <w:r w:rsidRPr="00704036">
        <w:rPr>
          <w:rFonts w:eastAsia="Calibri" w:cstheme="minorHAnsi"/>
        </w:rPr>
        <w:t xml:space="preserve">Both </w:t>
      </w:r>
      <w:r w:rsidR="00AD6931" w:rsidRPr="00704036">
        <w:rPr>
          <w:rFonts w:eastAsia="Calibri" w:cstheme="minorHAnsi"/>
        </w:rPr>
        <w:t>2012-13</w:t>
      </w:r>
      <w:r w:rsidRPr="00704036">
        <w:rPr>
          <w:rFonts w:eastAsia="Calibri" w:cstheme="minorHAnsi"/>
        </w:rPr>
        <w:t xml:space="preserve"> and </w:t>
      </w:r>
      <w:r w:rsidR="00AD6931" w:rsidRPr="00704036">
        <w:rPr>
          <w:rFonts w:eastAsia="Calibri" w:cstheme="minorHAnsi"/>
        </w:rPr>
        <w:t>2013-14</w:t>
      </w:r>
      <w:r w:rsidRPr="00704036">
        <w:rPr>
          <w:rFonts w:eastAsia="Calibri" w:cstheme="minorHAnsi"/>
        </w:rPr>
        <w:t xml:space="preserve"> reference costs are given in Table 2.</w:t>
      </w:r>
    </w:p>
    <w:p w:rsidR="00053234" w:rsidRPr="00704036" w:rsidRDefault="00053234" w:rsidP="00E33EAE">
      <w:pPr>
        <w:spacing w:after="200" w:line="276" w:lineRule="auto"/>
        <w:rPr>
          <w:rFonts w:eastAsia="Calibri" w:cstheme="minorHAnsi"/>
          <w:b/>
          <w:bCs/>
          <w:sz w:val="20"/>
        </w:rPr>
      </w:pPr>
      <w:r w:rsidRPr="00704036">
        <w:rPr>
          <w:rFonts w:eastAsia="Calibri" w:cstheme="minorHAnsi"/>
          <w:b/>
          <w:bCs/>
          <w:sz w:val="20"/>
        </w:rPr>
        <w:t xml:space="preserve">Table 2: Reference costs for </w:t>
      </w:r>
      <w:r w:rsidR="00AD6931" w:rsidRPr="00704036">
        <w:rPr>
          <w:rFonts w:eastAsia="Calibri" w:cstheme="minorHAnsi"/>
          <w:b/>
          <w:bCs/>
          <w:sz w:val="20"/>
        </w:rPr>
        <w:t>2012-13</w:t>
      </w:r>
      <w:r w:rsidRPr="00704036">
        <w:rPr>
          <w:rFonts w:eastAsia="Calibri" w:cstheme="minorHAnsi"/>
          <w:b/>
          <w:bCs/>
          <w:sz w:val="20"/>
        </w:rPr>
        <w:t xml:space="preserve"> and </w:t>
      </w:r>
      <w:r w:rsidR="00AD6931" w:rsidRPr="00704036">
        <w:rPr>
          <w:rFonts w:eastAsia="Calibri" w:cstheme="minorHAnsi"/>
          <w:b/>
          <w:bCs/>
          <w:sz w:val="20"/>
        </w:rPr>
        <w:t>2013-14</w:t>
      </w:r>
      <w:r w:rsidRPr="00704036">
        <w:rPr>
          <w:rFonts w:eastAsia="Calibri" w:cstheme="minorHAnsi"/>
          <w:b/>
          <w:bCs/>
          <w:sz w:val="20"/>
        </w:rPr>
        <w:t xml:space="preserve"> cost models</w:t>
      </w:r>
    </w:p>
    <w:tbl>
      <w:tblPr>
        <w:tblStyle w:val="TableGrid10"/>
        <w:tblW w:w="0" w:type="auto"/>
        <w:tblInd w:w="108" w:type="dxa"/>
        <w:tblLook w:val="04A0" w:firstRow="1" w:lastRow="0" w:firstColumn="1" w:lastColumn="0" w:noHBand="0" w:noVBand="1"/>
        <w:tblDescription w:val="A summary of table 2 is outlined in the text prior to this table."/>
      </w:tblPr>
      <w:tblGrid>
        <w:gridCol w:w="2268"/>
        <w:gridCol w:w="2268"/>
      </w:tblGrid>
      <w:tr w:rsidR="00053234" w:rsidRPr="00163EB6" w:rsidTr="001322FE">
        <w:trPr>
          <w:tblHeader/>
        </w:trPr>
        <w:tc>
          <w:tcPr>
            <w:tcW w:w="2268" w:type="dxa"/>
            <w:shd w:val="clear" w:color="auto" w:fill="BFBFBF" w:themeFill="background1" w:themeFillShade="BF"/>
          </w:tcPr>
          <w:p w:rsidR="00053234" w:rsidRPr="00E33EAE" w:rsidRDefault="00AD6931" w:rsidP="001322FE">
            <w:pPr>
              <w:spacing w:before="60" w:after="60"/>
              <w:jc w:val="center"/>
              <w:rPr>
                <w:rFonts w:asciiTheme="minorHAnsi" w:hAnsiTheme="minorHAnsi" w:cstheme="minorHAnsi"/>
                <w:b/>
                <w:sz w:val="20"/>
              </w:rPr>
            </w:pPr>
            <w:r w:rsidRPr="00E33EAE">
              <w:rPr>
                <w:rFonts w:cstheme="minorHAnsi"/>
                <w:b/>
                <w:sz w:val="20"/>
              </w:rPr>
              <w:t>2012-13</w:t>
            </w:r>
            <w:r w:rsidR="001322FE" w:rsidRPr="00E33EAE">
              <w:rPr>
                <w:rFonts w:cstheme="minorHAnsi"/>
                <w:b/>
                <w:sz w:val="20"/>
              </w:rPr>
              <w:t xml:space="preserve"> cost model </w:t>
            </w:r>
          </w:p>
        </w:tc>
        <w:tc>
          <w:tcPr>
            <w:tcW w:w="2268" w:type="dxa"/>
            <w:shd w:val="clear" w:color="auto" w:fill="BFBFBF" w:themeFill="background1" w:themeFillShade="BF"/>
          </w:tcPr>
          <w:p w:rsidR="00053234" w:rsidRPr="00E33EAE" w:rsidRDefault="00AD6931" w:rsidP="001322FE">
            <w:pPr>
              <w:spacing w:before="60" w:after="60"/>
              <w:jc w:val="center"/>
              <w:rPr>
                <w:rFonts w:asciiTheme="minorHAnsi" w:hAnsiTheme="minorHAnsi" w:cstheme="minorHAnsi"/>
                <w:b/>
                <w:sz w:val="20"/>
              </w:rPr>
            </w:pPr>
            <w:r w:rsidRPr="00E33EAE">
              <w:rPr>
                <w:rFonts w:cstheme="minorHAnsi"/>
                <w:b/>
                <w:sz w:val="20"/>
              </w:rPr>
              <w:t>2013-14</w:t>
            </w:r>
            <w:r w:rsidR="001322FE" w:rsidRPr="00E33EAE">
              <w:rPr>
                <w:rFonts w:cstheme="minorHAnsi"/>
                <w:b/>
                <w:sz w:val="20"/>
              </w:rPr>
              <w:t xml:space="preserve"> cost model </w:t>
            </w:r>
          </w:p>
        </w:tc>
      </w:tr>
      <w:tr w:rsidR="00053234" w:rsidRPr="00163EB6" w:rsidTr="001322FE">
        <w:tc>
          <w:tcPr>
            <w:tcW w:w="2268" w:type="dxa"/>
          </w:tcPr>
          <w:p w:rsidR="00053234" w:rsidRPr="00E33EAE" w:rsidRDefault="00053234" w:rsidP="001322FE">
            <w:pPr>
              <w:spacing w:before="60" w:after="60"/>
              <w:jc w:val="center"/>
              <w:rPr>
                <w:rFonts w:ascii="Arial" w:hAnsi="Arial" w:cs="Arial"/>
                <w:sz w:val="18"/>
              </w:rPr>
            </w:pPr>
            <w:r w:rsidRPr="00E33EAE">
              <w:rPr>
                <w:rFonts w:ascii="Arial" w:hAnsi="Arial" w:cs="Arial"/>
                <w:sz w:val="18"/>
              </w:rPr>
              <w:t>$4,</w:t>
            </w:r>
            <w:r w:rsidR="00A82EF1" w:rsidRPr="00E33EAE">
              <w:rPr>
                <w:rFonts w:ascii="Arial" w:hAnsi="Arial" w:cs="Arial"/>
                <w:sz w:val="18"/>
              </w:rPr>
              <w:t>549</w:t>
            </w:r>
          </w:p>
        </w:tc>
        <w:tc>
          <w:tcPr>
            <w:tcW w:w="2268" w:type="dxa"/>
          </w:tcPr>
          <w:p w:rsidR="00053234" w:rsidRPr="00E33EAE" w:rsidRDefault="00053234" w:rsidP="00440903">
            <w:pPr>
              <w:spacing w:before="60" w:after="60"/>
              <w:jc w:val="center"/>
              <w:rPr>
                <w:rFonts w:ascii="Arial" w:hAnsi="Arial" w:cs="Arial"/>
                <w:sz w:val="18"/>
              </w:rPr>
            </w:pPr>
            <w:r w:rsidRPr="00E33EAE">
              <w:rPr>
                <w:rFonts w:ascii="Arial" w:hAnsi="Arial" w:cs="Arial"/>
                <w:sz w:val="18"/>
              </w:rPr>
              <w:t>$</w:t>
            </w:r>
            <w:r w:rsidR="00440903">
              <w:rPr>
                <w:rFonts w:ascii="Arial" w:hAnsi="Arial" w:cs="Arial"/>
                <w:sz w:val="18"/>
              </w:rPr>
              <w:t>4,588</w:t>
            </w:r>
          </w:p>
        </w:tc>
      </w:tr>
    </w:tbl>
    <w:p w:rsidR="00374D3A" w:rsidRPr="00704036" w:rsidRDefault="00053234" w:rsidP="00374D3A">
      <w:pPr>
        <w:spacing w:before="100" w:beforeAutospacing="1" w:after="100" w:afterAutospacing="1"/>
        <w:rPr>
          <w:rFonts w:eastAsia="Calibri" w:cstheme="minorHAnsi"/>
        </w:rPr>
      </w:pPr>
      <w:r w:rsidRPr="00704036">
        <w:rPr>
          <w:rFonts w:eastAsia="Calibri" w:cstheme="minorHAnsi"/>
        </w:rPr>
        <w:t xml:space="preserve">The conversion of the </w:t>
      </w:r>
      <w:r w:rsidR="00AD6931" w:rsidRPr="00704036">
        <w:rPr>
          <w:rFonts w:eastAsia="Calibri" w:cstheme="minorHAnsi"/>
        </w:rPr>
        <w:t>2013-14</w:t>
      </w:r>
      <w:r w:rsidRPr="00704036">
        <w:rPr>
          <w:rFonts w:eastAsia="Calibri" w:cstheme="minorHAnsi"/>
        </w:rPr>
        <w:t xml:space="preserve"> unadjusted mean model cost given in Table 1 to the </w:t>
      </w:r>
      <w:r w:rsidR="00AD6931" w:rsidRPr="00704036">
        <w:rPr>
          <w:rFonts w:eastAsia="Calibri" w:cstheme="minorHAnsi"/>
        </w:rPr>
        <w:t>2013-14</w:t>
      </w:r>
      <w:r w:rsidRPr="00704036">
        <w:rPr>
          <w:rFonts w:eastAsia="Calibri" w:cstheme="minorHAnsi"/>
        </w:rPr>
        <w:t xml:space="preserve"> reference cost given in Table 2 (i.</w:t>
      </w:r>
      <w:r w:rsidRPr="006C7A18">
        <w:rPr>
          <w:rFonts w:eastAsia="Calibri" w:cstheme="minorHAnsi"/>
        </w:rPr>
        <w:t>e. $</w:t>
      </w:r>
      <w:r w:rsidR="00A2557D">
        <w:rPr>
          <w:rFonts w:eastAsia="Calibri" w:cstheme="minorHAnsi"/>
        </w:rPr>
        <w:t>4,694</w:t>
      </w:r>
      <w:r w:rsidRPr="00E33EAE">
        <w:rPr>
          <w:rFonts w:eastAsia="Calibri" w:cstheme="minorHAnsi"/>
        </w:rPr>
        <w:t>→$</w:t>
      </w:r>
      <w:r w:rsidR="00A2557D">
        <w:rPr>
          <w:rFonts w:eastAsia="Calibri" w:cstheme="minorHAnsi"/>
        </w:rPr>
        <w:t>4,588</w:t>
      </w:r>
      <w:r w:rsidRPr="00704036">
        <w:rPr>
          <w:rFonts w:eastAsia="Calibri" w:cstheme="minorHAnsi"/>
        </w:rPr>
        <w:t xml:space="preserve">) is often referred to as ‘rebasing’. Figure 2 illustrates this rebasing process in the context of the derivation of the </w:t>
      </w:r>
      <w:r w:rsidR="0040099C" w:rsidRPr="00704036">
        <w:rPr>
          <w:rFonts w:eastAsia="Calibri" w:cstheme="minorHAnsi"/>
        </w:rPr>
        <w:t>2013-14</w:t>
      </w:r>
      <w:r w:rsidRPr="00704036">
        <w:rPr>
          <w:rFonts w:eastAsia="Calibri" w:cstheme="minorHAnsi"/>
        </w:rPr>
        <w:t xml:space="preserve"> reference cost.</w:t>
      </w:r>
      <w:bookmarkStart w:id="481" w:name="_Ref350865271"/>
    </w:p>
    <w:p w:rsidR="00ED5DBA" w:rsidRDefault="00ED5DBA">
      <w:pPr>
        <w:spacing w:after="200" w:line="276" w:lineRule="auto"/>
        <w:rPr>
          <w:rFonts w:eastAsia="Calibri" w:cstheme="minorHAnsi"/>
          <w:b/>
          <w:bCs/>
          <w:sz w:val="20"/>
        </w:rPr>
      </w:pPr>
      <w:r>
        <w:rPr>
          <w:rFonts w:eastAsia="Calibri" w:cstheme="minorHAnsi"/>
          <w:b/>
          <w:bCs/>
          <w:sz w:val="20"/>
        </w:rPr>
        <w:br w:type="page"/>
      </w:r>
    </w:p>
    <w:p w:rsidR="00460371" w:rsidRPr="00704036" w:rsidRDefault="00460371" w:rsidP="00374D3A">
      <w:pPr>
        <w:spacing w:before="100" w:beforeAutospacing="1" w:after="100" w:afterAutospacing="1"/>
        <w:rPr>
          <w:rFonts w:eastAsia="Calibri" w:cstheme="minorHAnsi"/>
          <w:b/>
          <w:bCs/>
          <w:sz w:val="20"/>
        </w:rPr>
      </w:pPr>
      <w:r w:rsidRPr="00704036">
        <w:rPr>
          <w:rFonts w:eastAsia="Calibri" w:cstheme="minorHAnsi"/>
          <w:b/>
          <w:bCs/>
          <w:sz w:val="20"/>
        </w:rPr>
        <w:t xml:space="preserve">Figure </w:t>
      </w:r>
      <w:bookmarkEnd w:id="481"/>
      <w:r w:rsidR="005C0F8A" w:rsidRPr="00704036">
        <w:rPr>
          <w:rFonts w:eastAsia="Calibri" w:cstheme="minorHAnsi"/>
          <w:b/>
          <w:bCs/>
          <w:sz w:val="20"/>
        </w:rPr>
        <w:t>2</w:t>
      </w:r>
      <w:r w:rsidRPr="00704036">
        <w:rPr>
          <w:rFonts w:eastAsia="Calibri" w:cstheme="minorHAnsi"/>
          <w:b/>
          <w:bCs/>
          <w:sz w:val="20"/>
        </w:rPr>
        <w:t xml:space="preserve">: Derivation of </w:t>
      </w:r>
      <w:r w:rsidR="001A1738" w:rsidRPr="00704036">
        <w:rPr>
          <w:rFonts w:eastAsia="Calibri" w:cstheme="minorHAnsi"/>
          <w:b/>
          <w:bCs/>
          <w:sz w:val="20"/>
        </w:rPr>
        <w:t>2013-14</w:t>
      </w:r>
      <w:r w:rsidRPr="00704036">
        <w:rPr>
          <w:rFonts w:eastAsia="Calibri" w:cstheme="minorHAnsi"/>
          <w:b/>
          <w:bCs/>
          <w:sz w:val="20"/>
        </w:rPr>
        <w:t xml:space="preserve"> reference cost</w:t>
      </w:r>
    </w:p>
    <w:p w:rsidR="00A82EF1" w:rsidRPr="00B84D83" w:rsidRDefault="00CF317B" w:rsidP="006044ED">
      <w:pPr>
        <w:spacing w:before="100" w:beforeAutospacing="1" w:after="100" w:afterAutospacing="1"/>
        <w:jc w:val="center"/>
        <w:rPr>
          <w:rFonts w:ascii="Calibri" w:eastAsia="Calibri" w:hAnsi="Calibri"/>
          <w:bCs/>
          <w:highlight w:val="yellow"/>
        </w:rPr>
      </w:pPr>
      <w:r>
        <w:rPr>
          <w:noProof/>
          <w:lang w:eastAsia="en-AU"/>
        </w:rPr>
        <w:drawing>
          <wp:inline distT="0" distB="0" distL="0" distR="0" wp14:anchorId="4B95B928" wp14:editId="49ED2054">
            <wp:extent cx="5036363" cy="3228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047177" cy="3235908"/>
                    </a:xfrm>
                    <a:prstGeom prst="rect">
                      <a:avLst/>
                    </a:prstGeom>
                  </pic:spPr>
                </pic:pic>
              </a:graphicData>
            </a:graphic>
          </wp:inline>
        </w:drawing>
      </w:r>
    </w:p>
    <w:p w:rsidR="00460371" w:rsidRPr="00704036" w:rsidRDefault="00460371" w:rsidP="00AD4FFC">
      <w:pPr>
        <w:spacing w:before="100" w:beforeAutospacing="1" w:after="100" w:afterAutospacing="1"/>
        <w:rPr>
          <w:rFonts w:eastAsia="Calibri" w:cstheme="minorHAnsi"/>
        </w:rPr>
      </w:pPr>
      <w:r w:rsidRPr="00704036">
        <w:rPr>
          <w:rFonts w:eastAsia="Calibri" w:cstheme="minorHAnsi"/>
        </w:rPr>
        <w:t>There are two intended consequences of the selection of the reference costs:</w:t>
      </w:r>
    </w:p>
    <w:p w:rsidR="00460371" w:rsidRPr="00704036" w:rsidRDefault="00460371" w:rsidP="00C245E0">
      <w:pPr>
        <w:numPr>
          <w:ilvl w:val="0"/>
          <w:numId w:val="45"/>
        </w:numPr>
        <w:spacing w:before="100" w:beforeAutospacing="1" w:after="100" w:afterAutospacing="1"/>
        <w:contextualSpacing/>
        <w:rPr>
          <w:rFonts w:eastAsia="Calibri" w:cstheme="minorHAnsi"/>
        </w:rPr>
      </w:pPr>
      <w:r w:rsidRPr="00704036">
        <w:rPr>
          <w:rFonts w:eastAsia="Calibri" w:cstheme="minorHAnsi"/>
        </w:rPr>
        <w:t>The change in reference costs represents change in unit costs excluding the effect of any changes in case-mix; and</w:t>
      </w:r>
    </w:p>
    <w:p w:rsidR="00110E37" w:rsidRPr="00704036" w:rsidRDefault="00460371" w:rsidP="00C245E0">
      <w:pPr>
        <w:numPr>
          <w:ilvl w:val="0"/>
          <w:numId w:val="45"/>
        </w:numPr>
        <w:spacing w:before="100" w:beforeAutospacing="1" w:after="100" w:afterAutospacing="1"/>
        <w:contextualSpacing/>
        <w:rPr>
          <w:rFonts w:eastAsia="Calibri" w:cstheme="minorHAnsi"/>
        </w:rPr>
      </w:pPr>
      <w:r w:rsidRPr="00704036">
        <w:rPr>
          <w:rFonts w:eastAsia="Calibri" w:cstheme="minorHAnsi"/>
        </w:rPr>
        <w:t xml:space="preserve">The </w:t>
      </w:r>
      <w:r w:rsidR="0040099C" w:rsidRPr="00704036">
        <w:rPr>
          <w:rFonts w:eastAsia="Calibri" w:cstheme="minorHAnsi"/>
        </w:rPr>
        <w:t>2012-13</w:t>
      </w:r>
      <w:r w:rsidRPr="00704036">
        <w:rPr>
          <w:rFonts w:eastAsia="Calibri" w:cstheme="minorHAnsi"/>
        </w:rPr>
        <w:t xml:space="preserve"> and </w:t>
      </w:r>
      <w:r w:rsidR="0040099C" w:rsidRPr="00704036">
        <w:rPr>
          <w:rFonts w:eastAsia="Calibri" w:cstheme="minorHAnsi"/>
        </w:rPr>
        <w:t>2013-14</w:t>
      </w:r>
      <w:r w:rsidRPr="00704036">
        <w:rPr>
          <w:rFonts w:eastAsia="Calibri" w:cstheme="minorHAnsi"/>
        </w:rPr>
        <w:t xml:space="preserve"> cost weight models give the same total weighted volume when applied to the </w:t>
      </w:r>
      <w:r w:rsidR="0040099C" w:rsidRPr="00704036">
        <w:rPr>
          <w:rFonts w:eastAsia="Calibri" w:cstheme="minorHAnsi"/>
        </w:rPr>
        <w:t>2013-14</w:t>
      </w:r>
      <w:r w:rsidRPr="00704036">
        <w:rPr>
          <w:rFonts w:eastAsia="Calibri" w:cstheme="minorHAnsi"/>
        </w:rPr>
        <w:t xml:space="preserve"> activity data on which the standardised growth rate is derived.</w:t>
      </w:r>
    </w:p>
    <w:p w:rsidR="00110E37" w:rsidRPr="00704036" w:rsidRDefault="00110E37" w:rsidP="00AD4FFC">
      <w:pPr>
        <w:pStyle w:val="ListParagraph"/>
        <w:numPr>
          <w:ilvl w:val="2"/>
          <w:numId w:val="36"/>
        </w:numPr>
        <w:spacing w:before="100" w:beforeAutospacing="1" w:after="100" w:afterAutospacing="1"/>
        <w:ind w:left="284"/>
        <w:rPr>
          <w:rFonts w:eastAsia="Calibri" w:cstheme="minorHAnsi"/>
          <w:b/>
          <w:sz w:val="24"/>
          <w:szCs w:val="28"/>
        </w:rPr>
      </w:pPr>
      <w:r w:rsidRPr="00704036">
        <w:rPr>
          <w:rFonts w:eastAsia="Calibri" w:cstheme="minorHAnsi"/>
          <w:b/>
          <w:sz w:val="24"/>
          <w:szCs w:val="28"/>
        </w:rPr>
        <w:t xml:space="preserve">Indexation </w:t>
      </w:r>
    </w:p>
    <w:p w:rsidR="006216CA" w:rsidRPr="00704036" w:rsidRDefault="00460371" w:rsidP="00AD4FFC">
      <w:pPr>
        <w:spacing w:before="100" w:beforeAutospacing="1" w:after="100" w:afterAutospacing="1"/>
        <w:rPr>
          <w:rFonts w:eastAsia="Calibri" w:cstheme="minorHAnsi"/>
        </w:rPr>
      </w:pPr>
      <w:r w:rsidRPr="00704036">
        <w:rPr>
          <w:rFonts w:eastAsia="Calibri" w:cstheme="minorHAnsi"/>
        </w:rPr>
        <w:t xml:space="preserve">The final step in the transformation of the cost model to pricing model is the indexation of costs to estimate those in the year of the pricing model. Describing the methodology in the context of the </w:t>
      </w:r>
      <w:r w:rsidR="00384C96" w:rsidRPr="00704036">
        <w:rPr>
          <w:rFonts w:eastAsia="Calibri" w:cstheme="minorHAnsi"/>
        </w:rPr>
        <w:t>2016-17</w:t>
      </w:r>
      <w:r w:rsidRPr="00704036">
        <w:rPr>
          <w:rFonts w:eastAsia="Calibri" w:cstheme="minorHAnsi"/>
        </w:rPr>
        <w:t xml:space="preserve"> pricing model, the objective is to derive an annual indexation rate that is used to inflate the </w:t>
      </w:r>
      <w:r w:rsidR="0040099C" w:rsidRPr="00704036">
        <w:rPr>
          <w:rFonts w:eastAsia="Calibri" w:cstheme="minorHAnsi"/>
        </w:rPr>
        <w:t>2013-14</w:t>
      </w:r>
      <w:r w:rsidRPr="00704036">
        <w:rPr>
          <w:rFonts w:eastAsia="Calibri" w:cstheme="minorHAnsi"/>
        </w:rPr>
        <w:t xml:space="preserve"> cost model over three years to a level reflective of estimated </w:t>
      </w:r>
      <w:r w:rsidR="00384C96" w:rsidRPr="00704036">
        <w:rPr>
          <w:rFonts w:eastAsia="Calibri" w:cstheme="minorHAnsi"/>
        </w:rPr>
        <w:t>2016-17</w:t>
      </w:r>
      <w:r w:rsidRPr="00704036">
        <w:rPr>
          <w:rFonts w:eastAsia="Calibri" w:cstheme="minorHAnsi"/>
        </w:rPr>
        <w:t xml:space="preserve"> costs.</w:t>
      </w:r>
    </w:p>
    <w:p w:rsidR="00460371" w:rsidRDefault="00460371" w:rsidP="007A2FE5">
      <w:pPr>
        <w:spacing w:after="0"/>
        <w:rPr>
          <w:rFonts w:eastAsia="Calibri" w:cstheme="minorHAnsi"/>
          <w:szCs w:val="24"/>
        </w:rPr>
      </w:pPr>
      <w:r w:rsidRPr="00704036">
        <w:rPr>
          <w:rFonts w:eastAsia="Calibri" w:cstheme="minorHAnsi"/>
          <w:szCs w:val="24"/>
        </w:rPr>
        <w:t xml:space="preserve">To derive this rate, the </w:t>
      </w:r>
      <w:r w:rsidR="0040099C" w:rsidRPr="00704036">
        <w:rPr>
          <w:rFonts w:eastAsia="Calibri" w:cstheme="minorHAnsi"/>
          <w:szCs w:val="24"/>
        </w:rPr>
        <w:t>2013-14</w:t>
      </w:r>
      <w:r w:rsidRPr="00704036">
        <w:rPr>
          <w:rFonts w:eastAsia="Calibri" w:cstheme="minorHAnsi"/>
          <w:szCs w:val="24"/>
        </w:rPr>
        <w:t xml:space="preserve"> cost model is applied retrospectively to the five years of patient costed </w:t>
      </w:r>
      <w:r w:rsidR="001C6800">
        <w:rPr>
          <w:rFonts w:eastAsia="Calibri" w:cstheme="minorHAnsi"/>
          <w:szCs w:val="24"/>
        </w:rPr>
        <w:t>admitted acute</w:t>
      </w:r>
      <w:r w:rsidRPr="00704036">
        <w:rPr>
          <w:rFonts w:eastAsia="Calibri" w:cstheme="minorHAnsi"/>
          <w:szCs w:val="24"/>
        </w:rPr>
        <w:t xml:space="preserve"> activity data</w:t>
      </w:r>
      <w:r w:rsidRPr="00704036">
        <w:rPr>
          <w:rFonts w:eastAsia="Calibri" w:cstheme="minorHAnsi"/>
          <w:szCs w:val="24"/>
          <w:vertAlign w:val="superscript"/>
        </w:rPr>
        <w:footnoteReference w:id="23"/>
      </w:r>
      <w:r w:rsidRPr="00704036">
        <w:rPr>
          <w:rFonts w:eastAsia="Calibri" w:cstheme="minorHAnsi"/>
          <w:szCs w:val="24"/>
        </w:rPr>
        <w:t xml:space="preserve"> up to </w:t>
      </w:r>
      <w:r w:rsidR="0040099C" w:rsidRPr="00704036">
        <w:rPr>
          <w:rFonts w:eastAsia="Calibri" w:cstheme="minorHAnsi"/>
          <w:szCs w:val="24"/>
        </w:rPr>
        <w:t>2013-14</w:t>
      </w:r>
      <w:r w:rsidRPr="00704036">
        <w:rPr>
          <w:rFonts w:eastAsia="Calibri" w:cstheme="minorHAnsi"/>
          <w:szCs w:val="24"/>
        </w:rPr>
        <w:t xml:space="preserve">, and comparisons are made between actual and model costs to determine the scaling of the </w:t>
      </w:r>
      <w:r w:rsidR="005254A3" w:rsidRPr="00704036">
        <w:rPr>
          <w:rFonts w:eastAsia="Calibri" w:cstheme="minorHAnsi"/>
          <w:szCs w:val="24"/>
        </w:rPr>
        <w:t>2013-14</w:t>
      </w:r>
      <w:r w:rsidRPr="00704036">
        <w:rPr>
          <w:rFonts w:eastAsia="Calibri" w:cstheme="minorHAnsi"/>
          <w:szCs w:val="24"/>
        </w:rPr>
        <w:t xml:space="preserve"> cost model required to equalise each year’s model costs and actual costs. The trend of these scaling factors from </w:t>
      </w:r>
      <w:r w:rsidR="005254A3" w:rsidRPr="00704036">
        <w:rPr>
          <w:rFonts w:eastAsia="Calibri" w:cstheme="minorHAnsi"/>
          <w:szCs w:val="24"/>
        </w:rPr>
        <w:t>200</w:t>
      </w:r>
      <w:r w:rsidR="006C7A18">
        <w:rPr>
          <w:rFonts w:eastAsia="Calibri" w:cstheme="minorHAnsi"/>
          <w:szCs w:val="24"/>
        </w:rPr>
        <w:t>8-09</w:t>
      </w:r>
      <w:r w:rsidRPr="00704036">
        <w:rPr>
          <w:rFonts w:eastAsia="Calibri" w:cstheme="minorHAnsi"/>
          <w:szCs w:val="24"/>
        </w:rPr>
        <w:t xml:space="preserve"> to </w:t>
      </w:r>
      <w:r w:rsidR="005254A3" w:rsidRPr="00704036">
        <w:rPr>
          <w:rFonts w:eastAsia="Calibri" w:cstheme="minorHAnsi"/>
          <w:szCs w:val="24"/>
        </w:rPr>
        <w:t>2013-14</w:t>
      </w:r>
      <w:r w:rsidRPr="00704036">
        <w:rPr>
          <w:rFonts w:eastAsia="Calibri" w:cstheme="minorHAnsi"/>
          <w:szCs w:val="24"/>
        </w:rPr>
        <w:t xml:space="preserve"> is then projected to model the indexation rate for the following three years.</w:t>
      </w:r>
    </w:p>
    <w:p w:rsidR="006C7A18" w:rsidRPr="00704036" w:rsidRDefault="006C7A18" w:rsidP="007A2FE5">
      <w:pPr>
        <w:spacing w:after="0"/>
        <w:rPr>
          <w:rFonts w:eastAsia="Calibri" w:cstheme="minorHAnsi"/>
          <w:szCs w:val="24"/>
        </w:rPr>
      </w:pPr>
    </w:p>
    <w:p w:rsidR="00460371" w:rsidRPr="00704036" w:rsidRDefault="009419AC" w:rsidP="00704036">
      <w:pPr>
        <w:spacing w:after="0"/>
        <w:rPr>
          <w:rFonts w:eastAsia="Calibri" w:cstheme="minorHAnsi"/>
          <w:szCs w:val="24"/>
        </w:rPr>
      </w:pPr>
      <w:r w:rsidRPr="00704036">
        <w:rPr>
          <w:rFonts w:eastAsia="Calibri" w:cstheme="minorHAnsi"/>
          <w:szCs w:val="24"/>
        </w:rPr>
        <w:t>Figure 3</w:t>
      </w:r>
      <w:r w:rsidR="00460371" w:rsidRPr="00704036">
        <w:rPr>
          <w:rFonts w:eastAsia="Calibri" w:cstheme="minorHAnsi"/>
          <w:szCs w:val="24"/>
        </w:rPr>
        <w:t xml:space="preserve"> illustrates the </w:t>
      </w:r>
      <w:r w:rsidR="005254A3" w:rsidRPr="00704036">
        <w:rPr>
          <w:rFonts w:eastAsia="Calibri" w:cstheme="minorHAnsi"/>
          <w:szCs w:val="24"/>
        </w:rPr>
        <w:t>2013-14</w:t>
      </w:r>
      <w:r w:rsidR="00460371" w:rsidRPr="00704036">
        <w:rPr>
          <w:rFonts w:eastAsia="Calibri" w:cstheme="minorHAnsi"/>
          <w:szCs w:val="24"/>
        </w:rPr>
        <w:t xml:space="preserve"> cost model applied to patient costed </w:t>
      </w:r>
      <w:r w:rsidR="001C6800">
        <w:rPr>
          <w:rFonts w:eastAsia="Calibri" w:cstheme="minorHAnsi"/>
          <w:szCs w:val="24"/>
        </w:rPr>
        <w:t>admitted acute</w:t>
      </w:r>
      <w:r w:rsidR="00460371" w:rsidRPr="00704036">
        <w:rPr>
          <w:rFonts w:eastAsia="Calibri" w:cstheme="minorHAnsi"/>
          <w:szCs w:val="24"/>
        </w:rPr>
        <w:t xml:space="preserve"> activity data and shows the scaling factors required to ensure the model costs are equalised with actual costs. Since the </w:t>
      </w:r>
      <w:r w:rsidR="005254A3" w:rsidRPr="00704036">
        <w:rPr>
          <w:rFonts w:eastAsia="Calibri" w:cstheme="minorHAnsi"/>
          <w:szCs w:val="24"/>
        </w:rPr>
        <w:t>2013-14</w:t>
      </w:r>
      <w:r w:rsidR="00460371" w:rsidRPr="00704036">
        <w:rPr>
          <w:rFonts w:eastAsia="Calibri" w:cstheme="minorHAnsi"/>
          <w:szCs w:val="24"/>
        </w:rPr>
        <w:t xml:space="preserve"> cost model itself is equalised against </w:t>
      </w:r>
      <w:r w:rsidR="005254A3" w:rsidRPr="00704036">
        <w:rPr>
          <w:rFonts w:eastAsia="Calibri" w:cstheme="minorHAnsi"/>
          <w:szCs w:val="24"/>
        </w:rPr>
        <w:t>2013-14</w:t>
      </w:r>
      <w:r w:rsidR="00460371" w:rsidRPr="00704036">
        <w:rPr>
          <w:rFonts w:eastAsia="Calibri" w:cstheme="minorHAnsi"/>
          <w:szCs w:val="24"/>
        </w:rPr>
        <w:t xml:space="preserve"> actual costs, the scaling factor for </w:t>
      </w:r>
      <w:r w:rsidR="005254A3" w:rsidRPr="00704036">
        <w:rPr>
          <w:rFonts w:eastAsia="Calibri" w:cstheme="minorHAnsi"/>
          <w:szCs w:val="24"/>
        </w:rPr>
        <w:t>2013-14</w:t>
      </w:r>
      <w:r w:rsidR="00460371" w:rsidRPr="00704036">
        <w:rPr>
          <w:rFonts w:eastAsia="Calibri" w:cstheme="minorHAnsi"/>
          <w:szCs w:val="24"/>
        </w:rPr>
        <w:t xml:space="preserve"> is equal to 1 (i.e. no scaling required). Going back through the prior </w:t>
      </w:r>
      <w:r w:rsidR="006C7A18">
        <w:rPr>
          <w:rFonts w:eastAsia="Calibri" w:cstheme="minorHAnsi"/>
          <w:szCs w:val="24"/>
        </w:rPr>
        <w:t>five</w:t>
      </w:r>
      <w:r w:rsidR="006C7A18" w:rsidRPr="00704036">
        <w:rPr>
          <w:rFonts w:eastAsia="Calibri" w:cstheme="minorHAnsi"/>
          <w:szCs w:val="24"/>
        </w:rPr>
        <w:t xml:space="preserve"> </w:t>
      </w:r>
      <w:r w:rsidR="00460371" w:rsidRPr="00704036">
        <w:rPr>
          <w:rFonts w:eastAsia="Calibri" w:cstheme="minorHAnsi"/>
          <w:szCs w:val="24"/>
        </w:rPr>
        <w:t>years of cost data, scaling factors of less than 1 are required to deflate the modelled costs down to the level of the actual costs. This time series of scaling factors</w:t>
      </w:r>
    </w:p>
    <w:p w:rsidR="00053234" w:rsidRPr="00704036" w:rsidRDefault="00053234" w:rsidP="00AD4FFC">
      <w:pPr>
        <w:spacing w:before="100" w:beforeAutospacing="1" w:after="100" w:afterAutospacing="1"/>
        <w:jc w:val="center"/>
        <w:rPr>
          <w:rFonts w:eastAsia="Calibri" w:cstheme="minorHAnsi"/>
          <w:szCs w:val="24"/>
        </w:rPr>
      </w:pPr>
      <w:proofErr w:type="gramStart"/>
      <w:r w:rsidRPr="00704036">
        <w:rPr>
          <w:rFonts w:eastAsia="Calibri" w:cstheme="minorHAnsi"/>
          <w:i/>
          <w:szCs w:val="24"/>
        </w:rPr>
        <w:t>s</w:t>
      </w:r>
      <w:r w:rsidR="005254A3" w:rsidRPr="00704036">
        <w:rPr>
          <w:rFonts w:eastAsia="Calibri" w:cstheme="minorHAnsi"/>
          <w:i/>
          <w:szCs w:val="24"/>
          <w:vertAlign w:val="subscript"/>
        </w:rPr>
        <w:t>200</w:t>
      </w:r>
      <w:r w:rsidR="006C7A18">
        <w:rPr>
          <w:rFonts w:eastAsia="Calibri" w:cstheme="minorHAnsi"/>
          <w:i/>
          <w:szCs w:val="24"/>
          <w:vertAlign w:val="subscript"/>
        </w:rPr>
        <w:t>8</w:t>
      </w:r>
      <w:r w:rsidR="005254A3" w:rsidRPr="00704036">
        <w:rPr>
          <w:rFonts w:eastAsia="Calibri" w:cstheme="minorHAnsi"/>
          <w:i/>
          <w:szCs w:val="24"/>
          <w:vertAlign w:val="subscript"/>
        </w:rPr>
        <w:t>-</w:t>
      </w:r>
      <w:r w:rsidR="006C7A18">
        <w:rPr>
          <w:rFonts w:eastAsia="Calibri" w:cstheme="minorHAnsi"/>
          <w:i/>
          <w:szCs w:val="24"/>
          <w:vertAlign w:val="subscript"/>
        </w:rPr>
        <w:t>09</w:t>
      </w:r>
      <w:proofErr w:type="gramEnd"/>
      <w:r w:rsidRPr="00704036">
        <w:rPr>
          <w:rFonts w:eastAsia="Calibri" w:cstheme="minorHAnsi"/>
          <w:szCs w:val="24"/>
        </w:rPr>
        <w:t xml:space="preserve"> </w:t>
      </w:r>
      <w:r w:rsidRPr="00704036">
        <w:rPr>
          <w:rFonts w:eastAsia="Calibri" w:cstheme="minorHAnsi"/>
          <w:szCs w:val="24"/>
        </w:rPr>
        <w:sym w:font="Wingdings" w:char="F0E0"/>
      </w:r>
      <w:r w:rsidRPr="00704036">
        <w:rPr>
          <w:rFonts w:eastAsia="Calibri" w:cstheme="minorHAnsi"/>
          <w:szCs w:val="24"/>
        </w:rPr>
        <w:t xml:space="preserve"> </w:t>
      </w:r>
      <w:r w:rsidRPr="00704036">
        <w:rPr>
          <w:rFonts w:eastAsia="Calibri" w:cstheme="minorHAnsi"/>
          <w:b/>
          <w:szCs w:val="24"/>
        </w:rPr>
        <w:t>…</w:t>
      </w:r>
      <w:r w:rsidRPr="00704036">
        <w:rPr>
          <w:rFonts w:eastAsia="Calibri" w:cstheme="minorHAnsi"/>
          <w:szCs w:val="24"/>
        </w:rPr>
        <w:t xml:space="preserve"> </w:t>
      </w:r>
      <w:r w:rsidRPr="00704036">
        <w:rPr>
          <w:rFonts w:eastAsia="Calibri" w:cstheme="minorHAnsi"/>
          <w:szCs w:val="24"/>
        </w:rPr>
        <w:sym w:font="Wingdings" w:char="F0E0"/>
      </w:r>
      <w:r w:rsidRPr="00704036">
        <w:rPr>
          <w:rFonts w:eastAsia="Calibri" w:cstheme="minorHAnsi"/>
          <w:szCs w:val="24"/>
        </w:rPr>
        <w:t xml:space="preserve"> </w:t>
      </w:r>
      <w:r w:rsidRPr="00704036">
        <w:rPr>
          <w:rFonts w:eastAsia="Calibri" w:cstheme="minorHAnsi"/>
          <w:i/>
          <w:szCs w:val="24"/>
        </w:rPr>
        <w:t>s</w:t>
      </w:r>
      <w:r w:rsidR="005254A3" w:rsidRPr="00704036">
        <w:rPr>
          <w:rFonts w:eastAsia="Calibri" w:cstheme="minorHAnsi"/>
          <w:i/>
          <w:szCs w:val="24"/>
          <w:vertAlign w:val="subscript"/>
        </w:rPr>
        <w:t>2013-14</w:t>
      </w:r>
    </w:p>
    <w:p w:rsidR="00460371" w:rsidRPr="00704036" w:rsidRDefault="00460371" w:rsidP="000539FD">
      <w:pPr>
        <w:spacing w:before="100" w:beforeAutospacing="1" w:after="100" w:afterAutospacing="1"/>
        <w:ind w:left="851"/>
        <w:rPr>
          <w:rFonts w:eastAsia="Calibri" w:cstheme="minorHAnsi"/>
          <w:szCs w:val="24"/>
        </w:rPr>
      </w:pPr>
      <w:proofErr w:type="gramStart"/>
      <w:r w:rsidRPr="00704036">
        <w:rPr>
          <w:rFonts w:eastAsia="Calibri" w:cstheme="minorHAnsi"/>
          <w:szCs w:val="24"/>
        </w:rPr>
        <w:t>is</w:t>
      </w:r>
      <w:proofErr w:type="gramEnd"/>
      <w:r w:rsidRPr="00704036">
        <w:rPr>
          <w:rFonts w:eastAsia="Calibri" w:cstheme="minorHAnsi"/>
          <w:szCs w:val="24"/>
        </w:rPr>
        <w:t xml:space="preserve"> then used to model an annual scaling factor, denoted </w:t>
      </w:r>
      <w:r w:rsidRPr="00704036">
        <w:rPr>
          <w:rFonts w:eastAsia="Calibri" w:cstheme="minorHAnsi"/>
          <w:i/>
          <w:szCs w:val="24"/>
        </w:rPr>
        <w:t>s</w:t>
      </w:r>
      <w:r w:rsidRPr="00704036">
        <w:rPr>
          <w:rFonts w:eastAsia="Calibri" w:cstheme="minorHAnsi"/>
          <w:szCs w:val="24"/>
        </w:rPr>
        <w:t xml:space="preserve">, which would inflate the </w:t>
      </w:r>
      <w:r w:rsidR="005254A3" w:rsidRPr="00704036">
        <w:rPr>
          <w:rFonts w:eastAsia="Calibri" w:cstheme="minorHAnsi"/>
          <w:szCs w:val="24"/>
        </w:rPr>
        <w:t>2013-14</w:t>
      </w:r>
      <w:r w:rsidRPr="00704036">
        <w:rPr>
          <w:rFonts w:eastAsia="Calibri" w:cstheme="minorHAnsi"/>
          <w:szCs w:val="24"/>
        </w:rPr>
        <w:t xml:space="preserve"> cost model up to </w:t>
      </w:r>
      <w:r w:rsidR="00384C96" w:rsidRPr="00704036">
        <w:rPr>
          <w:rFonts w:eastAsia="Calibri" w:cstheme="minorHAnsi"/>
          <w:szCs w:val="24"/>
        </w:rPr>
        <w:t>2016-17</w:t>
      </w:r>
      <w:r w:rsidRPr="00704036">
        <w:rPr>
          <w:rFonts w:eastAsia="Calibri" w:cstheme="minorHAnsi"/>
          <w:szCs w:val="24"/>
        </w:rPr>
        <w:t xml:space="preserve"> projected actual costs. The indexation rate is then based on this annual scaling factor.</w:t>
      </w:r>
    </w:p>
    <w:p w:rsidR="000B14F1" w:rsidRPr="00704036" w:rsidRDefault="00053234" w:rsidP="000B14F1">
      <w:pPr>
        <w:spacing w:before="100" w:beforeAutospacing="1" w:after="100" w:afterAutospacing="1"/>
        <w:rPr>
          <w:rFonts w:eastAsia="Calibri" w:cstheme="minorHAnsi"/>
          <w:szCs w:val="24"/>
        </w:rPr>
      </w:pPr>
      <w:r w:rsidRPr="00704036">
        <w:rPr>
          <w:rFonts w:eastAsia="Calibri" w:cstheme="minorHAnsi"/>
          <w:szCs w:val="24"/>
        </w:rPr>
        <w:t>Figure 3</w:t>
      </w:r>
      <w:r w:rsidR="00460371" w:rsidRPr="00704036">
        <w:rPr>
          <w:rFonts w:eastAsia="Calibri" w:cstheme="minorHAnsi"/>
          <w:szCs w:val="24"/>
        </w:rPr>
        <w:t xml:space="preserve"> also illustrates the projected annual scaling factor </w:t>
      </w:r>
      <w:r w:rsidR="00460371" w:rsidRPr="00704036">
        <w:rPr>
          <w:rFonts w:eastAsia="Calibri" w:cstheme="minorHAnsi"/>
          <w:i/>
          <w:szCs w:val="24"/>
        </w:rPr>
        <w:t>s</w:t>
      </w:r>
      <w:r w:rsidR="00460371" w:rsidRPr="00704036">
        <w:rPr>
          <w:rFonts w:eastAsia="Calibri" w:cstheme="minorHAnsi"/>
          <w:szCs w:val="24"/>
        </w:rPr>
        <w:t xml:space="preserve"> together with projected actual and model costs. The </w:t>
      </w:r>
      <w:r w:rsidR="00384C96" w:rsidRPr="00704036">
        <w:rPr>
          <w:rFonts w:eastAsia="Calibri" w:cstheme="minorHAnsi"/>
          <w:szCs w:val="24"/>
        </w:rPr>
        <w:t>2016-17</w:t>
      </w:r>
      <w:r w:rsidR="00460371" w:rsidRPr="00704036">
        <w:rPr>
          <w:rFonts w:eastAsia="Calibri" w:cstheme="minorHAnsi"/>
          <w:szCs w:val="24"/>
        </w:rPr>
        <w:t xml:space="preserve"> projected scaling factor of </w:t>
      </w:r>
      <w:r w:rsidR="00460371" w:rsidRPr="00704036">
        <w:rPr>
          <w:rFonts w:eastAsia="Calibri" w:cstheme="minorHAnsi"/>
          <w:i/>
          <w:szCs w:val="24"/>
        </w:rPr>
        <w:t>s</w:t>
      </w:r>
      <w:r w:rsidR="00460371" w:rsidRPr="00704036">
        <w:rPr>
          <w:rFonts w:eastAsia="Calibri" w:cstheme="minorHAnsi"/>
          <w:i/>
          <w:szCs w:val="24"/>
          <w:vertAlign w:val="superscript"/>
        </w:rPr>
        <w:t>3</w:t>
      </w:r>
      <w:r w:rsidR="00460371" w:rsidRPr="00704036">
        <w:rPr>
          <w:rFonts w:eastAsia="Calibri" w:cstheme="minorHAnsi"/>
          <w:szCs w:val="24"/>
        </w:rPr>
        <w:t xml:space="preserve"> is pictured alongside projected actual and model costs to illustrate that the </w:t>
      </w:r>
      <w:r w:rsidR="005254A3" w:rsidRPr="00704036">
        <w:rPr>
          <w:rFonts w:eastAsia="Calibri" w:cstheme="minorHAnsi"/>
          <w:szCs w:val="24"/>
        </w:rPr>
        <w:t>2013-14</w:t>
      </w:r>
      <w:r w:rsidR="00460371" w:rsidRPr="00704036">
        <w:rPr>
          <w:rFonts w:eastAsia="Calibri" w:cstheme="minorHAnsi"/>
          <w:szCs w:val="24"/>
        </w:rPr>
        <w:t xml:space="preserve"> cost model would require scaling by </w:t>
      </w:r>
      <w:r w:rsidR="00460371" w:rsidRPr="00704036">
        <w:rPr>
          <w:rFonts w:eastAsia="Calibri" w:cstheme="minorHAnsi"/>
          <w:i/>
          <w:szCs w:val="24"/>
        </w:rPr>
        <w:t>s</w:t>
      </w:r>
      <w:r w:rsidR="00460371" w:rsidRPr="00704036">
        <w:rPr>
          <w:rFonts w:eastAsia="Calibri" w:cstheme="minorHAnsi"/>
          <w:i/>
          <w:szCs w:val="24"/>
          <w:vertAlign w:val="superscript"/>
        </w:rPr>
        <w:t>3</w:t>
      </w:r>
      <w:r w:rsidR="00460371" w:rsidRPr="00704036">
        <w:rPr>
          <w:rFonts w:eastAsia="Calibri" w:cstheme="minorHAnsi"/>
          <w:szCs w:val="24"/>
        </w:rPr>
        <w:t xml:space="preserve"> to ensure that the resulting ‘</w:t>
      </w:r>
      <w:r w:rsidR="00460371" w:rsidRPr="00704036">
        <w:rPr>
          <w:rFonts w:eastAsia="Calibri" w:cstheme="minorHAnsi"/>
          <w:i/>
          <w:szCs w:val="24"/>
        </w:rPr>
        <w:t>s</w:t>
      </w:r>
      <w:r w:rsidR="00460371" w:rsidRPr="00704036">
        <w:rPr>
          <w:rFonts w:eastAsia="Calibri" w:cstheme="minorHAnsi"/>
          <w:i/>
          <w:szCs w:val="24"/>
          <w:vertAlign w:val="superscript"/>
        </w:rPr>
        <w:t>3</w:t>
      </w:r>
      <w:r w:rsidR="00460371" w:rsidRPr="00704036">
        <w:rPr>
          <w:rFonts w:eastAsia="Calibri" w:cstheme="minorHAnsi"/>
          <w:szCs w:val="24"/>
        </w:rPr>
        <w:t xml:space="preserve">-scaled </w:t>
      </w:r>
      <w:r w:rsidR="005254A3" w:rsidRPr="00704036">
        <w:rPr>
          <w:rFonts w:eastAsia="Calibri" w:cstheme="minorHAnsi"/>
          <w:szCs w:val="24"/>
        </w:rPr>
        <w:t>2013-14</w:t>
      </w:r>
      <w:r w:rsidR="00460371" w:rsidRPr="00704036">
        <w:rPr>
          <w:rFonts w:eastAsia="Calibri" w:cstheme="minorHAnsi"/>
          <w:szCs w:val="24"/>
        </w:rPr>
        <w:t xml:space="preserve"> cost model’, when applied to </w:t>
      </w:r>
      <w:r w:rsidR="00384C96" w:rsidRPr="00704036">
        <w:rPr>
          <w:rFonts w:eastAsia="Calibri" w:cstheme="minorHAnsi"/>
          <w:szCs w:val="24"/>
        </w:rPr>
        <w:t>2016-17</w:t>
      </w:r>
      <w:r w:rsidR="00460371" w:rsidRPr="00704036">
        <w:rPr>
          <w:rFonts w:eastAsia="Calibri" w:cstheme="minorHAnsi"/>
          <w:szCs w:val="24"/>
        </w:rPr>
        <w:t xml:space="preserve"> patient costed activity, would estimate the actual costs of the activity.</w:t>
      </w:r>
      <w:bookmarkStart w:id="482" w:name="_Ref351020948"/>
      <w:r w:rsidR="0043129A" w:rsidRPr="00704036">
        <w:rPr>
          <w:rFonts w:eastAsia="Calibri" w:cstheme="minorHAnsi"/>
          <w:szCs w:val="24"/>
        </w:rPr>
        <w:t xml:space="preserve"> </w:t>
      </w:r>
    </w:p>
    <w:p w:rsidR="00ED6E3D" w:rsidRDefault="00460371" w:rsidP="00E33EAE">
      <w:pPr>
        <w:spacing w:before="100" w:beforeAutospacing="1" w:after="100" w:afterAutospacing="1"/>
        <w:rPr>
          <w:rFonts w:eastAsia="Calibri" w:cstheme="minorHAnsi"/>
          <w:szCs w:val="24"/>
        </w:rPr>
      </w:pPr>
      <w:r w:rsidRPr="00704036">
        <w:rPr>
          <w:rFonts w:eastAsia="Calibri" w:cstheme="minorHAnsi"/>
          <w:b/>
          <w:bCs/>
          <w:sz w:val="20"/>
        </w:rPr>
        <w:t xml:space="preserve">Figure </w:t>
      </w:r>
      <w:bookmarkEnd w:id="482"/>
      <w:r w:rsidR="009330A3" w:rsidRPr="00704036">
        <w:rPr>
          <w:rFonts w:eastAsia="Calibri" w:cstheme="minorHAnsi"/>
          <w:b/>
          <w:bCs/>
          <w:sz w:val="20"/>
        </w:rPr>
        <w:t>3</w:t>
      </w:r>
      <w:r w:rsidRPr="00704036">
        <w:rPr>
          <w:rFonts w:eastAsia="Calibri" w:cstheme="minorHAnsi"/>
          <w:b/>
          <w:bCs/>
          <w:sz w:val="20"/>
        </w:rPr>
        <w:t>: Illustration of scaling factors required to equalise model and actual costs</w:t>
      </w:r>
    </w:p>
    <w:p w:rsidR="00374D3A" w:rsidRPr="00704036" w:rsidRDefault="00ED6E3D" w:rsidP="00E33EAE">
      <w:pPr>
        <w:spacing w:before="100" w:beforeAutospacing="1" w:after="100" w:afterAutospacing="1"/>
        <w:jc w:val="center"/>
        <w:rPr>
          <w:rFonts w:ascii="Arial" w:eastAsia="Calibri" w:hAnsi="Arial" w:cs="Arial"/>
          <w:sz w:val="18"/>
          <w:szCs w:val="24"/>
        </w:rPr>
      </w:pPr>
      <w:r w:rsidRPr="00767441">
        <w:rPr>
          <w:rFonts w:ascii="Calibri" w:eastAsia="Calibri" w:hAnsi="Calibri"/>
          <w:noProof/>
          <w:sz w:val="24"/>
          <w:lang w:eastAsia="en-AU"/>
        </w:rPr>
        <mc:AlternateContent>
          <mc:Choice Requires="wpc">
            <w:drawing>
              <wp:inline distT="0" distB="0" distL="0" distR="0" wp14:anchorId="28FE0677" wp14:editId="344AD5CD">
                <wp:extent cx="4857750" cy="3371850"/>
                <wp:effectExtent l="0" t="0" r="19050" b="19050"/>
                <wp:docPr id="179" name="Canvas 179" descr="A summary of Figure 3 is outlined in the text prior to this figure. "/>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0" name="Rectangle 19"/>
                        <wps:cNvSpPr/>
                        <wps:spPr>
                          <a:xfrm>
                            <a:off x="555070" y="1755249"/>
                            <a:ext cx="166254" cy="504173"/>
                          </a:xfrm>
                          <a:prstGeom prst="rect">
                            <a:avLst/>
                          </a:prstGeom>
                          <a:solidFill>
                            <a:srgbClr val="9BBB59">
                              <a:lumMod val="75000"/>
                            </a:srgbClr>
                          </a:solidFill>
                          <a:ln w="127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20"/>
                        <wps:cNvSpPr/>
                        <wps:spPr>
                          <a:xfrm>
                            <a:off x="721324" y="1470067"/>
                            <a:ext cx="165735" cy="789356"/>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rsidR="00FE788C" w:rsidRDefault="00FE788C" w:rsidP="00ED6E3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Arrow Connector 21"/>
                        <wps:cNvCnPr/>
                        <wps:spPr>
                          <a:xfrm>
                            <a:off x="634583" y="1470067"/>
                            <a:ext cx="0" cy="285182"/>
                          </a:xfrm>
                          <a:prstGeom prst="straightConnector1">
                            <a:avLst/>
                          </a:prstGeom>
                          <a:noFill/>
                          <a:ln w="9525" cap="flat" cmpd="sng" algn="ctr">
                            <a:solidFill>
                              <a:sysClr val="windowText" lastClr="000000"/>
                            </a:solidFill>
                            <a:prstDash val="solid"/>
                            <a:tailEnd type="arrow" w="sm" len="sm"/>
                          </a:ln>
                          <a:effectLst/>
                        </wps:spPr>
                        <wps:bodyPr/>
                      </wps:wsp>
                      <wps:wsp>
                        <wps:cNvPr id="17" name="Oval 22"/>
                        <wps:cNvSpPr/>
                        <wps:spPr>
                          <a:xfrm>
                            <a:off x="1110006" y="1881684"/>
                            <a:ext cx="45719" cy="45719"/>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23"/>
                        <wps:cNvSpPr/>
                        <wps:spPr>
                          <a:xfrm>
                            <a:off x="1317836" y="1882318"/>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FE788C" w:rsidRDefault="00FE788C" w:rsidP="00ED6E3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Oval 24"/>
                        <wps:cNvSpPr/>
                        <wps:spPr>
                          <a:xfrm>
                            <a:off x="1524570" y="1881684"/>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FE788C" w:rsidRDefault="00FE788C" w:rsidP="00ED6E3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Text Box 11"/>
                        <wps:cNvSpPr txBox="1"/>
                        <wps:spPr>
                          <a:xfrm>
                            <a:off x="1204280" y="1151787"/>
                            <a:ext cx="699035" cy="298450"/>
                          </a:xfrm>
                          <a:prstGeom prst="rect">
                            <a:avLst/>
                          </a:prstGeom>
                          <a:noFill/>
                          <a:ln w="6350">
                            <a:noFill/>
                          </a:ln>
                          <a:effectLst/>
                        </wps:spPr>
                        <wps:txbx>
                          <w:txbxContent>
                            <w:p w:rsidR="00FE788C" w:rsidRPr="00490D61" w:rsidRDefault="00FE788C" w:rsidP="00ED6E3D">
                              <w:pPr>
                                <w:pStyle w:val="NormalWeb"/>
                                <w:spacing w:before="0" w:after="200" w:line="276" w:lineRule="auto"/>
                                <w:rPr>
                                  <w:rFonts w:asciiTheme="minorHAnsi" w:hAnsiTheme="minorHAnsi"/>
                                </w:rPr>
                              </w:pPr>
                              <w:r w:rsidRPr="008916CD">
                                <w:rPr>
                                  <w:rFonts w:asciiTheme="minorHAnsi" w:hAnsiTheme="minorHAnsi"/>
                                  <w:i/>
                                  <w:vertAlign w:val="superscript"/>
                                </w:rPr>
                                <w:t>S</w:t>
                              </w:r>
                              <w:r w:rsidRPr="008916CD">
                                <w:rPr>
                                  <w:rFonts w:asciiTheme="minorHAnsi" w:hAnsiTheme="minorHAnsi"/>
                                  <w:vertAlign w:val="subscript"/>
                                </w:rPr>
                                <w:t>201</w:t>
                              </w:r>
                              <w:r>
                                <w:rPr>
                                  <w:rFonts w:asciiTheme="minorHAnsi" w:hAnsiTheme="minorHAnsi"/>
                                  <w:vertAlign w:val="subscript"/>
                                </w:rPr>
                                <w:t>2</w:t>
                              </w:r>
                              <w:r w:rsidRPr="008916CD">
                                <w:rPr>
                                  <w:rFonts w:asciiTheme="minorHAnsi" w:hAnsiTheme="minorHAnsi"/>
                                  <w:vertAlign w:val="subscript"/>
                                </w:rPr>
                                <w:t>-1</w:t>
                              </w:r>
                              <w:r>
                                <w:rPr>
                                  <w:rFonts w:asciiTheme="minorHAnsi" w:hAnsiTheme="minorHAnsi"/>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Rectangle 26"/>
                        <wps:cNvSpPr/>
                        <wps:spPr>
                          <a:xfrm>
                            <a:off x="1756345" y="1404607"/>
                            <a:ext cx="165735" cy="854182"/>
                          </a:xfrm>
                          <a:prstGeom prst="rect">
                            <a:avLst/>
                          </a:prstGeom>
                          <a:solidFill>
                            <a:srgbClr val="9BBB59">
                              <a:lumMod val="75000"/>
                            </a:srgbClr>
                          </a:solidFill>
                          <a:ln w="12700" cap="flat" cmpd="sng" algn="ctr">
                            <a:solidFill>
                              <a:srgbClr val="9BBB59">
                                <a:lumMod val="50000"/>
                              </a:srgbClr>
                            </a:solidFill>
                            <a:prstDash val="solid"/>
                          </a:ln>
                          <a:effectLst/>
                        </wps:spPr>
                        <wps:txbx>
                          <w:txbxContent>
                            <w:p w:rsidR="00FE788C" w:rsidRDefault="00FE788C" w:rsidP="00ED6E3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27"/>
                        <wps:cNvSpPr/>
                        <wps:spPr>
                          <a:xfrm>
                            <a:off x="1922715" y="1293288"/>
                            <a:ext cx="165735" cy="966136"/>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Straight Arrow Connector 28"/>
                        <wps:cNvCnPr/>
                        <wps:spPr>
                          <a:xfrm>
                            <a:off x="1835720" y="1293288"/>
                            <a:ext cx="0" cy="108081"/>
                          </a:xfrm>
                          <a:prstGeom prst="straightConnector1">
                            <a:avLst/>
                          </a:prstGeom>
                          <a:noFill/>
                          <a:ln w="9525" cap="flat" cmpd="sng" algn="ctr">
                            <a:solidFill>
                              <a:sysClr val="windowText" lastClr="000000"/>
                            </a:solidFill>
                            <a:prstDash val="solid"/>
                            <a:tailEnd type="arrow" w="sm" len="sm"/>
                          </a:ln>
                          <a:effectLst/>
                        </wps:spPr>
                        <wps:bodyPr/>
                      </wps:wsp>
                      <wps:wsp>
                        <wps:cNvPr id="61" name="Text Box 11"/>
                        <wps:cNvSpPr txBox="1"/>
                        <wps:spPr>
                          <a:xfrm>
                            <a:off x="1922715" y="891747"/>
                            <a:ext cx="1096989" cy="298450"/>
                          </a:xfrm>
                          <a:prstGeom prst="rect">
                            <a:avLst/>
                          </a:prstGeom>
                          <a:noFill/>
                          <a:ln w="6350">
                            <a:noFill/>
                          </a:ln>
                          <a:effectLst/>
                        </wps:spPr>
                        <wps:txbx>
                          <w:txbxContent>
                            <w:p w:rsidR="00FE788C" w:rsidRPr="008916CD" w:rsidRDefault="00FE788C" w:rsidP="00ED6E3D">
                              <w:pPr>
                                <w:pStyle w:val="NormalWeb"/>
                                <w:spacing w:before="0" w:after="200" w:line="276" w:lineRule="auto"/>
                                <w:jc w:val="center"/>
                                <w:rPr>
                                  <w:rFonts w:asciiTheme="minorHAnsi" w:hAnsiTheme="minorHAnsi"/>
                                  <w:vertAlign w:val="subscript"/>
                                </w:rPr>
                              </w:pPr>
                              <w:r w:rsidRPr="008916CD">
                                <w:rPr>
                                  <w:rFonts w:asciiTheme="minorHAnsi" w:hAnsiTheme="minorHAnsi"/>
                                  <w:i/>
                                  <w:vertAlign w:val="superscript"/>
                                </w:rPr>
                                <w:t>S</w:t>
                              </w:r>
                              <w:r w:rsidRPr="008916CD">
                                <w:rPr>
                                  <w:rFonts w:asciiTheme="minorHAnsi" w:hAnsiTheme="minorHAnsi"/>
                                  <w:vertAlign w:val="subscript"/>
                                </w:rPr>
                                <w:t>201</w:t>
                              </w:r>
                              <w:r>
                                <w:rPr>
                                  <w:rFonts w:asciiTheme="minorHAnsi" w:hAnsiTheme="minorHAnsi"/>
                                  <w:vertAlign w:val="subscript"/>
                                </w:rPr>
                                <w:t>3</w:t>
                              </w:r>
                              <w:r w:rsidRPr="008916CD">
                                <w:rPr>
                                  <w:rFonts w:asciiTheme="minorHAnsi" w:hAnsiTheme="minorHAnsi"/>
                                  <w:vertAlign w:val="subscript"/>
                                </w:rPr>
                                <w:t>-1</w:t>
                              </w:r>
                              <w:r>
                                <w:rPr>
                                  <w:rFonts w:asciiTheme="minorHAnsi" w:hAnsiTheme="minorHAnsi"/>
                                  <w:vertAlign w:val="subscript"/>
                                </w:rPr>
                                <w:t>4</w:t>
                              </w:r>
                              <w:r w:rsidRPr="008916CD">
                                <w:rPr>
                                  <w:rFonts w:asciiTheme="minorHAnsi" w:hAnsiTheme="minorHAnsi"/>
                                  <w:vertAlign w:val="subscript"/>
                                </w:rPr>
                                <w:t xml:space="preserve"> </w:t>
                              </w:r>
                              <w:r w:rsidRPr="008916CD">
                                <w:rPr>
                                  <w:rFonts w:asciiTheme="minorHAnsi" w:hAnsiTheme="minorHAnsi"/>
                                </w:rPr>
                                <w:t>= 1</w:t>
                              </w:r>
                            </w:p>
                            <w:p w:rsidR="00FE788C" w:rsidRPr="00490D61" w:rsidRDefault="00FE788C" w:rsidP="00ED6E3D">
                              <w:pPr>
                                <w:pStyle w:val="NormalWeb"/>
                                <w:spacing w:before="0" w:after="200" w:line="276" w:lineRule="auto"/>
                                <w:rPr>
                                  <w:rFonts w:asciiTheme="minorHAnsi" w:hAnsi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Rectangle 30"/>
                        <wps:cNvSpPr/>
                        <wps:spPr>
                          <a:xfrm>
                            <a:off x="2377694" y="1155763"/>
                            <a:ext cx="165735" cy="1111105"/>
                          </a:xfrm>
                          <a:prstGeom prst="rect">
                            <a:avLst/>
                          </a:prstGeom>
                          <a:solidFill>
                            <a:srgbClr val="9BBB59">
                              <a:lumMod val="75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31"/>
                        <wps:cNvSpPr/>
                        <wps:spPr>
                          <a:xfrm>
                            <a:off x="2544064" y="1155763"/>
                            <a:ext cx="165735" cy="1111105"/>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Text Box 11"/>
                        <wps:cNvSpPr txBox="1"/>
                        <wps:spPr>
                          <a:xfrm>
                            <a:off x="3257600" y="802291"/>
                            <a:ext cx="257736" cy="320034"/>
                          </a:xfrm>
                          <a:prstGeom prst="rect">
                            <a:avLst/>
                          </a:prstGeom>
                          <a:noFill/>
                          <a:ln w="6350">
                            <a:noFill/>
                          </a:ln>
                          <a:effectLst/>
                        </wps:spPr>
                        <wps:txbx>
                          <w:txbxContent>
                            <w:p w:rsidR="00FE788C" w:rsidRPr="00C034B3" w:rsidRDefault="00FE788C" w:rsidP="00ED6E3D">
                              <w:pPr>
                                <w:pStyle w:val="NormalWeb"/>
                                <w:spacing w:before="0" w:after="200" w:line="276" w:lineRule="auto"/>
                                <w:rPr>
                                  <w:rFonts w:asciiTheme="minorHAnsi" w:hAnsiTheme="minorHAnsi"/>
                                  <w:vertAlign w:val="subscript"/>
                                </w:rPr>
                              </w:pPr>
                              <w:r w:rsidRPr="00C034B3">
                                <w:rPr>
                                  <w:rFonts w:asciiTheme="minorHAnsi" w:hAnsiTheme="minorHAnsi"/>
                                  <w:vertAlign w:val="subscript"/>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Rectangle 33"/>
                        <wps:cNvSpPr/>
                        <wps:spPr>
                          <a:xfrm>
                            <a:off x="3019705" y="923552"/>
                            <a:ext cx="165735" cy="1342173"/>
                          </a:xfrm>
                          <a:prstGeom prst="rect">
                            <a:avLst/>
                          </a:prstGeom>
                          <a:solidFill>
                            <a:srgbClr val="9BBB59">
                              <a:lumMod val="75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34"/>
                        <wps:cNvSpPr/>
                        <wps:spPr>
                          <a:xfrm>
                            <a:off x="3180137" y="1031502"/>
                            <a:ext cx="165735" cy="1234223"/>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Straight Arrow Connector 35"/>
                        <wps:cNvCnPr/>
                        <wps:spPr>
                          <a:xfrm>
                            <a:off x="3266109" y="923552"/>
                            <a:ext cx="0" cy="107950"/>
                          </a:xfrm>
                          <a:prstGeom prst="straightConnector1">
                            <a:avLst/>
                          </a:prstGeom>
                          <a:noFill/>
                          <a:ln w="9525" cap="flat" cmpd="sng" algn="ctr">
                            <a:solidFill>
                              <a:sysClr val="windowText" lastClr="000000"/>
                            </a:solidFill>
                            <a:prstDash val="solid"/>
                            <a:headEnd type="arrow" w="sm" len="sm"/>
                            <a:tailEnd type="none" w="sm" len="sm"/>
                          </a:ln>
                          <a:effectLst/>
                        </wps:spPr>
                        <wps:bodyPr/>
                      </wps:wsp>
                      <wps:wsp>
                        <wps:cNvPr id="68" name="Text Box 11"/>
                        <wps:cNvSpPr txBox="1"/>
                        <wps:spPr>
                          <a:xfrm>
                            <a:off x="3870569" y="593469"/>
                            <a:ext cx="420221" cy="298122"/>
                          </a:xfrm>
                          <a:prstGeom prst="rect">
                            <a:avLst/>
                          </a:prstGeom>
                          <a:noFill/>
                          <a:ln w="6350">
                            <a:noFill/>
                          </a:ln>
                          <a:effectLst/>
                        </wps:spPr>
                        <wps:txbx>
                          <w:txbxContent>
                            <w:p w:rsidR="00FE788C" w:rsidRPr="00C034B3" w:rsidRDefault="00FE788C" w:rsidP="00ED6E3D">
                              <w:pPr>
                                <w:pStyle w:val="NormalWeb"/>
                                <w:spacing w:before="0" w:after="200" w:line="276" w:lineRule="auto"/>
                                <w:rPr>
                                  <w:rFonts w:asciiTheme="minorHAnsi" w:hAnsiTheme="minorHAnsi"/>
                                  <w:sz w:val="28"/>
                                  <w:vertAlign w:val="superscript"/>
                                </w:rPr>
                              </w:pPr>
                              <w:r w:rsidRPr="00C034B3">
                                <w:rPr>
                                  <w:rFonts w:asciiTheme="minorHAnsi" w:hAnsiTheme="minorHAnsi"/>
                                  <w:i/>
                                  <w:szCs w:val="18"/>
                                  <w:vertAlign w:val="subscript"/>
                                </w:rPr>
                                <w:t>S</w:t>
                              </w:r>
                              <w:r w:rsidRPr="00C034B3">
                                <w:rPr>
                                  <w:rFonts w:asciiTheme="minorHAnsi" w:hAnsiTheme="minorHAnsi"/>
                                  <w:i/>
                                  <w:szCs w:val="18"/>
                                  <w:vertAlign w:val="super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Rectangle 37"/>
                        <wps:cNvSpPr/>
                        <wps:spPr>
                          <a:xfrm>
                            <a:off x="3660062" y="593573"/>
                            <a:ext cx="165735" cy="1671465"/>
                          </a:xfrm>
                          <a:prstGeom prst="rect">
                            <a:avLst/>
                          </a:prstGeom>
                          <a:solidFill>
                            <a:srgbClr val="9BBB59">
                              <a:lumMod val="75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38"/>
                        <wps:cNvSpPr/>
                        <wps:spPr>
                          <a:xfrm>
                            <a:off x="3826432" y="831843"/>
                            <a:ext cx="165735" cy="1433195"/>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Straight Arrow Connector 39"/>
                        <wps:cNvCnPr/>
                        <wps:spPr>
                          <a:xfrm flipH="1">
                            <a:off x="3918507" y="601227"/>
                            <a:ext cx="1" cy="230616"/>
                          </a:xfrm>
                          <a:prstGeom prst="straightConnector1">
                            <a:avLst/>
                          </a:prstGeom>
                          <a:noFill/>
                          <a:ln w="9525" cap="flat" cmpd="sng" algn="ctr">
                            <a:solidFill>
                              <a:sysClr val="windowText" lastClr="000000"/>
                            </a:solidFill>
                            <a:prstDash val="solid"/>
                            <a:headEnd type="arrow" w="sm" len="sm"/>
                            <a:tailEnd type="none" w="sm" len="sm"/>
                          </a:ln>
                          <a:effectLst/>
                        </wps:spPr>
                        <wps:bodyPr/>
                      </wps:wsp>
                      <wps:wsp>
                        <wps:cNvPr id="72" name="Text Box 11"/>
                        <wps:cNvSpPr txBox="1"/>
                        <wps:spPr>
                          <a:xfrm>
                            <a:off x="4488610" y="291808"/>
                            <a:ext cx="354482" cy="333540"/>
                          </a:xfrm>
                          <a:prstGeom prst="rect">
                            <a:avLst/>
                          </a:prstGeom>
                          <a:noFill/>
                          <a:ln w="6350">
                            <a:noFill/>
                          </a:ln>
                          <a:effectLst/>
                        </wps:spPr>
                        <wps:txbx>
                          <w:txbxContent>
                            <w:p w:rsidR="00FE788C" w:rsidRPr="00C034B3" w:rsidRDefault="00FE788C" w:rsidP="00ED6E3D">
                              <w:pPr>
                                <w:pStyle w:val="NormalWeb"/>
                                <w:spacing w:before="0" w:after="200" w:line="276" w:lineRule="auto"/>
                                <w:jc w:val="center"/>
                                <w:rPr>
                                  <w:rFonts w:asciiTheme="minorHAnsi" w:hAnsiTheme="minorHAnsi"/>
                                  <w:sz w:val="32"/>
                                  <w:vertAlign w:val="superscript"/>
                                </w:rPr>
                              </w:pPr>
                              <w:r w:rsidRPr="00C034B3">
                                <w:rPr>
                                  <w:rFonts w:asciiTheme="minorHAnsi" w:hAnsiTheme="minorHAnsi"/>
                                  <w:b/>
                                  <w:i/>
                                  <w:szCs w:val="18"/>
                                  <w:vertAlign w:val="subscript"/>
                                </w:rPr>
                                <w:t>S</w:t>
                              </w:r>
                              <w:r w:rsidRPr="00C034B3">
                                <w:rPr>
                                  <w:rFonts w:asciiTheme="minorHAnsi" w:hAnsiTheme="minorHAnsi"/>
                                  <w:i/>
                                  <w:szCs w:val="18"/>
                                  <w:vertAlign w:val="superscript"/>
                                </w:rPr>
                                <w:t>3</w:t>
                              </w:r>
                            </w:p>
                            <w:p w:rsidR="00FE788C" w:rsidRPr="00490D61" w:rsidRDefault="00FE788C" w:rsidP="00ED6E3D">
                              <w:pPr>
                                <w:pStyle w:val="NormalWeb"/>
                                <w:spacing w:before="0" w:after="200" w:line="276" w:lineRule="auto"/>
                                <w:rPr>
                                  <w:rFonts w:asciiTheme="minorHAnsi" w:hAnsiTheme="minorHAnsi"/>
                                  <w:i/>
                                  <w:vertAlign w:val="superscript"/>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Rectangle 41"/>
                        <wps:cNvSpPr/>
                        <wps:spPr>
                          <a:xfrm>
                            <a:off x="4247481" y="251667"/>
                            <a:ext cx="165100" cy="2008146"/>
                          </a:xfrm>
                          <a:prstGeom prst="rect">
                            <a:avLst/>
                          </a:prstGeom>
                          <a:solidFill>
                            <a:srgbClr val="9BBB59">
                              <a:lumMod val="75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42"/>
                        <wps:cNvSpPr/>
                        <wps:spPr>
                          <a:xfrm>
                            <a:off x="4413847" y="625378"/>
                            <a:ext cx="165100" cy="1634435"/>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Straight Arrow Connector 43"/>
                        <wps:cNvCnPr/>
                        <wps:spPr>
                          <a:xfrm>
                            <a:off x="4496243" y="251667"/>
                            <a:ext cx="154" cy="373711"/>
                          </a:xfrm>
                          <a:prstGeom prst="straightConnector1">
                            <a:avLst/>
                          </a:prstGeom>
                          <a:noFill/>
                          <a:ln w="9525" cap="flat" cmpd="sng" algn="ctr">
                            <a:solidFill>
                              <a:sysClr val="windowText" lastClr="000000"/>
                            </a:solidFill>
                            <a:prstDash val="solid"/>
                            <a:headEnd type="arrow" w="sm" len="sm"/>
                            <a:tailEnd type="none" w="sm" len="sm"/>
                          </a:ln>
                          <a:effectLst/>
                        </wps:spPr>
                        <wps:bodyPr/>
                      </wps:wsp>
                      <wps:wsp>
                        <wps:cNvPr id="76" name="Text Box 11"/>
                        <wps:cNvSpPr txBox="1"/>
                        <wps:spPr>
                          <a:xfrm>
                            <a:off x="421611" y="2355488"/>
                            <a:ext cx="609449" cy="241608"/>
                          </a:xfrm>
                          <a:prstGeom prst="rect">
                            <a:avLst/>
                          </a:prstGeom>
                          <a:noFill/>
                          <a:ln w="6350">
                            <a:noFill/>
                          </a:ln>
                          <a:effectLst/>
                        </wps:spPr>
                        <wps:txbx>
                          <w:txbxContent>
                            <w:p w:rsidR="00FE788C" w:rsidRPr="001A297C" w:rsidRDefault="00FE788C" w:rsidP="00ED6E3D">
                              <w:pPr>
                                <w:pStyle w:val="NormalWeb"/>
                                <w:spacing w:before="0" w:after="200" w:line="276" w:lineRule="auto"/>
                                <w:jc w:val="center"/>
                                <w:rPr>
                                  <w:rFonts w:asciiTheme="minorHAnsi" w:hAnsiTheme="minorHAnsi"/>
                                  <w:sz w:val="18"/>
                                  <w:szCs w:val="18"/>
                                </w:rPr>
                              </w:pPr>
                              <w:r>
                                <w:rPr>
                                  <w:rFonts w:asciiTheme="minorHAnsi" w:hAnsiTheme="minorHAnsi"/>
                                  <w:sz w:val="18"/>
                                  <w:szCs w:val="18"/>
                                </w:rPr>
                                <w:t>2008-09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1"/>
                        <wps:cNvSpPr txBox="1"/>
                        <wps:spPr>
                          <a:xfrm>
                            <a:off x="1550200" y="2355401"/>
                            <a:ext cx="759913" cy="241300"/>
                          </a:xfrm>
                          <a:prstGeom prst="rect">
                            <a:avLst/>
                          </a:prstGeom>
                          <a:noFill/>
                          <a:ln w="6350">
                            <a:noFill/>
                          </a:ln>
                          <a:effectLst/>
                        </wps:spPr>
                        <wps:txbx>
                          <w:txbxContent>
                            <w:p w:rsidR="00FE788C" w:rsidRPr="00D9271F" w:rsidRDefault="00FE788C" w:rsidP="00ED6E3D">
                              <w:pPr>
                                <w:pStyle w:val="NormalWeb"/>
                                <w:spacing w:before="0" w:after="200" w:line="276" w:lineRule="auto"/>
                                <w:rPr>
                                  <w:rFonts w:asciiTheme="minorHAnsi" w:hAnsiTheme="minorHAnsi"/>
                                  <w:sz w:val="18"/>
                                </w:rPr>
                              </w:pPr>
                              <w:r>
                                <w:rPr>
                                  <w:rFonts w:asciiTheme="minorHAnsi" w:hAnsiTheme="minorHAnsi"/>
                                  <w:sz w:val="18"/>
                                </w:rPr>
                                <w:t>2012-13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11"/>
                        <wps:cNvSpPr txBox="1"/>
                        <wps:spPr>
                          <a:xfrm>
                            <a:off x="2241364" y="2362290"/>
                            <a:ext cx="711385" cy="240665"/>
                          </a:xfrm>
                          <a:prstGeom prst="rect">
                            <a:avLst/>
                          </a:prstGeom>
                          <a:noFill/>
                          <a:ln w="6350">
                            <a:noFill/>
                          </a:ln>
                          <a:effectLst/>
                        </wps:spPr>
                        <wps:txbx>
                          <w:txbxContent>
                            <w:p w:rsidR="00FE788C" w:rsidRPr="00D9271F" w:rsidRDefault="00FE788C" w:rsidP="00ED6E3D">
                              <w:pPr>
                                <w:pStyle w:val="NormalWeb"/>
                                <w:spacing w:before="0" w:after="200" w:line="276" w:lineRule="auto"/>
                                <w:jc w:val="center"/>
                                <w:rPr>
                                  <w:rFonts w:asciiTheme="minorHAnsi" w:hAnsiTheme="minorHAnsi"/>
                                  <w:sz w:val="18"/>
                                  <w:szCs w:val="18"/>
                                </w:rPr>
                              </w:pPr>
                              <w:r>
                                <w:rPr>
                                  <w:rFonts w:asciiTheme="minorHAnsi" w:hAnsiTheme="minorHAnsi"/>
                                  <w:sz w:val="18"/>
                                  <w:szCs w:val="18"/>
                                </w:rPr>
                                <w:t>2013-14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11"/>
                        <wps:cNvSpPr txBox="1"/>
                        <wps:spPr>
                          <a:xfrm>
                            <a:off x="2888167" y="2362413"/>
                            <a:ext cx="636720" cy="240030"/>
                          </a:xfrm>
                          <a:prstGeom prst="rect">
                            <a:avLst/>
                          </a:prstGeom>
                          <a:noFill/>
                          <a:ln w="6350">
                            <a:noFill/>
                          </a:ln>
                          <a:effectLst/>
                        </wps:spPr>
                        <wps:txbx>
                          <w:txbxContent>
                            <w:p w:rsidR="00FE788C" w:rsidRPr="00D9271F" w:rsidRDefault="00FE788C" w:rsidP="00ED6E3D">
                              <w:pPr>
                                <w:pStyle w:val="NormalWeb"/>
                                <w:spacing w:before="0" w:after="200" w:line="276" w:lineRule="auto"/>
                                <w:jc w:val="center"/>
                                <w:rPr>
                                  <w:rFonts w:asciiTheme="minorHAnsi" w:hAnsiTheme="minorHAnsi"/>
                                  <w:sz w:val="18"/>
                                  <w:szCs w:val="18"/>
                                </w:rPr>
                              </w:pPr>
                              <w:r w:rsidRPr="00D9271F">
                                <w:rPr>
                                  <w:rFonts w:asciiTheme="minorHAnsi" w:hAnsiTheme="minorHAnsi"/>
                                  <w:sz w:val="18"/>
                                  <w:szCs w:val="18"/>
                                </w:rPr>
                                <w:t>2014-</w:t>
                              </w:r>
                              <w:r>
                                <w:rPr>
                                  <w:rFonts w:asciiTheme="minorHAnsi" w:hAnsiTheme="minorHAnsi"/>
                                  <w:sz w:val="18"/>
                                  <w:szCs w:val="18"/>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11"/>
                        <wps:cNvSpPr txBox="1"/>
                        <wps:spPr>
                          <a:xfrm>
                            <a:off x="3524887" y="2359072"/>
                            <a:ext cx="649548" cy="240030"/>
                          </a:xfrm>
                          <a:prstGeom prst="rect">
                            <a:avLst/>
                          </a:prstGeom>
                          <a:noFill/>
                          <a:ln w="6350">
                            <a:noFill/>
                          </a:ln>
                          <a:effectLst/>
                        </wps:spPr>
                        <wps:txbx>
                          <w:txbxContent>
                            <w:p w:rsidR="00FE788C" w:rsidRPr="00D9271F" w:rsidRDefault="00FE788C" w:rsidP="00ED6E3D">
                              <w:pPr>
                                <w:pStyle w:val="NormalWeb"/>
                                <w:spacing w:before="0" w:after="200" w:line="276" w:lineRule="auto"/>
                                <w:jc w:val="center"/>
                                <w:rPr>
                                  <w:rFonts w:asciiTheme="minorHAnsi" w:hAnsiTheme="minorHAnsi"/>
                                  <w:sz w:val="18"/>
                                  <w:szCs w:val="18"/>
                                </w:rPr>
                              </w:pPr>
                              <w:r w:rsidRPr="00D9271F">
                                <w:rPr>
                                  <w:rFonts w:asciiTheme="minorHAnsi" w:hAnsiTheme="minorHAnsi"/>
                                  <w:sz w:val="18"/>
                                  <w:szCs w:val="18"/>
                                </w:rPr>
                                <w:t>2015-</w:t>
                              </w:r>
                              <w:r>
                                <w:rPr>
                                  <w:rFonts w:asciiTheme="minorHAnsi" w:hAnsiTheme="minorHAnsi"/>
                                  <w:sz w:val="18"/>
                                  <w:szCs w:val="18"/>
                                </w:rPr>
                                <w:t>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 name="Text Box 11"/>
                        <wps:cNvSpPr txBox="1"/>
                        <wps:spPr>
                          <a:xfrm>
                            <a:off x="4112568" y="2349632"/>
                            <a:ext cx="682069" cy="240030"/>
                          </a:xfrm>
                          <a:prstGeom prst="rect">
                            <a:avLst/>
                          </a:prstGeom>
                          <a:noFill/>
                          <a:ln w="6350">
                            <a:noFill/>
                          </a:ln>
                          <a:effectLst/>
                        </wps:spPr>
                        <wps:txbx>
                          <w:txbxContent>
                            <w:p w:rsidR="00FE788C" w:rsidRPr="00D9271F" w:rsidRDefault="00FE788C" w:rsidP="00ED6E3D">
                              <w:pPr>
                                <w:pStyle w:val="NormalWeb"/>
                                <w:spacing w:before="0" w:after="200" w:line="276" w:lineRule="auto"/>
                                <w:jc w:val="center"/>
                                <w:rPr>
                                  <w:rFonts w:asciiTheme="minorHAnsi" w:hAnsiTheme="minorHAnsi"/>
                                  <w:sz w:val="18"/>
                                </w:rPr>
                              </w:pPr>
                              <w:r>
                                <w:rPr>
                                  <w:rFonts w:asciiTheme="minorHAnsi" w:hAnsiTheme="minorHAnsi"/>
                                  <w:sz w:val="18"/>
                                </w:rPr>
                                <w:t>2016-17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Text Box 11"/>
                        <wps:cNvSpPr txBox="1"/>
                        <wps:spPr>
                          <a:xfrm>
                            <a:off x="222880" y="387566"/>
                            <a:ext cx="972524" cy="241300"/>
                          </a:xfrm>
                          <a:prstGeom prst="rect">
                            <a:avLst/>
                          </a:prstGeom>
                          <a:noFill/>
                          <a:ln w="6350">
                            <a:noFill/>
                          </a:ln>
                          <a:effectLst/>
                        </wps:spPr>
                        <wps:txbx>
                          <w:txbxContent>
                            <w:p w:rsidR="00FE788C" w:rsidRPr="001A297C" w:rsidRDefault="00FE788C" w:rsidP="00ED6E3D">
                              <w:pPr>
                                <w:pStyle w:val="NormalWeb"/>
                                <w:spacing w:before="0" w:after="200" w:line="276" w:lineRule="auto"/>
                                <w:rPr>
                                  <w:rFonts w:asciiTheme="minorHAnsi" w:hAnsiTheme="minorHAnsi"/>
                                  <w:sz w:val="16"/>
                                  <w:szCs w:val="16"/>
                                </w:rPr>
                              </w:pPr>
                              <w:r>
                                <w:rPr>
                                  <w:rFonts w:asciiTheme="minorHAnsi" w:hAnsiTheme="minorHAnsi"/>
                                  <w:sz w:val="16"/>
                                  <w:szCs w:val="16"/>
                                </w:rPr>
                                <w:t>Actual costs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 name="Rectangle 51"/>
                        <wps:cNvSpPr/>
                        <wps:spPr>
                          <a:xfrm>
                            <a:off x="77107" y="430425"/>
                            <a:ext cx="165735" cy="139107"/>
                          </a:xfrm>
                          <a:prstGeom prst="rect">
                            <a:avLst/>
                          </a:prstGeom>
                          <a:solidFill>
                            <a:srgbClr val="9BBB59">
                              <a:lumMod val="75000"/>
                            </a:srgbClr>
                          </a:solidFill>
                          <a:ln w="12700" cap="flat" cmpd="sng" algn="ctr">
                            <a:solidFill>
                              <a:srgbClr val="9BBB59">
                                <a:lumMod val="50000"/>
                              </a:srgbClr>
                            </a:solidFill>
                            <a:prstDash val="solid"/>
                          </a:ln>
                          <a:effectLst/>
                        </wps:spPr>
                        <wps:txbx>
                          <w:txbxContent>
                            <w:p w:rsidR="00FE788C" w:rsidRDefault="00FE788C" w:rsidP="00ED6E3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52"/>
                        <wps:cNvSpPr/>
                        <wps:spPr>
                          <a:xfrm>
                            <a:off x="72064" y="649855"/>
                            <a:ext cx="165735" cy="139065"/>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rsidR="00FE788C" w:rsidRDefault="00FE788C" w:rsidP="00ED6E3D">
                              <w:pPr>
                                <w:pStyle w:val="NormalWeb"/>
                                <w:spacing w:before="0" w:after="20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Text Box 11"/>
                        <wps:cNvSpPr txBox="1"/>
                        <wps:spPr>
                          <a:xfrm>
                            <a:off x="351131" y="2599988"/>
                            <a:ext cx="666136" cy="317477"/>
                          </a:xfrm>
                          <a:prstGeom prst="rect">
                            <a:avLst/>
                          </a:prstGeom>
                          <a:noFill/>
                          <a:ln w="6350">
                            <a:noFill/>
                          </a:ln>
                          <a:effectLst/>
                        </wps:spPr>
                        <wps:txbx>
                          <w:txbxContent>
                            <w:p w:rsidR="00FE788C" w:rsidRPr="00C034B3" w:rsidRDefault="00FE788C" w:rsidP="00ED6E3D">
                              <w:pPr>
                                <w:pStyle w:val="NormalWeb"/>
                                <w:spacing w:before="0" w:after="200" w:line="276" w:lineRule="auto"/>
                                <w:jc w:val="center"/>
                                <w:rPr>
                                  <w:rFonts w:asciiTheme="minorHAnsi" w:hAnsiTheme="minorHAnsi"/>
                                  <w:sz w:val="22"/>
                                  <w:szCs w:val="22"/>
                                  <w:vertAlign w:val="subscript"/>
                                </w:rPr>
                              </w:pPr>
                              <w:r w:rsidRPr="00C034B3">
                                <w:rPr>
                                  <w:rFonts w:asciiTheme="minorHAnsi" w:hAnsiTheme="minorHAnsi"/>
                                  <w:i/>
                                  <w:sz w:val="22"/>
                                  <w:szCs w:val="22"/>
                                  <w:vertAlign w:val="superscript"/>
                                </w:rPr>
                                <w:t>S</w:t>
                              </w:r>
                              <w:r>
                                <w:rPr>
                                  <w:rFonts w:asciiTheme="minorHAnsi" w:hAnsiTheme="minorHAnsi"/>
                                  <w:sz w:val="22"/>
                                  <w:szCs w:val="22"/>
                                  <w:vertAlign w:val="subscript"/>
                                </w:rPr>
                                <w:t>2008-09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9" name="Text Box 11"/>
                        <wps:cNvSpPr txBox="1"/>
                        <wps:spPr>
                          <a:xfrm>
                            <a:off x="1596756" y="2594231"/>
                            <a:ext cx="603885" cy="298450"/>
                          </a:xfrm>
                          <a:prstGeom prst="rect">
                            <a:avLst/>
                          </a:prstGeom>
                          <a:noFill/>
                          <a:ln w="6350">
                            <a:noFill/>
                          </a:ln>
                          <a:effectLst/>
                        </wps:spPr>
                        <wps:txbx>
                          <w:txbxContent>
                            <w:p w:rsidR="00FE788C" w:rsidRPr="00C034B3" w:rsidRDefault="00FE788C" w:rsidP="00ED6E3D">
                              <w:pPr>
                                <w:pStyle w:val="NormalWeb"/>
                                <w:spacing w:before="0" w:after="200" w:line="276" w:lineRule="auto"/>
                                <w:jc w:val="center"/>
                                <w:rPr>
                                  <w:rFonts w:asciiTheme="minorHAnsi" w:hAnsiTheme="minorHAnsi"/>
                                  <w:sz w:val="22"/>
                                  <w:szCs w:val="18"/>
                                  <w:vertAlign w:val="subscript"/>
                                </w:rPr>
                              </w:pPr>
                              <w:r w:rsidRPr="00C034B3">
                                <w:rPr>
                                  <w:rFonts w:asciiTheme="minorHAnsi" w:hAnsiTheme="minorHAnsi"/>
                                  <w:i/>
                                  <w:sz w:val="22"/>
                                  <w:szCs w:val="18"/>
                                  <w:vertAlign w:val="superscript"/>
                                </w:rPr>
                                <w:t>S</w:t>
                              </w:r>
                              <w:r>
                                <w:rPr>
                                  <w:rFonts w:asciiTheme="minorHAnsi" w:hAnsiTheme="minorHAnsi"/>
                                  <w:sz w:val="22"/>
                                  <w:szCs w:val="18"/>
                                  <w:vertAlign w:val="subscript"/>
                                </w:rPr>
                                <w:t>2012-13</w:t>
                              </w:r>
                            </w:p>
                            <w:p w:rsidR="00FE788C" w:rsidRPr="00490D61" w:rsidRDefault="00FE788C" w:rsidP="00ED6E3D">
                              <w:pPr>
                                <w:pStyle w:val="NormalWeb"/>
                                <w:spacing w:before="0" w:after="200" w:line="276" w:lineRule="auto"/>
                                <w:jc w:val="center"/>
                                <w:rPr>
                                  <w:rFonts w:asciiTheme="minorHAnsi" w:hAnsi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 name="Text Box 11"/>
                        <wps:cNvSpPr txBox="1"/>
                        <wps:spPr>
                          <a:xfrm>
                            <a:off x="2195879" y="2598994"/>
                            <a:ext cx="692288" cy="299445"/>
                          </a:xfrm>
                          <a:prstGeom prst="rect">
                            <a:avLst/>
                          </a:prstGeom>
                          <a:noFill/>
                          <a:ln w="6350">
                            <a:noFill/>
                          </a:ln>
                          <a:effectLst/>
                        </wps:spPr>
                        <wps:txbx>
                          <w:txbxContent>
                            <w:p w:rsidR="00FE788C" w:rsidRPr="00C034B3" w:rsidRDefault="00FE788C" w:rsidP="00ED6E3D">
                              <w:pPr>
                                <w:pStyle w:val="NormalWeb"/>
                                <w:spacing w:before="0" w:after="200" w:line="276" w:lineRule="auto"/>
                                <w:jc w:val="center"/>
                                <w:rPr>
                                  <w:rFonts w:asciiTheme="minorHAnsi" w:hAnsiTheme="minorHAnsi"/>
                                  <w:sz w:val="22"/>
                                  <w:vertAlign w:val="subscript"/>
                                </w:rPr>
                              </w:pPr>
                              <w:r w:rsidRPr="00C034B3">
                                <w:rPr>
                                  <w:rFonts w:asciiTheme="minorHAnsi" w:hAnsiTheme="minorHAnsi"/>
                                  <w:i/>
                                  <w:sz w:val="22"/>
                                  <w:vertAlign w:val="superscript"/>
                                </w:rPr>
                                <w:t>S</w:t>
                              </w:r>
                              <w:r>
                                <w:rPr>
                                  <w:rFonts w:asciiTheme="minorHAnsi" w:hAnsiTheme="minorHAnsi"/>
                                  <w:sz w:val="22"/>
                                  <w:vertAlign w:val="subscript"/>
                                </w:rPr>
                                <w:t>2013-14</w:t>
                              </w:r>
                            </w:p>
                            <w:p w:rsidR="00FE788C" w:rsidRPr="00C034B3" w:rsidRDefault="00FE788C" w:rsidP="00ED6E3D">
                              <w:pPr>
                                <w:pStyle w:val="NormalWeb"/>
                                <w:spacing w:before="0" w:after="200" w:line="276" w:lineRule="auto"/>
                                <w:jc w:val="center"/>
                                <w:rPr>
                                  <w:rFonts w:asciiTheme="minorHAnsi" w:hAnsiTheme="minorHAns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2" name="Text Box 11"/>
                        <wps:cNvSpPr txBox="1"/>
                        <wps:spPr>
                          <a:xfrm>
                            <a:off x="2824765" y="2613284"/>
                            <a:ext cx="735757" cy="260346"/>
                          </a:xfrm>
                          <a:prstGeom prst="rect">
                            <a:avLst/>
                          </a:prstGeom>
                          <a:noFill/>
                          <a:ln w="6350">
                            <a:noFill/>
                          </a:ln>
                          <a:effectLst/>
                        </wps:spPr>
                        <wps:txbx>
                          <w:txbxContent>
                            <w:p w:rsidR="00FE788C" w:rsidRPr="00C034B3" w:rsidRDefault="00FE788C" w:rsidP="00ED6E3D">
                              <w:pPr>
                                <w:pStyle w:val="NormalWeb"/>
                                <w:spacing w:before="0" w:after="200" w:line="276" w:lineRule="auto"/>
                                <w:jc w:val="center"/>
                                <w:rPr>
                                  <w:rFonts w:asciiTheme="minorHAnsi" w:hAnsiTheme="minorHAnsi"/>
                                  <w:i/>
                                  <w:sz w:val="28"/>
                                  <w:vertAlign w:val="subscript"/>
                                </w:rPr>
                              </w:pPr>
                              <w:r w:rsidRPr="00C034B3">
                                <w:rPr>
                                  <w:rFonts w:asciiTheme="minorHAnsi" w:hAnsiTheme="minorHAnsi"/>
                                  <w:i/>
                                  <w:sz w:val="22"/>
                                  <w:szCs w:val="18"/>
                                  <w:vertAlign w:val="subscript"/>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Straight Arrow Connector 81"/>
                        <wps:cNvCnPr/>
                        <wps:spPr>
                          <a:xfrm>
                            <a:off x="2115242" y="2743200"/>
                            <a:ext cx="228273" cy="0"/>
                          </a:xfrm>
                          <a:prstGeom prst="straightConnector1">
                            <a:avLst/>
                          </a:prstGeom>
                          <a:noFill/>
                          <a:ln w="9525" cap="flat" cmpd="sng" algn="ctr">
                            <a:solidFill>
                              <a:sysClr val="windowText" lastClr="000000"/>
                            </a:solidFill>
                            <a:prstDash val="solid"/>
                            <a:tailEnd type="arrow"/>
                          </a:ln>
                          <a:effectLst/>
                        </wps:spPr>
                        <wps:bodyPr/>
                      </wps:wsp>
                      <wps:wsp>
                        <wps:cNvPr id="155" name="Straight Arrow Connector 82"/>
                        <wps:cNvCnPr/>
                        <wps:spPr>
                          <a:xfrm>
                            <a:off x="2784454" y="2751750"/>
                            <a:ext cx="227965" cy="0"/>
                          </a:xfrm>
                          <a:prstGeom prst="straightConnector1">
                            <a:avLst/>
                          </a:prstGeom>
                          <a:noFill/>
                          <a:ln w="9525" cap="flat" cmpd="sng" algn="ctr">
                            <a:solidFill>
                              <a:sysClr val="windowText" lastClr="000000"/>
                            </a:solidFill>
                            <a:prstDash val="solid"/>
                            <a:tailEnd type="arrow"/>
                          </a:ln>
                          <a:effectLst/>
                        </wps:spPr>
                        <wps:bodyPr/>
                      </wps:wsp>
                      <wps:wsp>
                        <wps:cNvPr id="156" name="Straight Arrow Connector 83"/>
                        <wps:cNvCnPr/>
                        <wps:spPr>
                          <a:xfrm>
                            <a:off x="3395959" y="2743200"/>
                            <a:ext cx="227965" cy="0"/>
                          </a:xfrm>
                          <a:prstGeom prst="straightConnector1">
                            <a:avLst/>
                          </a:prstGeom>
                          <a:noFill/>
                          <a:ln w="9525" cap="flat" cmpd="sng" algn="ctr">
                            <a:solidFill>
                              <a:sysClr val="windowText" lastClr="000000"/>
                            </a:solidFill>
                            <a:prstDash val="solid"/>
                            <a:tailEnd type="arrow"/>
                          </a:ln>
                          <a:effectLst/>
                        </wps:spPr>
                        <wps:bodyPr/>
                      </wps:wsp>
                      <wps:wsp>
                        <wps:cNvPr id="157" name="Straight Arrow Connector 84"/>
                        <wps:cNvCnPr/>
                        <wps:spPr>
                          <a:xfrm>
                            <a:off x="4036992" y="2742225"/>
                            <a:ext cx="227965" cy="0"/>
                          </a:xfrm>
                          <a:prstGeom prst="straightConnector1">
                            <a:avLst/>
                          </a:prstGeom>
                          <a:noFill/>
                          <a:ln w="9525" cap="flat" cmpd="sng" algn="ctr">
                            <a:solidFill>
                              <a:sysClr val="windowText" lastClr="000000"/>
                            </a:solidFill>
                            <a:prstDash val="solid"/>
                            <a:tailEnd type="arrow"/>
                          </a:ln>
                          <a:effectLst/>
                        </wps:spPr>
                        <wps:bodyPr/>
                      </wps:wsp>
                      <wps:wsp>
                        <wps:cNvPr id="158" name="Straight Arrow Connector 85"/>
                        <wps:cNvCnPr/>
                        <wps:spPr>
                          <a:xfrm>
                            <a:off x="976316" y="2751750"/>
                            <a:ext cx="227965" cy="0"/>
                          </a:xfrm>
                          <a:prstGeom prst="straightConnector1">
                            <a:avLst/>
                          </a:prstGeom>
                          <a:noFill/>
                          <a:ln w="9525" cap="flat" cmpd="sng" algn="ctr">
                            <a:solidFill>
                              <a:sysClr val="windowText" lastClr="000000"/>
                            </a:solidFill>
                            <a:prstDash val="solid"/>
                            <a:tailEnd type="arrow"/>
                          </a:ln>
                          <a:effectLst/>
                        </wps:spPr>
                        <wps:bodyPr/>
                      </wps:wsp>
                      <wps:wsp>
                        <wps:cNvPr id="159" name="Straight Arrow Connector 86"/>
                        <wps:cNvCnPr/>
                        <wps:spPr>
                          <a:xfrm>
                            <a:off x="1435965" y="2751750"/>
                            <a:ext cx="227965" cy="0"/>
                          </a:xfrm>
                          <a:prstGeom prst="straightConnector1">
                            <a:avLst/>
                          </a:prstGeom>
                          <a:noFill/>
                          <a:ln w="9525" cap="flat" cmpd="sng" algn="ctr">
                            <a:solidFill>
                              <a:sysClr val="windowText" lastClr="000000"/>
                            </a:solidFill>
                            <a:prstDash val="solid"/>
                            <a:tailEnd type="arrow"/>
                          </a:ln>
                          <a:effectLst/>
                        </wps:spPr>
                        <wps:bodyPr/>
                      </wps:wsp>
                      <wps:wsp>
                        <wps:cNvPr id="161" name="Straight Connector 87"/>
                        <wps:cNvCnPr/>
                        <wps:spPr>
                          <a:xfrm>
                            <a:off x="1256829" y="2751750"/>
                            <a:ext cx="140970" cy="0"/>
                          </a:xfrm>
                          <a:prstGeom prst="line">
                            <a:avLst/>
                          </a:prstGeom>
                          <a:noFill/>
                          <a:ln w="9525" cap="flat" cmpd="sng" algn="ctr">
                            <a:solidFill>
                              <a:sysClr val="windowText" lastClr="000000"/>
                            </a:solidFill>
                            <a:prstDash val="sysDash"/>
                          </a:ln>
                          <a:effectLst/>
                        </wps:spPr>
                        <wps:bodyPr/>
                      </wps:wsp>
                      <wps:wsp>
                        <wps:cNvPr id="163" name="Text Box 11"/>
                        <wps:cNvSpPr txBox="1"/>
                        <wps:spPr>
                          <a:xfrm>
                            <a:off x="219269" y="554760"/>
                            <a:ext cx="2046853" cy="368629"/>
                          </a:xfrm>
                          <a:prstGeom prst="rect">
                            <a:avLst/>
                          </a:prstGeom>
                          <a:noFill/>
                          <a:ln w="6350">
                            <a:noFill/>
                          </a:ln>
                          <a:effectLst/>
                        </wps:spPr>
                        <wps:txbx>
                          <w:txbxContent>
                            <w:p w:rsidR="00FE788C" w:rsidRPr="001A297C" w:rsidRDefault="00FE788C" w:rsidP="00ED6E3D">
                              <w:pPr>
                                <w:pStyle w:val="NormalWeb"/>
                                <w:spacing w:before="0" w:after="200" w:line="276" w:lineRule="auto"/>
                                <w:rPr>
                                  <w:rFonts w:asciiTheme="minorHAnsi" w:hAnsiTheme="minorHAnsi"/>
                                  <w:sz w:val="16"/>
                                  <w:szCs w:val="16"/>
                                </w:rPr>
                              </w:pPr>
                              <w:r>
                                <w:rPr>
                                  <w:rFonts w:asciiTheme="minorHAnsi" w:hAnsiTheme="minorHAnsi"/>
                                  <w:sz w:val="16"/>
                                  <w:szCs w:val="16"/>
                                </w:rPr>
                                <w:t>Model costs derived by applying 2013-14 cost model to costed activity data scaling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4" name="Straight Connector 89"/>
                        <wps:cNvCnPr/>
                        <wps:spPr>
                          <a:xfrm flipV="1">
                            <a:off x="2873545" y="137082"/>
                            <a:ext cx="0" cy="3139959"/>
                          </a:xfrm>
                          <a:prstGeom prst="line">
                            <a:avLst/>
                          </a:prstGeom>
                          <a:noFill/>
                          <a:ln w="9525" cap="flat" cmpd="sng" algn="ctr">
                            <a:solidFill>
                              <a:sysClr val="windowText" lastClr="000000"/>
                            </a:solidFill>
                            <a:prstDash val="dash"/>
                          </a:ln>
                          <a:effectLst/>
                        </wps:spPr>
                        <wps:bodyPr/>
                      </wps:wsp>
                      <wps:wsp>
                        <wps:cNvPr id="166" name="Straight Arrow Connector 90"/>
                        <wps:cNvCnPr/>
                        <wps:spPr>
                          <a:xfrm>
                            <a:off x="3026294" y="378422"/>
                            <a:ext cx="768641" cy="0"/>
                          </a:xfrm>
                          <a:prstGeom prst="straightConnector1">
                            <a:avLst/>
                          </a:prstGeom>
                          <a:noFill/>
                          <a:ln w="9525" cap="flat" cmpd="sng" algn="ctr">
                            <a:solidFill>
                              <a:sysClr val="windowText" lastClr="000000"/>
                            </a:solidFill>
                            <a:prstDash val="solid"/>
                            <a:tailEnd type="arrow"/>
                          </a:ln>
                          <a:effectLst/>
                        </wps:spPr>
                        <wps:bodyPr/>
                      </wps:wsp>
                      <wps:wsp>
                        <wps:cNvPr id="167" name="Text Box 11"/>
                        <wps:cNvSpPr txBox="1"/>
                        <wps:spPr>
                          <a:xfrm>
                            <a:off x="3051108" y="166662"/>
                            <a:ext cx="775323" cy="241300"/>
                          </a:xfrm>
                          <a:prstGeom prst="rect">
                            <a:avLst/>
                          </a:prstGeom>
                          <a:noFill/>
                          <a:ln w="6350">
                            <a:noFill/>
                          </a:ln>
                          <a:effectLst/>
                        </wps:spPr>
                        <wps:txbx>
                          <w:txbxContent>
                            <w:p w:rsidR="00FE788C" w:rsidRPr="00D9271F" w:rsidRDefault="00FE788C" w:rsidP="00ED6E3D">
                              <w:pPr>
                                <w:pStyle w:val="NormalWeb"/>
                                <w:spacing w:before="0" w:after="200" w:line="276" w:lineRule="auto"/>
                                <w:rPr>
                                  <w:rFonts w:asciiTheme="minorHAnsi" w:hAnsiTheme="minorHAnsi"/>
                                  <w:sz w:val="20"/>
                                </w:rPr>
                              </w:pPr>
                              <w:r>
                                <w:rPr>
                                  <w:rFonts w:asciiTheme="minorHAnsi" w:hAnsiTheme="minorHAnsi"/>
                                  <w:sz w:val="20"/>
                                </w:rPr>
                                <w:t>Projected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8" name="Straight Arrow Connector 92"/>
                        <wps:cNvCnPr/>
                        <wps:spPr>
                          <a:xfrm>
                            <a:off x="1970951" y="376504"/>
                            <a:ext cx="768350" cy="0"/>
                          </a:xfrm>
                          <a:prstGeom prst="straightConnector1">
                            <a:avLst/>
                          </a:prstGeom>
                          <a:noFill/>
                          <a:ln w="9525" cap="flat" cmpd="sng" algn="ctr">
                            <a:solidFill>
                              <a:sysClr val="windowText" lastClr="000000"/>
                            </a:solidFill>
                            <a:prstDash val="solid"/>
                            <a:headEnd type="arrow" w="med" len="med"/>
                            <a:tailEnd type="none" w="med" len="med"/>
                          </a:ln>
                          <a:effectLst/>
                        </wps:spPr>
                        <wps:bodyPr/>
                      </wps:wsp>
                      <wps:wsp>
                        <wps:cNvPr id="169" name="Text Box 11"/>
                        <wps:cNvSpPr txBox="1"/>
                        <wps:spPr>
                          <a:xfrm>
                            <a:off x="2076697" y="165049"/>
                            <a:ext cx="728361" cy="241300"/>
                          </a:xfrm>
                          <a:prstGeom prst="rect">
                            <a:avLst/>
                          </a:prstGeom>
                          <a:noFill/>
                          <a:ln w="6350">
                            <a:noFill/>
                          </a:ln>
                          <a:effectLst/>
                        </wps:spPr>
                        <wps:txbx>
                          <w:txbxContent>
                            <w:p w:rsidR="00FE788C" w:rsidRPr="00D9271F" w:rsidRDefault="00FE788C" w:rsidP="00ED6E3D">
                              <w:pPr>
                                <w:pStyle w:val="NormalWeb"/>
                                <w:spacing w:before="0" w:after="200" w:line="276" w:lineRule="auto"/>
                                <w:rPr>
                                  <w:rFonts w:asciiTheme="minorHAnsi" w:hAnsiTheme="minorHAnsi"/>
                                  <w:sz w:val="18"/>
                                </w:rPr>
                              </w:pPr>
                              <w:r w:rsidRPr="00D9271F">
                                <w:rPr>
                                  <w:rFonts w:asciiTheme="minorHAnsi" w:hAnsiTheme="minorHAnsi"/>
                                  <w:sz w:val="20"/>
                                </w:rPr>
                                <w:t>Historic</w:t>
                              </w:r>
                              <w:r>
                                <w:rPr>
                                  <w:rFonts w:asciiTheme="minorHAnsi" w:hAnsiTheme="minorHAnsi"/>
                                  <w:sz w:val="20"/>
                                </w:rPr>
                                <w:t>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0" name="Text Box 11"/>
                        <wps:cNvSpPr txBox="1"/>
                        <wps:spPr>
                          <a:xfrm>
                            <a:off x="72065" y="1342695"/>
                            <a:ext cx="649260" cy="298450"/>
                          </a:xfrm>
                          <a:prstGeom prst="rect">
                            <a:avLst/>
                          </a:prstGeom>
                          <a:noFill/>
                          <a:ln w="6350">
                            <a:noFill/>
                          </a:ln>
                          <a:effectLst/>
                        </wps:spPr>
                        <wps:txbx>
                          <w:txbxContent>
                            <w:p w:rsidR="00FE788C" w:rsidRPr="00490D61" w:rsidRDefault="00FE788C" w:rsidP="00ED6E3D">
                              <w:pPr>
                                <w:pStyle w:val="NormalWeb"/>
                                <w:spacing w:before="0" w:after="200" w:line="276" w:lineRule="auto"/>
                                <w:rPr>
                                  <w:rFonts w:asciiTheme="minorHAnsi" w:hAnsiTheme="minorHAnsi"/>
                                </w:rPr>
                              </w:pPr>
                              <w:r w:rsidRPr="008916CD">
                                <w:rPr>
                                  <w:rFonts w:asciiTheme="minorHAnsi" w:hAnsiTheme="minorHAnsi"/>
                                  <w:i/>
                                  <w:vertAlign w:val="superscript"/>
                                </w:rPr>
                                <w:t>S</w:t>
                              </w:r>
                              <w:r w:rsidRPr="008916CD">
                                <w:rPr>
                                  <w:rFonts w:asciiTheme="minorHAnsi" w:hAnsiTheme="minorHAnsi"/>
                                  <w:vertAlign w:val="subscript"/>
                                </w:rPr>
                                <w:t>20</w:t>
                              </w:r>
                              <w:r>
                                <w:rPr>
                                  <w:rFonts w:asciiTheme="minorHAnsi" w:hAnsiTheme="minorHAnsi"/>
                                  <w:vertAlign w:val="subscript"/>
                                </w:rPr>
                                <w:t>08</w:t>
                              </w:r>
                              <w:r w:rsidRPr="008916CD">
                                <w:rPr>
                                  <w:rFonts w:asciiTheme="minorHAnsi" w:hAnsiTheme="minorHAnsi"/>
                                  <w:vertAlign w:val="subscript"/>
                                </w:rPr>
                                <w:t>-</w:t>
                              </w:r>
                              <w:r>
                                <w:rPr>
                                  <w:rFonts w:asciiTheme="minorHAnsi" w:hAnsiTheme="minorHAnsi"/>
                                  <w:vertAlign w:val="subscript"/>
                                </w:rPr>
                                <w:t>09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1" name="Text Box 11"/>
                        <wps:cNvSpPr txBox="1"/>
                        <wps:spPr>
                          <a:xfrm>
                            <a:off x="3409893" y="2603165"/>
                            <a:ext cx="837588" cy="324633"/>
                          </a:xfrm>
                          <a:prstGeom prst="rect">
                            <a:avLst/>
                          </a:prstGeom>
                          <a:noFill/>
                          <a:ln w="6350">
                            <a:noFill/>
                          </a:ln>
                          <a:effectLst/>
                        </wps:spPr>
                        <wps:txbx>
                          <w:txbxContent>
                            <w:p w:rsidR="00FE788C" w:rsidRPr="00C034B3" w:rsidRDefault="00FE788C" w:rsidP="00ED6E3D">
                              <w:pPr>
                                <w:pStyle w:val="NormalWeb"/>
                                <w:spacing w:before="0" w:after="200" w:line="276" w:lineRule="auto"/>
                                <w:jc w:val="center"/>
                                <w:rPr>
                                  <w:rFonts w:asciiTheme="minorHAnsi" w:hAnsiTheme="minorHAnsi"/>
                                  <w:sz w:val="28"/>
                                  <w:vertAlign w:val="superscript"/>
                                </w:rPr>
                              </w:pPr>
                              <w:r w:rsidRPr="00C034B3">
                                <w:rPr>
                                  <w:rFonts w:asciiTheme="minorHAnsi" w:hAnsiTheme="minorHAnsi"/>
                                  <w:i/>
                                  <w:sz w:val="22"/>
                                  <w:szCs w:val="18"/>
                                  <w:vertAlign w:val="subscript"/>
                                </w:rPr>
                                <w:t>S</w:t>
                              </w:r>
                              <w:r w:rsidRPr="00C034B3">
                                <w:rPr>
                                  <w:rFonts w:asciiTheme="minorHAnsi" w:hAnsiTheme="minorHAnsi"/>
                                  <w:i/>
                                  <w:sz w:val="22"/>
                                  <w:szCs w:val="18"/>
                                  <w:vertAlign w:val="super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Text Box 11"/>
                        <wps:cNvSpPr txBox="1"/>
                        <wps:spPr>
                          <a:xfrm>
                            <a:off x="4286846" y="2592981"/>
                            <a:ext cx="334010" cy="324485"/>
                          </a:xfrm>
                          <a:prstGeom prst="rect">
                            <a:avLst/>
                          </a:prstGeom>
                          <a:noFill/>
                          <a:ln w="6350">
                            <a:noFill/>
                          </a:ln>
                          <a:effectLst/>
                        </wps:spPr>
                        <wps:txbx>
                          <w:txbxContent>
                            <w:p w:rsidR="00FE788C" w:rsidRPr="00C034B3" w:rsidRDefault="00FE788C" w:rsidP="00ED6E3D">
                              <w:pPr>
                                <w:pStyle w:val="NormalWeb"/>
                                <w:spacing w:before="0" w:after="200" w:line="276" w:lineRule="auto"/>
                                <w:jc w:val="center"/>
                                <w:rPr>
                                  <w:rFonts w:asciiTheme="minorHAnsi" w:hAnsiTheme="minorHAnsi"/>
                                  <w:sz w:val="28"/>
                                  <w:vertAlign w:val="superscript"/>
                                </w:rPr>
                              </w:pPr>
                              <w:r w:rsidRPr="00E33EAE">
                                <w:rPr>
                                  <w:rFonts w:asciiTheme="minorHAnsi" w:hAnsiTheme="minorHAnsi"/>
                                  <w:i/>
                                  <w:sz w:val="22"/>
                                  <w:szCs w:val="18"/>
                                  <w:vertAlign w:val="subscript"/>
                                </w:rPr>
                                <w:t>S</w:t>
                              </w:r>
                              <w:r w:rsidRPr="00C034B3">
                                <w:rPr>
                                  <w:rFonts w:asciiTheme="minorHAnsi" w:hAnsiTheme="minorHAnsi"/>
                                  <w:i/>
                                  <w:sz w:val="22"/>
                                  <w:szCs w:val="18"/>
                                  <w:vertAlign w:val="superscript"/>
                                </w:rPr>
                                <w:t>3</w:t>
                              </w:r>
                            </w:p>
                            <w:p w:rsidR="00FE788C" w:rsidRPr="00490D61" w:rsidRDefault="00FE788C" w:rsidP="00ED6E3D">
                              <w:pPr>
                                <w:pStyle w:val="NormalWeb"/>
                                <w:spacing w:before="0" w:after="200" w:line="276" w:lineRule="auto"/>
                                <w:rPr>
                                  <w:rFonts w:asciiTheme="minorHAnsi" w:hAnsiTheme="minorHAnsi"/>
                                  <w:i/>
                                  <w:vertAlign w:val="superscript"/>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 name="Text Box 11"/>
                        <wps:cNvSpPr txBox="1"/>
                        <wps:spPr>
                          <a:xfrm>
                            <a:off x="21259" y="822829"/>
                            <a:ext cx="329871" cy="297815"/>
                          </a:xfrm>
                          <a:prstGeom prst="rect">
                            <a:avLst/>
                          </a:prstGeom>
                          <a:noFill/>
                          <a:ln w="6350">
                            <a:noFill/>
                          </a:ln>
                          <a:effectLst/>
                        </wps:spPr>
                        <wps:txbx>
                          <w:txbxContent>
                            <w:p w:rsidR="00FE788C" w:rsidRPr="008916CD" w:rsidRDefault="00FE788C" w:rsidP="00ED6E3D">
                              <w:pPr>
                                <w:pStyle w:val="NormalWeb"/>
                                <w:spacing w:before="0" w:after="200" w:line="276" w:lineRule="auto"/>
                                <w:rPr>
                                  <w:rFonts w:asciiTheme="minorHAnsi" w:hAnsiTheme="minorHAnsi"/>
                                  <w:i/>
                                  <w:sz w:val="28"/>
                                </w:rPr>
                              </w:pPr>
                              <w:r w:rsidRPr="008916CD">
                                <w:rPr>
                                  <w:rFonts w:ascii="Calibri" w:eastAsia="Calibri" w:hAnsi="Calibri"/>
                                  <w:i/>
                                  <w:sz w:val="28"/>
                                  <w:vertAlign w:val="superscript"/>
                                </w:rPr>
                                <w:t>S</w:t>
                              </w:r>
                              <w:r>
                                <w:rPr>
                                  <w:rFonts w:ascii="Calibri" w:eastAsia="Calibri" w:hAnsi="Calibri"/>
                                  <w:i/>
                                  <w:sz w:val="28"/>
                                  <w:vertAlign w:val="subscript"/>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4" name="Text Box 11"/>
                        <wps:cNvSpPr txBox="1"/>
                        <wps:spPr>
                          <a:xfrm>
                            <a:off x="201975" y="848838"/>
                            <a:ext cx="1943100" cy="338455"/>
                          </a:xfrm>
                          <a:prstGeom prst="rect">
                            <a:avLst/>
                          </a:prstGeom>
                          <a:noFill/>
                          <a:ln w="6350">
                            <a:noFill/>
                          </a:ln>
                          <a:effectLst/>
                        </wps:spPr>
                        <wps:txbx>
                          <w:txbxContent>
                            <w:p w:rsidR="00FE788C" w:rsidRPr="00D9271F" w:rsidRDefault="00FE788C" w:rsidP="00ED6E3D">
                              <w:pPr>
                                <w:pStyle w:val="NormalWeb"/>
                                <w:spacing w:before="0" w:after="200" w:line="276" w:lineRule="auto"/>
                                <w:rPr>
                                  <w:rFonts w:asciiTheme="minorHAnsi" w:hAnsiTheme="minorHAnsi" w:cstheme="minorHAnsi"/>
                                  <w:sz w:val="16"/>
                                </w:rPr>
                              </w:pPr>
                              <w:r w:rsidRPr="00D9271F">
                                <w:rPr>
                                  <w:rFonts w:asciiTheme="minorHAnsi" w:eastAsia="Calibri" w:hAnsiTheme="minorHAnsi" w:cstheme="minorHAnsi"/>
                                  <w:sz w:val="16"/>
                                </w:rPr>
                                <w:t>Scaling factor required to equalise model costs</w:t>
                              </w:r>
                              <w:r>
                                <w:rPr>
                                  <w:rFonts w:asciiTheme="minorHAnsi" w:eastAsia="Calibri" w:hAnsiTheme="minorHAnsi" w:cstheme="minorHAnsi"/>
                                  <w:sz w:val="16"/>
                                </w:rPr>
                                <w:t xml:space="preserve"> with actual costs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5" name="Left Brace 131"/>
                        <wps:cNvSpPr/>
                        <wps:spPr>
                          <a:xfrm rot="16200000">
                            <a:off x="1464727" y="1899884"/>
                            <a:ext cx="272566" cy="2216679"/>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Left Brace 132"/>
                        <wps:cNvSpPr/>
                        <wps:spPr>
                          <a:xfrm rot="16200000">
                            <a:off x="3652930" y="2323638"/>
                            <a:ext cx="272415" cy="1370843"/>
                          </a:xfrm>
                          <a:prstGeom prst="leftBrace">
                            <a:avLst/>
                          </a:prstGeom>
                          <a:noFill/>
                          <a:ln w="9525" cap="flat" cmpd="sng" algn="ctr">
                            <a:solidFill>
                              <a:sysClr val="windowText" lastClr="000000"/>
                            </a:solidFill>
                            <a:prstDash val="solid"/>
                          </a:ln>
                          <a:effectLst/>
                        </wps:spPr>
                        <wps:txbx>
                          <w:txbxContent>
                            <w:p w:rsidR="00FE788C" w:rsidRDefault="00FE788C" w:rsidP="00ED6E3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Text Box 11"/>
                        <wps:cNvSpPr txBox="1"/>
                        <wps:spPr>
                          <a:xfrm>
                            <a:off x="887059" y="3096885"/>
                            <a:ext cx="1423054" cy="240665"/>
                          </a:xfrm>
                          <a:prstGeom prst="rect">
                            <a:avLst/>
                          </a:prstGeom>
                          <a:noFill/>
                          <a:ln w="6350">
                            <a:noFill/>
                          </a:ln>
                          <a:effectLst/>
                        </wps:spPr>
                        <wps:txbx>
                          <w:txbxContent>
                            <w:p w:rsidR="00FE788C" w:rsidRPr="008916CD" w:rsidRDefault="00FE788C" w:rsidP="00ED6E3D">
                              <w:pPr>
                                <w:pStyle w:val="NormalWeb"/>
                                <w:spacing w:before="0" w:after="200" w:line="276" w:lineRule="auto"/>
                                <w:jc w:val="center"/>
                                <w:rPr>
                                  <w:rFonts w:asciiTheme="minorHAnsi" w:hAnsiTheme="minorHAnsi"/>
                                  <w:sz w:val="16"/>
                                </w:rPr>
                              </w:pPr>
                              <w:r w:rsidRPr="008916CD">
                                <w:rPr>
                                  <w:rFonts w:asciiTheme="minorHAnsi" w:hAnsiTheme="minorHAnsi"/>
                                  <w:sz w:val="18"/>
                                </w:rPr>
                                <w:t>Time series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Text Box 11"/>
                        <wps:cNvSpPr txBox="1"/>
                        <wps:spPr>
                          <a:xfrm>
                            <a:off x="3081199" y="3107501"/>
                            <a:ext cx="1418734" cy="240030"/>
                          </a:xfrm>
                          <a:prstGeom prst="rect">
                            <a:avLst/>
                          </a:prstGeom>
                          <a:noFill/>
                          <a:ln w="6350">
                            <a:noFill/>
                          </a:ln>
                          <a:effectLst/>
                        </wps:spPr>
                        <wps:txbx>
                          <w:txbxContent>
                            <w:p w:rsidR="00FE788C" w:rsidRPr="008916CD" w:rsidRDefault="00FE788C" w:rsidP="00ED6E3D">
                              <w:pPr>
                                <w:pStyle w:val="NormalWeb"/>
                                <w:spacing w:before="0" w:after="200" w:line="276" w:lineRule="auto"/>
                                <w:jc w:val="center"/>
                                <w:rPr>
                                  <w:rFonts w:asciiTheme="minorHAnsi" w:hAnsiTheme="minorHAnsi"/>
                                  <w:sz w:val="18"/>
                                </w:rPr>
                              </w:pPr>
                              <w:r w:rsidRPr="008916CD">
                                <w:rPr>
                                  <w:rFonts w:asciiTheme="minorHAnsi" w:hAnsiTheme="minorHAnsi"/>
                                  <w:sz w:val="18"/>
                                </w:rPr>
                                <w:t>Projection of time series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8FE0677" id="Canvas 179" o:spid="_x0000_s1026" editas="canvas" alt="A summary of Figure 3 is outlined in the text prior to this figure. " style="width:382.5pt;height:265.5pt;mso-position-horizontal-relative:char;mso-position-vertical-relative:line" coordsize="48577,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 summary of Figure 3 is outlined in the text prior to this figure. " style="position:absolute;width:48577;height:33718;visibility:visible;mso-wrap-style:square" stroked="t" strokecolor="black [3213]">
                  <v:fill o:detectmouseclick="t"/>
                  <v:path o:connecttype="none"/>
                </v:shape>
                <v:rect id="Rectangle 19" o:spid="_x0000_s1028" style="position:absolute;left:5550;top:17552;width:1663;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8XMUA&#10;AADbAAAADwAAAGRycy9kb3ducmV2LnhtbESPT2vCQBDF7wW/wzIFL0U3VSgxdRWxCCJq8c/F25Cd&#10;JqHZ2ZBdNX5751DobYb35r3fTOedq9WN2lB5NvA+TEAR595WXBg4n1aDFFSIyBZrz2TgQQHms97L&#10;FDPr73yg2zEWSkI4ZGigjLHJtA55SQ7D0DfEov341mGUtS20bfEu4a7WoyT50A4rloYSG1qWlP8e&#10;r85AIFzsxpf9ZptGnozT3dv3/utqTP+1W3yCitTFf/Pf9doKvtDLLzKAn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DxcxQAAANsAAAAPAAAAAAAAAAAAAAAAAJgCAABkcnMv&#10;ZG93bnJldi54bWxQSwUGAAAAAAQABAD1AAAAigMAAAAA&#10;" fillcolor="#77933c" strokecolor="#4f6228" strokeweight="1pt"/>
                <v:rect id="Rectangle 20" o:spid="_x0000_s1029" style="position:absolute;left:7213;top:14700;width:1657;height:7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yWMEA&#10;AADbAAAADwAAAGRycy9kb3ducmV2LnhtbERP24rCMBB9X/Afwgj7smiqrheqUUSsFPZp1Q8Ym7Et&#10;NpPSZGv9eyMI+zaHc53VpjOVaKlxpWUFo2EEgjizuuRcwfmUDBYgnEfWWFkmBQ9ysFn3PlYYa3vn&#10;X2qPPhchhF2MCgrv61hKlxVk0A1tTRy4q20M+gCbXOoG7yHcVHIcRTNpsOTQUGBNu4Ky2/HPKKCv&#10;NH1sk5/dZP69ONBl356TaavUZ7/bLkF46vy/+O1OdZg/htcv4Q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cljBAAAA2wAAAA8AAAAAAAAAAAAAAAAAmAIAAGRycy9kb3du&#10;cmV2LnhtbFBLBQYAAAAABAAEAPUAAACGAwAAAAA=&#10;" fillcolor="#c3d69b" strokecolor="#4f6228" strokeweight="1pt">
                  <v:textbox>
                    <w:txbxContent>
                      <w:p w:rsidR="00FE788C" w:rsidRDefault="00FE788C" w:rsidP="00ED6E3D"/>
                    </w:txbxContent>
                  </v:textbox>
                </v:rect>
                <v:shapetype id="_x0000_t32" coordsize="21600,21600" o:spt="32" o:oned="t" path="m,l21600,21600e" filled="f">
                  <v:path arrowok="t" fillok="f" o:connecttype="none"/>
                  <o:lock v:ext="edit" shapetype="t"/>
                </v:shapetype>
                <v:shape id="Straight Arrow Connector 21" o:spid="_x0000_s1030" type="#_x0000_t32" style="position:absolute;left:6345;top:14700;width:0;height:2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hq9MEAAADbAAAADwAAAGRycy9kb3ducmV2LnhtbERPS4vCMBC+C/sfwix4s+l6EOkaRQqC&#10;yB7W18Hb0My2xWbSTaKt/nojCN7m43vObNGbRlzJ+dqygq8kBUFcWF1zqeCwX42mIHxA1thYJgU3&#10;8rCYfwxmmGnb8Zauu1CKGMI+QwVVCG0mpS8qMugT2xJH7s86gyFCV0rtsIvhppHjNJ1IgzXHhgpb&#10;yisqzruLUfA/PXU/drNa34PL6ZifMP11G6WGn/3yG0SgPrzFL/dax/kTeP4S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qGr0wQAAANsAAAAPAAAAAAAAAAAAAAAA&#10;AKECAABkcnMvZG93bnJldi54bWxQSwUGAAAAAAQABAD5AAAAjwMAAAAA&#10;" strokecolor="windowText">
                  <v:stroke endarrow="open" endarrowwidth="narrow" endarrowlength="short"/>
                </v:shape>
                <v:oval id="Oval 22" o:spid="_x0000_s1031" style="position:absolute;left:11100;top:18816;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FYMMA&#10;AADbAAAADwAAAGRycy9kb3ducmV2LnhtbERPTWvCQBC9C/6HZQQvRTdVqBpdRaSl0osYvXgbs2MS&#10;zc6G7KrRX98tFLzN433ObNGYUtyodoVlBe/9CARxanXBmYL97qs3BuE8ssbSMil4kIPFvN2aYazt&#10;nbd0S3wmQgi7GBXk3lexlC7NyaDr24o4cCdbG/QB1pnUNd5DuCnlIIo+pMGCQ0OOFa1ySi/J1ShY&#10;DQ+YNJvq+pwc7c/3+S0qd6dPpbqdZjkF4anxL/G/e63D/BH8/R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yFYMMAAADbAAAADwAAAAAAAAAAAAAAAACYAgAAZHJzL2Rv&#10;d25yZXYueG1sUEsFBgAAAAAEAAQA9QAAAIgDAAAAAA==&#10;" fillcolor="windowText" strokecolor="windowText" strokeweight="2pt"/>
                <v:oval id="Oval 23" o:spid="_x0000_s1032" style="position:absolute;left:13178;top:1882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0icIA&#10;AADbAAAADwAAAGRycy9kb3ducmV2LnhtbERPTYvCMBC9C/6HMMJeZE11QbRrFBFlFy9i3Yu3sRnb&#10;rs2kNFGrv94Igrd5vM+ZzBpTigvVrrCsoN+LQBCnVhecKfjbrT5HIJxH1lhaJgU3cjCbtlsTjLW9&#10;8pYuic9ECGEXo4Lc+yqW0qU5GXQ9WxEH7mhrgz7AOpO6xmsIN6UcRNFQGiw4NORY0SKn9JScjYLF&#10;1x6TZlOd7+ODXf/8d6Nyd1wq9dFp5t8gPDX+LX65f3WYP4bnL+E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7SJwgAAANsAAAAPAAAAAAAAAAAAAAAAAJgCAABkcnMvZG93&#10;bnJldi54bWxQSwUGAAAAAAQABAD1AAAAhwMAAAAA&#10;" fillcolor="windowText" strokecolor="windowText" strokeweight="2pt">
                  <v:textbox>
                    <w:txbxContent>
                      <w:p w:rsidR="00FE788C" w:rsidRDefault="00FE788C" w:rsidP="00ED6E3D"/>
                    </w:txbxContent>
                  </v:textbox>
                </v:oval>
                <v:oval id="Oval 24" o:spid="_x0000_s1033" style="position:absolute;left:15245;top:1881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ZO8YA&#10;AADbAAAADwAAAGRycy9kb3ducmV2LnhtbESPQWvCQBSE70L/w/IKvUjdWFE0ZiMiLRYvxaQXb8/s&#10;M0mbfRuyq6b99V1B6HGYmW+YZNWbRlyoc7VlBeNRBIK4sLrmUsFn/vY8B+E8ssbGMin4IQer9GGQ&#10;YKztlfd0yXwpAoRdjAoq79tYSldUZNCNbEscvJPtDPogu1LqDq8Bbhr5EkUzabDmsFBhS5uKiu/s&#10;bBRsJgfM+o/2/Ls42t32axg1+elVqafHfr0E4an3/+F7+10rmM7g9i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qZO8YAAADbAAAADwAAAAAAAAAAAAAAAACYAgAAZHJz&#10;L2Rvd25yZXYueG1sUEsFBgAAAAAEAAQA9QAAAIsDAAAAAA==&#10;" fillcolor="windowText" strokecolor="windowText" strokeweight="2pt">
                  <v:textbox>
                    <w:txbxContent>
                      <w:p w:rsidR="00FE788C" w:rsidRDefault="00FE788C" w:rsidP="00ED6E3D"/>
                    </w:txbxContent>
                  </v:textbox>
                </v:oval>
                <v:shapetype id="_x0000_t202" coordsize="21600,21600" o:spt="202" path="m,l,21600r21600,l21600,xe">
                  <v:stroke joinstyle="miter"/>
                  <v:path gradientshapeok="t" o:connecttype="rect"/>
                </v:shapetype>
                <v:shape id="Text Box 11" o:spid="_x0000_s1034" type="#_x0000_t202" style="position:absolute;left:12042;top:11517;width:6991;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FE788C" w:rsidRPr="00490D61" w:rsidRDefault="00FE788C" w:rsidP="00ED6E3D">
                        <w:pPr>
                          <w:pStyle w:val="NormalWeb"/>
                          <w:spacing w:before="0" w:after="200" w:line="276" w:lineRule="auto"/>
                          <w:rPr>
                            <w:rFonts w:asciiTheme="minorHAnsi" w:hAnsiTheme="minorHAnsi"/>
                          </w:rPr>
                        </w:pPr>
                        <w:r w:rsidRPr="008916CD">
                          <w:rPr>
                            <w:rFonts w:asciiTheme="minorHAnsi" w:hAnsiTheme="minorHAnsi"/>
                            <w:i/>
                            <w:vertAlign w:val="superscript"/>
                          </w:rPr>
                          <w:t>S</w:t>
                        </w:r>
                        <w:r w:rsidRPr="008916CD">
                          <w:rPr>
                            <w:rFonts w:asciiTheme="minorHAnsi" w:hAnsiTheme="minorHAnsi"/>
                            <w:vertAlign w:val="subscript"/>
                          </w:rPr>
                          <w:t>201</w:t>
                        </w:r>
                        <w:r>
                          <w:rPr>
                            <w:rFonts w:asciiTheme="minorHAnsi" w:hAnsiTheme="minorHAnsi"/>
                            <w:vertAlign w:val="subscript"/>
                          </w:rPr>
                          <w:t>2</w:t>
                        </w:r>
                        <w:r w:rsidRPr="008916CD">
                          <w:rPr>
                            <w:rFonts w:asciiTheme="minorHAnsi" w:hAnsiTheme="minorHAnsi"/>
                            <w:vertAlign w:val="subscript"/>
                          </w:rPr>
                          <w:t>-1</w:t>
                        </w:r>
                        <w:r>
                          <w:rPr>
                            <w:rFonts w:asciiTheme="minorHAnsi" w:hAnsiTheme="minorHAnsi"/>
                            <w:vertAlign w:val="subscript"/>
                          </w:rPr>
                          <w:t>3</w:t>
                        </w:r>
                      </w:p>
                    </w:txbxContent>
                  </v:textbox>
                </v:shape>
                <v:rect id="Rectangle 26" o:spid="_x0000_s1035" style="position:absolute;left:17563;top:14046;width:1657;height:8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JmsEA&#10;AADbAAAADwAAAGRycy9kb3ducmV2LnhtbERPy4rCMBTdC/5DuIIb0VRFqdUoMsPAMPjAx8bdpbm2&#10;xeamNFE7f28WgsvDeS9WjSnFg2pXWFYwHEQgiFOrC84UnE8//RiE88gaS8uk4J8crJbt1gITbZ98&#10;oMfRZyKEsEtQQe59lUjp0pwMuoGtiAN3tbVBH2CdSV3jM4SbUo6iaCoNFhwacqzoK6f0drwbBY5w&#10;vR1fdn+b2PNsHG97+933Xalup1nPQXhq/Ef8dv9qBZMwNnw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EiZrBAAAA2wAAAA8AAAAAAAAAAAAAAAAAmAIAAGRycy9kb3du&#10;cmV2LnhtbFBLBQYAAAAABAAEAPUAAACGAwAAAAA=&#10;" fillcolor="#77933c" strokecolor="#4f6228" strokeweight="1pt">
                  <v:textbox>
                    <w:txbxContent>
                      <w:p w:rsidR="00FE788C" w:rsidRDefault="00FE788C" w:rsidP="00ED6E3D"/>
                    </w:txbxContent>
                  </v:textbox>
                </v:rect>
                <v:rect id="Rectangle 27" o:spid="_x0000_s1036" style="position:absolute;left:19227;top:12932;width:1657;height:9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Z6cUA&#10;AADbAAAADwAAAGRycy9kb3ducmV2LnhtbESP3WrCQBSE7wt9h+UIvSm6aW38ia4i0kigV1Uf4Jg9&#10;JsHs2ZDdxvj2rlDwcpiZb5jluje16Kh1lWUFH6MIBHFudcWFguMhHc5AOI+ssbZMCm7kYL16fVli&#10;ou2Vf6nb+0IECLsEFZTeN4mULi/JoBvZhjh4Z9sa9EG2hdQtXgPc1PIziibSYMVhocSGtiXll/2f&#10;UUDvWXbbpD/b8fRrtqPTd3dM406pt0G/WYDw1Ptn+L+daQXxHB5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FnpxQAAANsAAAAPAAAAAAAAAAAAAAAAAJgCAABkcnMv&#10;ZG93bnJldi54bWxQSwUGAAAAAAQABAD1AAAAigMAAAAA&#10;" fillcolor="#c3d69b" strokecolor="#4f6228" strokeweight="1pt">
                  <v:textbox>
                    <w:txbxContent>
                      <w:p w:rsidR="00FE788C" w:rsidRDefault="00FE788C" w:rsidP="00ED6E3D">
                        <w:pPr>
                          <w:pStyle w:val="NormalWeb"/>
                          <w:spacing w:before="0" w:after="200" w:line="276" w:lineRule="auto"/>
                        </w:pPr>
                      </w:p>
                    </w:txbxContent>
                  </v:textbox>
                </v:rect>
                <v:shape id="Straight Arrow Connector 28" o:spid="_x0000_s1037" type="#_x0000_t32" style="position:absolute;left:18357;top:12932;width:0;height:10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skZsEAAADbAAAADwAAAGRycy9kb3ducmV2LnhtbERPz2vCMBS+C/4P4Qm7abodSqlGGQVB&#10;ZIfZzYO3R/PWljUvXZK11b/eHASPH9/vzW4ynRjI+daygtdVAoK4srrlWsH3136ZgfABWWNnmRRc&#10;ycNuO59tMNd25BMNZahFDGGfo4ImhD6X0lcNGfQr2xNH7sc6gyFCV0vtcIzhppNvSZJKgy3HhgZ7&#10;Khqqfst/o+Avu4wf9rg/3IIr6FxcMPl0R6VeFtP7GkSgKTzFD/dBK0jj+vgl/gC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CyRmwQAAANsAAAAPAAAAAAAAAAAAAAAA&#10;AKECAABkcnMvZG93bnJldi54bWxQSwUGAAAAAAQABAD5AAAAjwMAAAAA&#10;" strokecolor="windowText">
                  <v:stroke endarrow="open" endarrowwidth="narrow" endarrowlength="short"/>
                </v:shape>
                <v:shape id="Text Box 11" o:spid="_x0000_s1038" type="#_x0000_t202" style="position:absolute;left:19227;top:8917;width:1097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FE788C" w:rsidRPr="008916CD" w:rsidRDefault="00FE788C" w:rsidP="00ED6E3D">
                        <w:pPr>
                          <w:pStyle w:val="NormalWeb"/>
                          <w:spacing w:before="0" w:after="200" w:line="276" w:lineRule="auto"/>
                          <w:jc w:val="center"/>
                          <w:rPr>
                            <w:rFonts w:asciiTheme="minorHAnsi" w:hAnsiTheme="minorHAnsi"/>
                            <w:vertAlign w:val="subscript"/>
                          </w:rPr>
                        </w:pPr>
                        <w:r w:rsidRPr="008916CD">
                          <w:rPr>
                            <w:rFonts w:asciiTheme="minorHAnsi" w:hAnsiTheme="minorHAnsi"/>
                            <w:i/>
                            <w:vertAlign w:val="superscript"/>
                          </w:rPr>
                          <w:t>S</w:t>
                        </w:r>
                        <w:r w:rsidRPr="008916CD">
                          <w:rPr>
                            <w:rFonts w:asciiTheme="minorHAnsi" w:hAnsiTheme="minorHAnsi"/>
                            <w:vertAlign w:val="subscript"/>
                          </w:rPr>
                          <w:t>201</w:t>
                        </w:r>
                        <w:r>
                          <w:rPr>
                            <w:rFonts w:asciiTheme="minorHAnsi" w:hAnsiTheme="minorHAnsi"/>
                            <w:vertAlign w:val="subscript"/>
                          </w:rPr>
                          <w:t>3</w:t>
                        </w:r>
                        <w:r w:rsidRPr="008916CD">
                          <w:rPr>
                            <w:rFonts w:asciiTheme="minorHAnsi" w:hAnsiTheme="minorHAnsi"/>
                            <w:vertAlign w:val="subscript"/>
                          </w:rPr>
                          <w:t>-1</w:t>
                        </w:r>
                        <w:r>
                          <w:rPr>
                            <w:rFonts w:asciiTheme="minorHAnsi" w:hAnsiTheme="minorHAnsi"/>
                            <w:vertAlign w:val="subscript"/>
                          </w:rPr>
                          <w:t>4</w:t>
                        </w:r>
                        <w:r w:rsidRPr="008916CD">
                          <w:rPr>
                            <w:rFonts w:asciiTheme="minorHAnsi" w:hAnsiTheme="minorHAnsi"/>
                            <w:vertAlign w:val="subscript"/>
                          </w:rPr>
                          <w:t xml:space="preserve"> </w:t>
                        </w:r>
                        <w:r w:rsidRPr="008916CD">
                          <w:rPr>
                            <w:rFonts w:asciiTheme="minorHAnsi" w:hAnsiTheme="minorHAnsi"/>
                          </w:rPr>
                          <w:t>= 1</w:t>
                        </w:r>
                      </w:p>
                      <w:p w:rsidR="00FE788C" w:rsidRPr="00490D61" w:rsidRDefault="00FE788C" w:rsidP="00ED6E3D">
                        <w:pPr>
                          <w:pStyle w:val="NormalWeb"/>
                          <w:spacing w:before="0" w:after="200" w:line="276" w:lineRule="auto"/>
                          <w:rPr>
                            <w:rFonts w:asciiTheme="minorHAnsi" w:hAnsiTheme="minorHAnsi"/>
                          </w:rPr>
                        </w:pPr>
                      </w:p>
                    </w:txbxContent>
                  </v:textbox>
                </v:shape>
                <v:rect id="Rectangle 30" o:spid="_x0000_s1039" style="position:absolute;left:23776;top:11557;width:1658;height:1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B0zcUA&#10;AADbAAAADwAAAGRycy9kb3ducmV2LnhtbESPT2vCQBTE70K/w/IKvYjZ1IDE1FWkpVCKf9D20tsj&#10;+0yC2bchuzHpt3cFweMwM79hFqvB1OJCrassK3iNYhDEudUVFwp+fz4nKQjnkTXWlknBPzlYLZ9G&#10;C8y07flAl6MvRICwy1BB6X2TSenykgy6yDbEwTvZ1qAPsi2kbrEPcFPLaRzPpMGKw0KJDb2XlJ+P&#10;nVHgCNfb5G/3vUk9z5N0O97vPjqlXp6H9RsIT4N/hO/tL61gNoXb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HTNxQAAANsAAAAPAAAAAAAAAAAAAAAAAJgCAABkcnMv&#10;ZG93bnJldi54bWxQSwUGAAAAAAQABAD1AAAAigMAAAAA&#10;" fillcolor="#77933c" strokecolor="#4f6228" strokeweight="1pt">
                  <v:textbox>
                    <w:txbxContent>
                      <w:p w:rsidR="00FE788C" w:rsidRDefault="00FE788C" w:rsidP="00ED6E3D">
                        <w:pPr>
                          <w:pStyle w:val="NormalWeb"/>
                          <w:spacing w:before="0" w:after="200" w:line="276" w:lineRule="auto"/>
                        </w:pPr>
                      </w:p>
                    </w:txbxContent>
                  </v:textbox>
                </v:rect>
                <v:rect id="Rectangle 31" o:spid="_x0000_s1040" style="position:absolute;left:25440;top:11557;width:1657;height:1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kvsMA&#10;AADbAAAADwAAAGRycy9kb3ducmV2LnhtbESP0YrCMBRE3xf8h3AFX5Y1VVdXqlFErBR80vUD7jbX&#10;ttjclCbW+vdGEPZxmJkzzHLdmUq01LjSsoLRMAJBnFldcq7g/Jt8zUE4j6yxskwKHuRgvep9LDHW&#10;9s5Hak8+FwHCLkYFhfd1LKXLCjLohrYmDt7FNgZ9kE0udYP3ADeVHEfRTBosOSwUWNO2oOx6uhkF&#10;9Jmmj01y2E5+vud7+tu152TaKjXod5sFCE+d/w+/26lWMJvA6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ikvsMAAADbAAAADwAAAAAAAAAAAAAAAACYAgAAZHJzL2Rv&#10;d25yZXYueG1sUEsFBgAAAAAEAAQA9QAAAIgDAAAAAA==&#10;" fillcolor="#c3d69b" strokecolor="#4f6228" strokeweight="1pt">
                  <v:textbox>
                    <w:txbxContent>
                      <w:p w:rsidR="00FE788C" w:rsidRDefault="00FE788C" w:rsidP="00ED6E3D">
                        <w:pPr>
                          <w:pStyle w:val="NormalWeb"/>
                          <w:spacing w:before="0" w:after="200" w:line="276" w:lineRule="auto"/>
                        </w:pPr>
                      </w:p>
                    </w:txbxContent>
                  </v:textbox>
                </v:rect>
                <v:shape id="Text Box 11" o:spid="_x0000_s1041" type="#_x0000_t202" style="position:absolute;left:32576;top:8022;width:2577;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FE788C" w:rsidRPr="00C034B3" w:rsidRDefault="00FE788C" w:rsidP="00ED6E3D">
                        <w:pPr>
                          <w:pStyle w:val="NormalWeb"/>
                          <w:spacing w:before="0" w:after="200" w:line="276" w:lineRule="auto"/>
                          <w:rPr>
                            <w:rFonts w:asciiTheme="minorHAnsi" w:hAnsiTheme="minorHAnsi"/>
                            <w:vertAlign w:val="subscript"/>
                          </w:rPr>
                        </w:pPr>
                        <w:r w:rsidRPr="00C034B3">
                          <w:rPr>
                            <w:rFonts w:asciiTheme="minorHAnsi" w:hAnsiTheme="minorHAnsi"/>
                            <w:vertAlign w:val="subscript"/>
                          </w:rPr>
                          <w:t>S</w:t>
                        </w:r>
                      </w:p>
                    </w:txbxContent>
                  </v:textbox>
                </v:shape>
                <v:rect id="Rectangle 33" o:spid="_x0000_s1042" style="position:absolute;left:30197;top:9235;width:1657;height:1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sucQA&#10;AADbAAAADwAAAGRycy9kb3ducmV2LnhtbESPT4vCMBTE7wt+h/AEL8uaqijdahRRFhbxD+t68fZo&#10;nm2xeSlN1PrtjSB4HGbmN8xk1phSXKl2hWUFvW4Egji1uuBMweH/5ysG4TyyxtIyKbiTg9m09THB&#10;RNsb/9F17zMRIOwSVJB7XyVSujQng65rK+LgnWxt0AdZZ1LXeAtwU8p+FI2kwYLDQo4VLXJKz/uL&#10;UeAI55vBcbtax56/B/Hmc7ddXpTqtJv5GISnxr/Dr/avVjAa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p7LnEAAAA2wAAAA8AAAAAAAAAAAAAAAAAmAIAAGRycy9k&#10;b3ducmV2LnhtbFBLBQYAAAAABAAEAPUAAACJAwAAAAA=&#10;" fillcolor="#77933c" strokecolor="#4f6228" strokeweight="1pt">
                  <v:textbox>
                    <w:txbxContent>
                      <w:p w:rsidR="00FE788C" w:rsidRDefault="00FE788C" w:rsidP="00ED6E3D">
                        <w:pPr>
                          <w:pStyle w:val="NormalWeb"/>
                          <w:spacing w:before="0" w:after="200" w:line="276" w:lineRule="auto"/>
                        </w:pPr>
                      </w:p>
                    </w:txbxContent>
                  </v:textbox>
                </v:rect>
                <v:rect id="Rectangle 34" o:spid="_x0000_s1043" style="position:absolute;left:31801;top:10315;width:1657;height:12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8HJsQA&#10;AADbAAAADwAAAGRycy9kb3ducmV2LnhtbESP0WrCQBRE3wX/YblCX6TZ2GoqMauINCXQp6ofcJu9&#10;TYLZuyG7xvj33ULBx2FmzjDZbjStGKh3jWUFiygGQVxa3XCl4HzKn9cgnEfW2FomBXdysNtOJxmm&#10;2t74i4ajr0SAsEtRQe19l0rpypoMush2xMH7sb1BH2RfSd3jLcBNK1/iOJEGGw4LNXZ0qKm8HK9G&#10;Ac2L4r7PPw+vb8v1B32/D+d8NSj1NBv3GxCeRv8I/7cLrSBJ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fBybEAAAA2wAAAA8AAAAAAAAAAAAAAAAAmAIAAGRycy9k&#10;b3ducmV2LnhtbFBLBQYAAAAABAAEAPUAAACJAwAAAAA=&#10;" fillcolor="#c3d69b" strokecolor="#4f6228" strokeweight="1pt">
                  <v:textbox>
                    <w:txbxContent>
                      <w:p w:rsidR="00FE788C" w:rsidRDefault="00FE788C" w:rsidP="00ED6E3D">
                        <w:pPr>
                          <w:pStyle w:val="NormalWeb"/>
                          <w:spacing w:before="0" w:after="200" w:line="276" w:lineRule="auto"/>
                        </w:pPr>
                      </w:p>
                    </w:txbxContent>
                  </v:textbox>
                </v:rect>
                <v:shape id="Straight Arrow Connector 35" o:spid="_x0000_s1044" type="#_x0000_t32" style="position:absolute;left:32661;top:9235;width: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xwPsUAAADbAAAADwAAAGRycy9kb3ducmV2LnhtbESPzWrDMBCE74G+g9hCb7HcQpPgRDah&#10;UEghhzQ/B98Wa2M5tVaupcbO21eFQo7DzHzDrIrRtuJKvW8cK3hOUhDEldMN1wqOh/fpAoQPyBpb&#10;x6TgRh6K/GGywky7gT/pug+1iBD2GSowIXSZlL4yZNEnriOO3tn1FkOUfS11j0OE21a+pOlMWmw4&#10;Lhjs6M1Q9bX/sQrW38Nufgn21ZQlb04fp+5w25ZKPT2O6yWIQGO4h//bG61gNoe/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xwPsUAAADbAAAADwAAAAAAAAAA&#10;AAAAAAChAgAAZHJzL2Rvd25yZXYueG1sUEsFBgAAAAAEAAQA+QAAAJMDAAAAAA==&#10;" strokecolor="windowText">
                  <v:stroke startarrow="open" startarrowwidth="narrow" startarrowlength="short" endarrowwidth="narrow" endarrowlength="short"/>
                </v:shape>
                <v:shape id="Text Box 11" o:spid="_x0000_s1045" type="#_x0000_t202" style="position:absolute;left:38705;top:5934;width:4202;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FE788C" w:rsidRPr="00C034B3" w:rsidRDefault="00FE788C" w:rsidP="00ED6E3D">
                        <w:pPr>
                          <w:pStyle w:val="NormalWeb"/>
                          <w:spacing w:before="0" w:after="200" w:line="276" w:lineRule="auto"/>
                          <w:rPr>
                            <w:rFonts w:asciiTheme="minorHAnsi" w:hAnsiTheme="minorHAnsi"/>
                            <w:sz w:val="28"/>
                            <w:vertAlign w:val="superscript"/>
                          </w:rPr>
                        </w:pPr>
                        <w:r w:rsidRPr="00C034B3">
                          <w:rPr>
                            <w:rFonts w:asciiTheme="minorHAnsi" w:hAnsiTheme="minorHAnsi"/>
                            <w:i/>
                            <w:szCs w:val="18"/>
                            <w:vertAlign w:val="subscript"/>
                          </w:rPr>
                          <w:t>S</w:t>
                        </w:r>
                        <w:r w:rsidRPr="00C034B3">
                          <w:rPr>
                            <w:rFonts w:asciiTheme="minorHAnsi" w:hAnsiTheme="minorHAnsi"/>
                            <w:i/>
                            <w:szCs w:val="18"/>
                            <w:vertAlign w:val="superscript"/>
                          </w:rPr>
                          <w:t>2</w:t>
                        </w:r>
                      </w:p>
                    </w:txbxContent>
                  </v:textbox>
                </v:shape>
                <v:rect id="Rectangle 37" o:spid="_x0000_s1046" style="position:absolute;left:36600;top:5935;width:1657;height:1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MQA&#10;AADbAAAADwAAAGRycy9kb3ducmV2LnhtbESPT4vCMBTE74LfITxhL7KmKkhbjSKKsCz+QXcve3s0&#10;z7bYvJQmavfbG0HwOMzMb5jZojWVuFHjSssKhoMIBHFmdcm5gt+fzWcMwnlkjZVlUvBPDhbzbmeG&#10;qbZ3PtLt5HMRIOxSVFB4X6dSuqwgg25ga+LgnW1j0AfZ5FI3eA9wU8lRFE2kwZLDQoE1rQrKLqer&#10;UeAIl7vx3/57G3tOxvGuf9ivr0p99NrlFISn1r/Dr/aXVjBJ4P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5rzEAAAA2wAAAA8AAAAAAAAAAAAAAAAAmAIAAGRycy9k&#10;b3ducmV2LnhtbFBLBQYAAAAABAAEAPUAAACJAwAAAAA=&#10;" fillcolor="#77933c" strokecolor="#4f6228" strokeweight="1pt">
                  <v:textbox>
                    <w:txbxContent>
                      <w:p w:rsidR="00FE788C" w:rsidRDefault="00FE788C" w:rsidP="00ED6E3D">
                        <w:pPr>
                          <w:pStyle w:val="NormalWeb"/>
                          <w:spacing w:before="0" w:after="200" w:line="276" w:lineRule="auto"/>
                        </w:pPr>
                      </w:p>
                    </w:txbxContent>
                  </v:textbox>
                </v:rect>
                <v:rect id="Rectangle 38" o:spid="_x0000_s1047" style="position:absolute;left:38264;top:8318;width:1657;height:14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sFMIA&#10;AADbAAAADwAAAGRycy9kb3ducmV2LnhtbERPzWrCQBC+F3yHZQQvRTe2tZHUVSSYEvCkzQOM2WkS&#10;zM6G7DaJb989FHr8+P53h8m0YqDeNZYVrFcRCOLS6oYrBcVXttyCcB5ZY2uZFDzIwWE/e9phou3I&#10;FxquvhIhhF2CCmrvu0RKV9Zk0K1sRxy4b9sb9AH2ldQ9jiHctPIlit6lwYZDQ40dpTWV9+uPUUDP&#10;ef44Zuf0NX7bftLtNBTZZlBqMZ+OHyA8Tf5f/OfOtYI4rA9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6wUwgAAANsAAAAPAAAAAAAAAAAAAAAAAJgCAABkcnMvZG93&#10;bnJldi54bWxQSwUGAAAAAAQABAD1AAAAhwMAAAAA&#10;" fillcolor="#c3d69b" strokecolor="#4f6228" strokeweight="1pt">
                  <v:textbox>
                    <w:txbxContent>
                      <w:p w:rsidR="00FE788C" w:rsidRDefault="00FE788C" w:rsidP="00ED6E3D">
                        <w:pPr>
                          <w:pStyle w:val="NormalWeb"/>
                          <w:spacing w:before="0" w:after="200" w:line="276" w:lineRule="auto"/>
                        </w:pPr>
                      </w:p>
                    </w:txbxContent>
                  </v:textbox>
                </v:rect>
                <v:shape id="Straight Arrow Connector 39" o:spid="_x0000_s1048" type="#_x0000_t32" style="position:absolute;left:39185;top:6012;width:0;height:23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2szcMAAADbAAAADwAAAGRycy9kb3ducmV2LnhtbESPQWvCQBSE70L/w/KE3nQTKVWjq0hV&#10;KHqqBrw+ss8kmn0bdleN/94tFHocZuYbZr7sTCPu5HxtWUE6TEAQF1bXXCrIj9vBBIQPyBoby6Tg&#10;SR6Wi7feHDNtH/xD90MoRYSwz1BBFUKbSemLigz6oW2Jo3e2zmCI0pVSO3xEuGnkKEk+pcGa40KF&#10;LX1VVFwPN6Pgw8l9sVnT5bbpysluNc3TU50r9d7vVjMQgbrwH/5rf2sF4xR+v8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NrM3DAAAA2wAAAA8AAAAAAAAAAAAA&#10;AAAAoQIAAGRycy9kb3ducmV2LnhtbFBLBQYAAAAABAAEAPkAAACRAwAAAAA=&#10;" strokecolor="windowText">
                  <v:stroke startarrow="open" startarrowwidth="narrow" startarrowlength="short" endarrowwidth="narrow" endarrowlength="short"/>
                </v:shape>
                <v:shape id="Text Box 11" o:spid="_x0000_s1049" type="#_x0000_t202" style="position:absolute;left:44886;top:2918;width:3544;height: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FE788C" w:rsidRPr="00C034B3" w:rsidRDefault="00FE788C" w:rsidP="00ED6E3D">
                        <w:pPr>
                          <w:pStyle w:val="NormalWeb"/>
                          <w:spacing w:before="0" w:after="200" w:line="276" w:lineRule="auto"/>
                          <w:jc w:val="center"/>
                          <w:rPr>
                            <w:rFonts w:asciiTheme="minorHAnsi" w:hAnsiTheme="minorHAnsi"/>
                            <w:sz w:val="32"/>
                            <w:vertAlign w:val="superscript"/>
                          </w:rPr>
                        </w:pPr>
                        <w:r w:rsidRPr="00C034B3">
                          <w:rPr>
                            <w:rFonts w:asciiTheme="minorHAnsi" w:hAnsiTheme="minorHAnsi"/>
                            <w:b/>
                            <w:i/>
                            <w:szCs w:val="18"/>
                            <w:vertAlign w:val="subscript"/>
                          </w:rPr>
                          <w:t>S</w:t>
                        </w:r>
                        <w:r w:rsidRPr="00C034B3">
                          <w:rPr>
                            <w:rFonts w:asciiTheme="minorHAnsi" w:hAnsiTheme="minorHAnsi"/>
                            <w:i/>
                            <w:szCs w:val="18"/>
                            <w:vertAlign w:val="superscript"/>
                          </w:rPr>
                          <w:t>3</w:t>
                        </w:r>
                      </w:p>
                      <w:p w:rsidR="00FE788C" w:rsidRPr="00490D61" w:rsidRDefault="00FE788C" w:rsidP="00ED6E3D">
                        <w:pPr>
                          <w:pStyle w:val="NormalWeb"/>
                          <w:spacing w:before="0" w:after="200" w:line="276" w:lineRule="auto"/>
                          <w:rPr>
                            <w:rFonts w:asciiTheme="minorHAnsi" w:hAnsiTheme="minorHAnsi"/>
                            <w:i/>
                            <w:vertAlign w:val="superscript"/>
                          </w:rPr>
                        </w:pPr>
                      </w:p>
                    </w:txbxContent>
                  </v:textbox>
                </v:shape>
                <v:rect id="Rectangle 41" o:spid="_x0000_s1050" style="position:absolute;left:42474;top:2516;width:1651;height:20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VHi8YA&#10;AADbAAAADwAAAGRycy9kb3ducmV2LnhtbESPT2vCQBTE70K/w/IKvYhu2oDG1FWkRZDiH4y99PbI&#10;viah2bchuybpt3eFQo/DzPyGWa4HU4uOWldZVvA8jUAQ51ZXXCj4vGwnCQjnkTXWlknBLzlYrx5G&#10;S0y17flMXeYLESDsUlRQet+kUrq8JINuahvi4H3b1qAPsi2kbrEPcFPLlyiaSYMVh4USG3orKf/J&#10;rkaBI9wc4q/jxz7xvIiTw/h0fL8q9fQ4bF5BeBr8f/ivvdMK5jHcv4Qf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VHi8YAAADbAAAADwAAAAAAAAAAAAAAAACYAgAAZHJz&#10;L2Rvd25yZXYueG1sUEsFBgAAAAAEAAQA9QAAAIsDAAAAAA==&#10;" fillcolor="#77933c" strokecolor="#4f6228" strokeweight="1pt">
                  <v:textbox>
                    <w:txbxContent>
                      <w:p w:rsidR="00FE788C" w:rsidRDefault="00FE788C" w:rsidP="00ED6E3D">
                        <w:pPr>
                          <w:pStyle w:val="NormalWeb"/>
                          <w:spacing w:before="0" w:after="200" w:line="276" w:lineRule="auto"/>
                        </w:pPr>
                      </w:p>
                    </w:txbxContent>
                  </v:textbox>
                </v:rect>
                <v:rect id="Rectangle 42" o:spid="_x0000_s1051" style="position:absolute;left:44138;top:6253;width:1651;height:16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qF8UA&#10;AADbAAAADwAAAGRycy9kb3ducmV2LnhtbESP0WrCQBRE34X+w3ILfRHdtLVVoquE0JSAT03zAdfs&#10;NQnN3g3ZbYx/3y0IPg4zc4bZHSbTiZEG11pW8LyMQBBXVrdcKyi/s8UGhPPIGjvLpOBKDg77h9kO&#10;Y20v/EVj4WsRIOxiVNB438dSuqohg25pe+Lgne1g0Ac51FIPeAlw08mXKHqXBlsOCw32lDZU/RS/&#10;RgHN8/yaZMf0db3afNLpYyyzt1Gpp8cp2YLwNPl7+NbOtYL1Cv6/hB8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KoXxQAAANsAAAAPAAAAAAAAAAAAAAAAAJgCAABkcnMv&#10;ZG93bnJldi54bWxQSwUGAAAAAAQABAD1AAAAigMAAAAA&#10;" fillcolor="#c3d69b" strokecolor="#4f6228" strokeweight="1pt">
                  <v:textbox>
                    <w:txbxContent>
                      <w:p w:rsidR="00FE788C" w:rsidRDefault="00FE788C" w:rsidP="00ED6E3D">
                        <w:pPr>
                          <w:pStyle w:val="NormalWeb"/>
                          <w:spacing w:before="0" w:after="200" w:line="276" w:lineRule="auto"/>
                        </w:pPr>
                      </w:p>
                    </w:txbxContent>
                  </v:textbox>
                </v:rect>
                <v:shape id="Straight Arrow Connector 43" o:spid="_x0000_s1052" type="#_x0000_t32" style="position:absolute;left:44962;top:2516;width:1;height:3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dD8UAAADbAAAADwAAAGRycy9kb3ducmV2LnhtbESPQWvCQBSE70L/w/IK3nTTglWimyCF&#10;goKHqvWQ2yP7zMZm36bZ1cR/7xYKPQ4z8w2zygfbiBt1vnas4GWagCAuna65UvB1/JgsQPiArLFx&#10;TAru5CHPnkYrTLXreU+3Q6hEhLBPUYEJoU2l9KUhi37qWuLonV1nMUTZVVJ32Ee4beRrkrxJizXH&#10;BYMtvRsqvw9Xq2D903/OL8HOTFHw5rQ9tcf7rlBq/DyslyACDeE//NfeaAXzGfx+iT9A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vdD8UAAADbAAAADwAAAAAAAAAA&#10;AAAAAAChAgAAZHJzL2Rvd25yZXYueG1sUEsFBgAAAAAEAAQA+QAAAJMDAAAAAA==&#10;" strokecolor="windowText">
                  <v:stroke startarrow="open" startarrowwidth="narrow" startarrowlength="short" endarrowwidth="narrow" endarrowlength="short"/>
                </v:shape>
                <v:shape id="Text Box 11" o:spid="_x0000_s1053" type="#_x0000_t202" style="position:absolute;left:4216;top:23554;width:609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FE788C" w:rsidRPr="001A297C" w:rsidRDefault="00FE788C" w:rsidP="00ED6E3D">
                        <w:pPr>
                          <w:pStyle w:val="NormalWeb"/>
                          <w:spacing w:before="0" w:after="200" w:line="276" w:lineRule="auto"/>
                          <w:jc w:val="center"/>
                          <w:rPr>
                            <w:rFonts w:asciiTheme="minorHAnsi" w:hAnsiTheme="minorHAnsi"/>
                            <w:sz w:val="18"/>
                            <w:szCs w:val="18"/>
                          </w:rPr>
                        </w:pPr>
                        <w:r>
                          <w:rPr>
                            <w:rFonts w:asciiTheme="minorHAnsi" w:hAnsiTheme="minorHAnsi"/>
                            <w:sz w:val="18"/>
                            <w:szCs w:val="18"/>
                          </w:rPr>
                          <w:t>2008-09</w:t>
                        </w:r>
                      </w:p>
                    </w:txbxContent>
                  </v:textbox>
                </v:shape>
                <v:shape id="Text Box 11" o:spid="_x0000_s1054" type="#_x0000_t202" style="position:absolute;left:15502;top:23554;width:7599;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FE788C" w:rsidRPr="00D9271F" w:rsidRDefault="00FE788C" w:rsidP="00ED6E3D">
                        <w:pPr>
                          <w:pStyle w:val="NormalWeb"/>
                          <w:spacing w:before="0" w:after="200" w:line="276" w:lineRule="auto"/>
                          <w:rPr>
                            <w:rFonts w:asciiTheme="minorHAnsi" w:hAnsiTheme="minorHAnsi"/>
                            <w:sz w:val="18"/>
                          </w:rPr>
                        </w:pPr>
                        <w:r>
                          <w:rPr>
                            <w:rFonts w:asciiTheme="minorHAnsi" w:hAnsiTheme="minorHAnsi"/>
                            <w:sz w:val="18"/>
                          </w:rPr>
                          <w:t>2012-13</w:t>
                        </w:r>
                      </w:p>
                    </w:txbxContent>
                  </v:textbox>
                </v:shape>
                <v:shape id="Text Box 11" o:spid="_x0000_s1055" type="#_x0000_t202" style="position:absolute;left:22413;top:23622;width:711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rsidR="00FE788C" w:rsidRPr="00D9271F" w:rsidRDefault="00FE788C" w:rsidP="00ED6E3D">
                        <w:pPr>
                          <w:pStyle w:val="NormalWeb"/>
                          <w:spacing w:before="0" w:after="200" w:line="276" w:lineRule="auto"/>
                          <w:jc w:val="center"/>
                          <w:rPr>
                            <w:rFonts w:asciiTheme="minorHAnsi" w:hAnsiTheme="minorHAnsi"/>
                            <w:sz w:val="18"/>
                            <w:szCs w:val="18"/>
                          </w:rPr>
                        </w:pPr>
                        <w:r>
                          <w:rPr>
                            <w:rFonts w:asciiTheme="minorHAnsi" w:hAnsiTheme="minorHAnsi"/>
                            <w:sz w:val="18"/>
                            <w:szCs w:val="18"/>
                          </w:rPr>
                          <w:t>2013-14</w:t>
                        </w:r>
                      </w:p>
                    </w:txbxContent>
                  </v:textbox>
                </v:shape>
                <v:shape id="Text Box 11" o:spid="_x0000_s1056" type="#_x0000_t202" style="position:absolute;left:28881;top:23624;width:636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WssYA&#10;AADbAAAADwAAAGRycy9kb3ducmV2LnhtbESPQWvCQBSE74L/YXmF3nTTgNWmriKBYCl6SOqlt9fs&#10;MwnNvo3Zrab+elco9DjMzDfMcj2YVpypd41lBU/TCARxaXXDlYLDRzZZgHAeWWNrmRT8koP1ajxa&#10;YqLthXM6F74SAcIuQQW1910ipStrMuimtiMO3tH2Bn2QfSV1j5cAN62Mo+hZGmw4LNTYUVpT+V38&#10;GAXvabbH/Cs2i2ubbnfHTXc6fM6UenwYNq8gPA3+P/zXftMK5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WssYAAADbAAAADwAAAAAAAAAAAAAAAACYAgAAZHJz&#10;L2Rvd25yZXYueG1sUEsFBgAAAAAEAAQA9QAAAIsDAAAAAA==&#10;" filled="f" stroked="f" strokeweight=".5pt">
                  <v:textbox>
                    <w:txbxContent>
                      <w:p w:rsidR="00FE788C" w:rsidRPr="00D9271F" w:rsidRDefault="00FE788C" w:rsidP="00ED6E3D">
                        <w:pPr>
                          <w:pStyle w:val="NormalWeb"/>
                          <w:spacing w:before="0" w:after="200" w:line="276" w:lineRule="auto"/>
                          <w:jc w:val="center"/>
                          <w:rPr>
                            <w:rFonts w:asciiTheme="minorHAnsi" w:hAnsiTheme="minorHAnsi"/>
                            <w:sz w:val="18"/>
                            <w:szCs w:val="18"/>
                          </w:rPr>
                        </w:pPr>
                        <w:r w:rsidRPr="00D9271F">
                          <w:rPr>
                            <w:rFonts w:asciiTheme="minorHAnsi" w:hAnsiTheme="minorHAnsi"/>
                            <w:sz w:val="18"/>
                            <w:szCs w:val="18"/>
                          </w:rPr>
                          <w:t>2014-</w:t>
                        </w:r>
                        <w:r>
                          <w:rPr>
                            <w:rFonts w:asciiTheme="minorHAnsi" w:hAnsiTheme="minorHAnsi"/>
                            <w:sz w:val="18"/>
                            <w:szCs w:val="18"/>
                          </w:rPr>
                          <w:t>15</w:t>
                        </w:r>
                      </w:p>
                    </w:txbxContent>
                  </v:textbox>
                </v:shape>
                <v:shape id="Text Box 11" o:spid="_x0000_s1057" type="#_x0000_t202" style="position:absolute;left:35248;top:23590;width:6496;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FE788C" w:rsidRPr="00D9271F" w:rsidRDefault="00FE788C" w:rsidP="00ED6E3D">
                        <w:pPr>
                          <w:pStyle w:val="NormalWeb"/>
                          <w:spacing w:before="0" w:after="200" w:line="276" w:lineRule="auto"/>
                          <w:jc w:val="center"/>
                          <w:rPr>
                            <w:rFonts w:asciiTheme="minorHAnsi" w:hAnsiTheme="minorHAnsi"/>
                            <w:sz w:val="18"/>
                            <w:szCs w:val="18"/>
                          </w:rPr>
                        </w:pPr>
                        <w:r w:rsidRPr="00D9271F">
                          <w:rPr>
                            <w:rFonts w:asciiTheme="minorHAnsi" w:hAnsiTheme="minorHAnsi"/>
                            <w:sz w:val="18"/>
                            <w:szCs w:val="18"/>
                          </w:rPr>
                          <w:t>2015-</w:t>
                        </w:r>
                        <w:r>
                          <w:rPr>
                            <w:rFonts w:asciiTheme="minorHAnsi" w:hAnsiTheme="minorHAnsi"/>
                            <w:sz w:val="18"/>
                            <w:szCs w:val="18"/>
                          </w:rPr>
                          <w:t>16</w:t>
                        </w:r>
                      </w:p>
                    </w:txbxContent>
                  </v:textbox>
                </v:shape>
                <v:shape id="Text Box 11" o:spid="_x0000_s1058" type="#_x0000_t202" style="position:absolute;left:41125;top:23496;width:682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7MuM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7MuMYAAADcAAAADwAAAAAAAAAAAAAAAACYAgAAZHJz&#10;L2Rvd25yZXYueG1sUEsFBgAAAAAEAAQA9QAAAIsDAAAAAA==&#10;" filled="f" stroked="f" strokeweight=".5pt">
                  <v:textbox>
                    <w:txbxContent>
                      <w:p w:rsidR="00FE788C" w:rsidRPr="00D9271F" w:rsidRDefault="00FE788C" w:rsidP="00ED6E3D">
                        <w:pPr>
                          <w:pStyle w:val="NormalWeb"/>
                          <w:spacing w:before="0" w:after="200" w:line="276" w:lineRule="auto"/>
                          <w:jc w:val="center"/>
                          <w:rPr>
                            <w:rFonts w:asciiTheme="minorHAnsi" w:hAnsiTheme="minorHAnsi"/>
                            <w:sz w:val="18"/>
                          </w:rPr>
                        </w:pPr>
                        <w:r>
                          <w:rPr>
                            <w:rFonts w:asciiTheme="minorHAnsi" w:hAnsiTheme="minorHAnsi"/>
                            <w:sz w:val="18"/>
                          </w:rPr>
                          <w:t>2016-17</w:t>
                        </w:r>
                      </w:p>
                    </w:txbxContent>
                  </v:textbox>
                </v:shape>
                <v:shape id="Text Box 11" o:spid="_x0000_s1059" type="#_x0000_t202" style="position:absolute;left:2228;top:3875;width:9726;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rsidR="00FE788C" w:rsidRPr="001A297C" w:rsidRDefault="00FE788C" w:rsidP="00ED6E3D">
                        <w:pPr>
                          <w:pStyle w:val="NormalWeb"/>
                          <w:spacing w:before="0" w:after="200" w:line="276" w:lineRule="auto"/>
                          <w:rPr>
                            <w:rFonts w:asciiTheme="minorHAnsi" w:hAnsiTheme="minorHAnsi"/>
                            <w:sz w:val="16"/>
                            <w:szCs w:val="16"/>
                          </w:rPr>
                        </w:pPr>
                        <w:r>
                          <w:rPr>
                            <w:rFonts w:asciiTheme="minorHAnsi" w:hAnsiTheme="minorHAnsi"/>
                            <w:sz w:val="16"/>
                            <w:szCs w:val="16"/>
                          </w:rPr>
                          <w:t>Actual costs</w:t>
                        </w:r>
                      </w:p>
                    </w:txbxContent>
                  </v:textbox>
                </v:shape>
                <v:rect id="Rectangle 51" o:spid="_x0000_s1060" style="position:absolute;left:771;top:4304;width:1657;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BFsIA&#10;AADcAAAADwAAAGRycy9kb3ducmV2LnhtbERPTYvCMBC9C/6HMIIXWVN1kW41iuwiiKyK7l68Dc3Y&#10;FptJaaLWf28Ewds83udM540pxZVqV1hWMOhHIIhTqwvOFPz/LT9iEM4jaywtk4I7OZjP2q0pJtre&#10;eE/Xg89ECGGXoILc+yqR0qU5GXR9WxEH7mRrgz7AOpO6xlsIN6UcRtFYGiw4NORY0XdO6flwMQoc&#10;4WIzOm7Xv7Hnr1G86e22Pxelup1mMQHhqfFv8cu90mH+5wCe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8EWwgAAANwAAAAPAAAAAAAAAAAAAAAAAJgCAABkcnMvZG93&#10;bnJldi54bWxQSwUGAAAAAAQABAD1AAAAhwMAAAAA&#10;" fillcolor="#77933c" strokecolor="#4f6228" strokeweight="1pt">
                  <v:textbox>
                    <w:txbxContent>
                      <w:p w:rsidR="00FE788C" w:rsidRDefault="00FE788C" w:rsidP="00ED6E3D"/>
                    </w:txbxContent>
                  </v:textbox>
                </v:rect>
                <v:rect id="Rectangle 52" o:spid="_x0000_s1061" style="position:absolute;left:720;top:6498;width:1657;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Q0sMA&#10;AADcAAAADwAAAGRycy9kb3ducmV2LnhtbERP22rCQBB9L/gPywi+lLrRaCupq0hoSsAnrR8wzU6T&#10;0OxsyK65/H23UOjbHM519sfRNKKnztWWFayWEQjiwuqaSwW3j+xpB8J5ZI2NZVIwkYPjYfawx0Tb&#10;gS/UX30pQgi7BBVU3reJlK6oyKBb2pY4cF+2M+gD7EqpOxxCuGnkOoqepcGaQ0OFLaUVFd/Xu1FA&#10;j3k+nbJzGr9sdu/0+dbfsm2v1GI+nl5BeBr9v/jPneswfxPD7zPhAn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QQ0sMAAADcAAAADwAAAAAAAAAAAAAAAACYAgAAZHJzL2Rv&#10;d25yZXYueG1sUEsFBgAAAAAEAAQA9QAAAIgDAAAAAA==&#10;" fillcolor="#c3d69b" strokecolor="#4f6228" strokeweight="1pt">
                  <v:textbox>
                    <w:txbxContent>
                      <w:p w:rsidR="00FE788C" w:rsidRDefault="00FE788C" w:rsidP="00ED6E3D">
                        <w:pPr>
                          <w:pStyle w:val="NormalWeb"/>
                          <w:spacing w:before="0" w:after="200" w:line="276" w:lineRule="auto"/>
                        </w:pPr>
                      </w:p>
                    </w:txbxContent>
                  </v:textbox>
                </v:rect>
                <v:shape id="Text Box 11" o:spid="_x0000_s1062" type="#_x0000_t202" style="position:absolute;left:3511;top:25999;width:666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rsidR="00FE788C" w:rsidRPr="00C034B3" w:rsidRDefault="00FE788C" w:rsidP="00ED6E3D">
                        <w:pPr>
                          <w:pStyle w:val="NormalWeb"/>
                          <w:spacing w:before="0" w:after="200" w:line="276" w:lineRule="auto"/>
                          <w:jc w:val="center"/>
                          <w:rPr>
                            <w:rFonts w:asciiTheme="minorHAnsi" w:hAnsiTheme="minorHAnsi"/>
                            <w:sz w:val="22"/>
                            <w:szCs w:val="22"/>
                            <w:vertAlign w:val="subscript"/>
                          </w:rPr>
                        </w:pPr>
                        <w:r w:rsidRPr="00C034B3">
                          <w:rPr>
                            <w:rFonts w:asciiTheme="minorHAnsi" w:hAnsiTheme="minorHAnsi"/>
                            <w:i/>
                            <w:sz w:val="22"/>
                            <w:szCs w:val="22"/>
                            <w:vertAlign w:val="superscript"/>
                          </w:rPr>
                          <w:t>S</w:t>
                        </w:r>
                        <w:r>
                          <w:rPr>
                            <w:rFonts w:asciiTheme="minorHAnsi" w:hAnsiTheme="minorHAnsi"/>
                            <w:sz w:val="22"/>
                            <w:szCs w:val="22"/>
                            <w:vertAlign w:val="subscript"/>
                          </w:rPr>
                          <w:t>2008-09</w:t>
                        </w:r>
                      </w:p>
                    </w:txbxContent>
                  </v:textbox>
                </v:shape>
                <v:shape id="Text Box 11" o:spid="_x0000_s1063" type="#_x0000_t202" style="position:absolute;left:15967;top:25942;width:6039;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XsMA&#10;AADcAAAADwAAAGRycy9kb3ducmV2LnhtbERPS4vCMBC+L/gfwgje1lRZ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XsMAAADcAAAADwAAAAAAAAAAAAAAAACYAgAAZHJzL2Rv&#10;d25yZXYueG1sUEsFBgAAAAAEAAQA9QAAAIgDAAAAAA==&#10;" filled="f" stroked="f" strokeweight=".5pt">
                  <v:textbox>
                    <w:txbxContent>
                      <w:p w:rsidR="00FE788C" w:rsidRPr="00C034B3" w:rsidRDefault="00FE788C" w:rsidP="00ED6E3D">
                        <w:pPr>
                          <w:pStyle w:val="NormalWeb"/>
                          <w:spacing w:before="0" w:after="200" w:line="276" w:lineRule="auto"/>
                          <w:jc w:val="center"/>
                          <w:rPr>
                            <w:rFonts w:asciiTheme="minorHAnsi" w:hAnsiTheme="minorHAnsi"/>
                            <w:sz w:val="22"/>
                            <w:szCs w:val="18"/>
                            <w:vertAlign w:val="subscript"/>
                          </w:rPr>
                        </w:pPr>
                        <w:r w:rsidRPr="00C034B3">
                          <w:rPr>
                            <w:rFonts w:asciiTheme="minorHAnsi" w:hAnsiTheme="minorHAnsi"/>
                            <w:i/>
                            <w:sz w:val="22"/>
                            <w:szCs w:val="18"/>
                            <w:vertAlign w:val="superscript"/>
                          </w:rPr>
                          <w:t>S</w:t>
                        </w:r>
                        <w:r>
                          <w:rPr>
                            <w:rFonts w:asciiTheme="minorHAnsi" w:hAnsiTheme="minorHAnsi"/>
                            <w:sz w:val="22"/>
                            <w:szCs w:val="18"/>
                            <w:vertAlign w:val="subscript"/>
                          </w:rPr>
                          <w:t>2012-13</w:t>
                        </w:r>
                      </w:p>
                      <w:p w:rsidR="00FE788C" w:rsidRPr="00490D61" w:rsidRDefault="00FE788C" w:rsidP="00ED6E3D">
                        <w:pPr>
                          <w:pStyle w:val="NormalWeb"/>
                          <w:spacing w:before="0" w:after="200" w:line="276" w:lineRule="auto"/>
                          <w:jc w:val="center"/>
                          <w:rPr>
                            <w:rFonts w:asciiTheme="minorHAnsi" w:hAnsiTheme="minorHAnsi"/>
                          </w:rPr>
                        </w:pPr>
                      </w:p>
                    </w:txbxContent>
                  </v:textbox>
                </v:shape>
                <v:shape id="Text Box 11" o:spid="_x0000_s1064" type="#_x0000_t202" style="position:absolute;left:21958;top:25989;width:6923;height:2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rsidR="00FE788C" w:rsidRPr="00C034B3" w:rsidRDefault="00FE788C" w:rsidP="00ED6E3D">
                        <w:pPr>
                          <w:pStyle w:val="NormalWeb"/>
                          <w:spacing w:before="0" w:after="200" w:line="276" w:lineRule="auto"/>
                          <w:jc w:val="center"/>
                          <w:rPr>
                            <w:rFonts w:asciiTheme="minorHAnsi" w:hAnsiTheme="minorHAnsi"/>
                            <w:sz w:val="22"/>
                            <w:vertAlign w:val="subscript"/>
                          </w:rPr>
                        </w:pPr>
                        <w:r w:rsidRPr="00C034B3">
                          <w:rPr>
                            <w:rFonts w:asciiTheme="minorHAnsi" w:hAnsiTheme="minorHAnsi"/>
                            <w:i/>
                            <w:sz w:val="22"/>
                            <w:vertAlign w:val="superscript"/>
                          </w:rPr>
                          <w:t>S</w:t>
                        </w:r>
                        <w:r>
                          <w:rPr>
                            <w:rFonts w:asciiTheme="minorHAnsi" w:hAnsiTheme="minorHAnsi"/>
                            <w:sz w:val="22"/>
                            <w:vertAlign w:val="subscript"/>
                          </w:rPr>
                          <w:t>2013-14</w:t>
                        </w:r>
                      </w:p>
                      <w:p w:rsidR="00FE788C" w:rsidRPr="00C034B3" w:rsidRDefault="00FE788C" w:rsidP="00ED6E3D">
                        <w:pPr>
                          <w:pStyle w:val="NormalWeb"/>
                          <w:spacing w:before="0" w:after="200" w:line="276" w:lineRule="auto"/>
                          <w:jc w:val="center"/>
                          <w:rPr>
                            <w:rFonts w:asciiTheme="minorHAnsi" w:hAnsiTheme="minorHAnsi"/>
                          </w:rPr>
                        </w:pPr>
                      </w:p>
                    </w:txbxContent>
                  </v:textbox>
                </v:shape>
                <v:shape id="Text Box 11" o:spid="_x0000_s1065" type="#_x0000_t202" style="position:absolute;left:28247;top:26132;width:7358;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8sMA&#10;AADcAAAADwAAAGRycy9kb3ducmV2LnhtbERPTYvCMBC9L/gfwgh7W1MLLlKNIgVRFj2ovXgbm7Et&#10;NpPaRK3++s3Cgrd5vM+ZzjtTizu1rrKsYDiIQBDnVldcKMgOy68xCOeRNdaWScGTHMxnvY8pJto+&#10;eEf3vS9ECGGXoILS+yaR0uUlGXQD2xAH7mxbgz7AtpC6xUcIN7WMo+hbGqw4NJTYUFpSftnfjIKf&#10;dLnF3Sk241edrjbnRXPNjiOlPvvdYgLCU+ff4n/3Wof5oxj+ng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ke8sMAAADcAAAADwAAAAAAAAAAAAAAAACYAgAAZHJzL2Rv&#10;d25yZXYueG1sUEsFBgAAAAAEAAQA9QAAAIgDAAAAAA==&#10;" filled="f" stroked="f" strokeweight=".5pt">
                  <v:textbox>
                    <w:txbxContent>
                      <w:p w:rsidR="00FE788C" w:rsidRPr="00C034B3" w:rsidRDefault="00FE788C" w:rsidP="00ED6E3D">
                        <w:pPr>
                          <w:pStyle w:val="NormalWeb"/>
                          <w:spacing w:before="0" w:after="200" w:line="276" w:lineRule="auto"/>
                          <w:jc w:val="center"/>
                          <w:rPr>
                            <w:rFonts w:asciiTheme="minorHAnsi" w:hAnsiTheme="minorHAnsi"/>
                            <w:i/>
                            <w:sz w:val="28"/>
                            <w:vertAlign w:val="subscript"/>
                          </w:rPr>
                        </w:pPr>
                        <w:r w:rsidRPr="00C034B3">
                          <w:rPr>
                            <w:rFonts w:asciiTheme="minorHAnsi" w:hAnsiTheme="minorHAnsi"/>
                            <w:i/>
                            <w:sz w:val="22"/>
                            <w:szCs w:val="18"/>
                            <w:vertAlign w:val="subscript"/>
                          </w:rPr>
                          <w:t>S</w:t>
                        </w:r>
                      </w:p>
                    </w:txbxContent>
                  </v:textbox>
                </v:shape>
                <v:shape id="Straight Arrow Connector 81" o:spid="_x0000_s1066" type="#_x0000_t32" style="position:absolute;left:21152;top:27432;width:2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oaL8MAAADcAAAADwAAAGRycy9kb3ducmV2LnhtbERP22oCMRB9L/QfwhT6VrNVFFnNihYt&#10;hSK0W30fNrMX3UyWJOrar28EoW9zONeZL3rTijM531hW8DpIQBAXVjdcKdj9bF6mIHxA1thaJgVX&#10;8rDIHh/mmGp74W8656ESMYR9igrqELpUSl/UZNAPbEccudI6gyFCV0nt8BLDTSuHSTKRBhuODTV2&#10;9FZTccxPRoFdlSe9H9vV1G2LfP0lD9fP91+lnp/65QxEoD78i+/uDx3nj0dweyZe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6Gi/DAAAA3AAAAA8AAAAAAAAAAAAA&#10;AAAAoQIAAGRycy9kb3ducmV2LnhtbFBLBQYAAAAABAAEAPkAAACRAwAAAAA=&#10;" strokecolor="windowText">
                  <v:stroke endarrow="open"/>
                </v:shape>
                <v:shape id="Straight Arrow Connector 82" o:spid="_x0000_s1067" type="#_x0000_t32" style="position:absolute;left:27844;top:27517;width:2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nwMIAAADcAAAADwAAAGRycy9kb3ducmV2LnhtbERP32vCMBB+F/Y/hBP2pqmDinRG0bGN&#10;gQium+9Hc7bV5lKSqNW/3giCb/fx/bzpvDONOJHztWUFo2ECgriwuuZSwf/f12ACwgdkjY1lUnAh&#10;D/PZS2+KmbZn/qVTHkoRQ9hnqKAKoc2k9EVFBv3QtsSR21lnMEToSqkdnmO4aeRbkoylwZpjQ4Ut&#10;fVRUHPKjUWCXu6PepnY5cesi/9zI/WX1fVXqtd8t3kEE6sJT/HD/6Dg/Te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8nwMIAAADcAAAADwAAAAAAAAAAAAAA&#10;AAChAgAAZHJzL2Rvd25yZXYueG1sUEsFBgAAAAAEAAQA+QAAAJADAAAAAA==&#10;" strokecolor="windowText">
                  <v:stroke endarrow="open"/>
                </v:shape>
                <v:shape id="Straight Arrow Connector 83" o:spid="_x0000_s1068" type="#_x0000_t32" style="position:absolute;left:33959;top:27432;width:2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25t8IAAADcAAAADwAAAGRycy9kb3ducmV2LnhtbERP32vCMBB+H/g/hBP2tqYbKFKNMsWN&#10;wRC06vvRnG235lKSqNW/3giCb/fx/bzJrDONOJHztWUF70kKgriwuuZSwW779TYC4QOyxsYyKbiQ&#10;h9m09zLBTNszb+iUh1LEEPYZKqhCaDMpfVGRQZ/YljhyB+sMhghdKbXDcww3jfxI06E0WHNsqLCl&#10;RUXFf340Cuz8cNT7gZ2P3KrIl2v5d/n9vir12u8+xyACdeEpfrh/dJw/GML9mXiBn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25t8IAAADcAAAADwAAAAAAAAAAAAAA&#10;AAChAgAAZHJzL2Rvd25yZXYueG1sUEsFBgAAAAAEAAQA+QAAAJADAAAAAA==&#10;" strokecolor="windowText">
                  <v:stroke endarrow="open"/>
                </v:shape>
                <v:shape id="Straight Arrow Connector 84" o:spid="_x0000_s1069" type="#_x0000_t32" style="position:absolute;left:40369;top:27422;width:2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EcLMMAAADcAAAADwAAAGRycy9kb3ducmV2LnhtbERP22oCMRB9L/gPYYS+1ayCraxmpYot&#10;BRHq2r4Pm9mL3UyWJOrarzdCoW9zONdZLHvTijM531hWMB4lIIgLqxuuFHwd3p5mIHxA1thaJgVX&#10;8rDMBg8LTLW98J7OeahEDGGfooI6hC6V0hc1GfQj2xFHrrTOYIjQVVI7vMRw08pJkjxLgw3Hhho7&#10;WtdU/OQno8CuypP+ntrVzO2KfPMpj9ft+69Sj8P+dQ4iUB/+xX/uDx3nT1/g/ky8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BHCzDAAAA3AAAAA8AAAAAAAAAAAAA&#10;AAAAoQIAAGRycy9kb3ducmV2LnhtbFBLBQYAAAAABAAEAPkAAACRAwAAAAA=&#10;" strokecolor="windowText">
                  <v:stroke endarrow="open"/>
                </v:shape>
                <v:shape id="Straight Arrow Connector 85" o:spid="_x0000_s1070" type="#_x0000_t32" style="position:absolute;left:9763;top:27517;width:2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6IXsUAAADcAAAADwAAAGRycy9kb3ducmV2LnhtbESPQWvCQBCF70L/wzKF3nRjwSKpq1Sx&#10;RRChpu19yI5JanY27K4a++udQ8HbDO/Ne9/MFr1r1ZlCbDwbGI8yUMSltw1XBr6/3odTUDEhW2w9&#10;k4ErRVjMHwYzzK2/8J7ORaqUhHDM0UCdUpdrHcuaHMaR74hFO/jgMMkaKm0DXiTctfo5y160w4al&#10;ocaOVjWVx+LkDPjl4WR/Jn45DbuyWH/q3+v248+Yp8f+7RVUoj7dzf/XGyv4E6GVZ2Q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6IXsUAAADcAAAADwAAAAAAAAAA&#10;AAAAAAChAgAAZHJzL2Rvd25yZXYueG1sUEsFBgAAAAAEAAQA+QAAAJMDAAAAAA==&#10;" strokecolor="windowText">
                  <v:stroke endarrow="open"/>
                </v:shape>
                <v:shape id="Straight Arrow Connector 86" o:spid="_x0000_s1071" type="#_x0000_t32" style="position:absolute;left:14359;top:27517;width:2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ItxcMAAADcAAAADwAAAGRycy9kb3ducmV2LnhtbERP22oCMRB9L/gPYYS+1ayCRVezUsWW&#10;ggjt2r4Pm9mL3UyWJOrarzdCoW9zONdZrnrTijM531hWMB4lIIgLqxuuFHwdXp9mIHxA1thaJgVX&#10;8rDKBg9LTLW98Ced81CJGMI+RQV1CF0qpS9qMuhHtiOOXGmdwRChq6R2eInhppWTJHmWBhuODTV2&#10;tKmp+MlPRoFdlyf9PbXrmdsX+fZDHq+7t1+lHof9ywJEoD78i//c7zrOn87h/ky8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SLcXDAAAA3AAAAA8AAAAAAAAAAAAA&#10;AAAAoQIAAGRycy9kb3ducmV2LnhtbFBLBQYAAAAABAAEAPkAAACRAwAAAAA=&#10;" strokecolor="windowText">
                  <v:stroke endarrow="open"/>
                </v:shape>
                <v:line id="Straight Connector 87" o:spid="_x0000_s1072" style="position:absolute;visibility:visible;mso-wrap-style:square" from="12568,27517" to="13977,27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CwIcMAAADcAAAADwAAAGRycy9kb3ducmV2LnhtbERPS2vCQBC+F/wPywje6iY92BpdRYTS&#10;FsHiA8XbkB2zIdnZkF01/fddQfA2H99zpvPO1uJKrS8dK0iHCQji3OmSCwX73efrBwgfkDXWjknB&#10;H3mYz3ovU8y0u/GGrttQiBjCPkMFJoQmk9Lnhiz6oWuII3d2rcUQYVtI3eIthttaviXJSFosOTYY&#10;bGhpKK+2F6tgNTbvu1/82aRHrqrDeH08rfyXUoN+t5iACNSFp/jh/tZx/iiF+zPxAj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gsCHDAAAA3AAAAA8AAAAAAAAAAAAA&#10;AAAAoQIAAGRycy9kb3ducmV2LnhtbFBLBQYAAAAABAAEAPkAAACRAwAAAAA=&#10;" strokecolor="windowText">
                  <v:stroke dashstyle="3 1"/>
                </v:line>
                <v:shape id="Text Box 11" o:spid="_x0000_s1073" type="#_x0000_t202" style="position:absolute;left:2192;top:5547;width:20469;height:3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FE788C" w:rsidRPr="001A297C" w:rsidRDefault="00FE788C" w:rsidP="00ED6E3D">
                        <w:pPr>
                          <w:pStyle w:val="NormalWeb"/>
                          <w:spacing w:before="0" w:after="200" w:line="276" w:lineRule="auto"/>
                          <w:rPr>
                            <w:rFonts w:asciiTheme="minorHAnsi" w:hAnsiTheme="minorHAnsi"/>
                            <w:sz w:val="16"/>
                            <w:szCs w:val="16"/>
                          </w:rPr>
                        </w:pPr>
                        <w:r>
                          <w:rPr>
                            <w:rFonts w:asciiTheme="minorHAnsi" w:hAnsiTheme="minorHAnsi"/>
                            <w:sz w:val="16"/>
                            <w:szCs w:val="16"/>
                          </w:rPr>
                          <w:t>Model costs derived by applying 2013-14 cost model to costed activity data scaling</w:t>
                        </w:r>
                      </w:p>
                    </w:txbxContent>
                  </v:textbox>
                </v:shape>
                <v:line id="Straight Connector 89" o:spid="_x0000_s1074" style="position:absolute;flip:y;visibility:visible;mso-wrap-style:square" from="28735,1370" to="28735,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7UbMIAAADcAAAADwAAAGRycy9kb3ducmV2LnhtbERPTWvCQBC9C/0PyxS8iG6UGiW6ShUF&#10;r01F8DZkx2xodjZkV5P213eFQm/zeJ+z3va2Fg9qfeVYwXSSgCAunK64VHD+PI6XIHxA1lg7JgXf&#10;5GG7eRmsMdOu4w965KEUMYR9hgpMCE0mpS8MWfQT1xBH7uZaiyHCtpS6xS6G21rOkiSVFiuODQYb&#10;2hsqvvK7VbAbmdmhu+e7/TzVi4v7mV7neFRq+Nq/r0AE6sO/+M990nF++gbP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7UbMIAAADcAAAADwAAAAAAAAAAAAAA&#10;AAChAgAAZHJzL2Rvd25yZXYueG1sUEsFBgAAAAAEAAQA+QAAAJADAAAAAA==&#10;" strokecolor="windowText">
                  <v:stroke dashstyle="dash"/>
                </v:line>
                <v:shape id="Straight Arrow Connector 90" o:spid="_x0000_s1075" type="#_x0000_t32" style="position:absolute;left:30262;top:3784;width:7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FzCsMAAADcAAAADwAAAGRycy9kb3ducmV2LnhtbERP32vCMBB+H/g/hBvsbaYTVqQaixU3&#10;BmMwq74fzdlWm0tJotb99ctg4Nt9fD9vng+mExdyvrWs4GWcgCCurG65VrDbvj1PQfiArLGzTApu&#10;5CFfjB7mmGl75Q1dylCLGMI+QwVNCH0mpa8aMujHtieO3ME6gyFCV0vt8BrDTScnSZJKgy3HhgZ7&#10;WjVUncqzUWCLw1nvX20xdV9Vuf6Wx9vn+49ST4/DcgYi0BDu4n/3h47z0x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hcwrDAAAA3AAAAA8AAAAAAAAAAAAA&#10;AAAAoQIAAGRycy9kb3ducmV2LnhtbFBLBQYAAAAABAAEAPkAAACRAwAAAAA=&#10;" strokecolor="windowText">
                  <v:stroke endarrow="open"/>
                </v:shape>
                <v:shape id="Text Box 11" o:spid="_x0000_s1076" type="#_x0000_t202" style="position:absolute;left:30511;top:1666;width:7753;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FE788C" w:rsidRPr="00D9271F" w:rsidRDefault="00FE788C" w:rsidP="00ED6E3D">
                        <w:pPr>
                          <w:pStyle w:val="NormalWeb"/>
                          <w:spacing w:before="0" w:after="200" w:line="276" w:lineRule="auto"/>
                          <w:rPr>
                            <w:rFonts w:asciiTheme="minorHAnsi" w:hAnsiTheme="minorHAnsi"/>
                            <w:sz w:val="20"/>
                          </w:rPr>
                        </w:pPr>
                        <w:r>
                          <w:rPr>
                            <w:rFonts w:asciiTheme="minorHAnsi" w:hAnsiTheme="minorHAnsi"/>
                            <w:sz w:val="20"/>
                          </w:rPr>
                          <w:t>Projected</w:t>
                        </w:r>
                      </w:p>
                    </w:txbxContent>
                  </v:textbox>
                </v:shape>
                <v:shape id="Straight Arrow Connector 92" o:spid="_x0000_s1077" type="#_x0000_t32" style="position:absolute;left:19709;top:3765;width:7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wycQAAADcAAAADwAAAGRycy9kb3ducmV2LnhtbESPQW/CMAyF75P4D5EncVuTcWCsIyCE&#10;NIkdyxASN6/x2kLjdE1Gy7+fD5O42XrP731erkffqiv1sQls4TkzoIjL4BquLBw+358WoGJCdtgG&#10;Jgs3irBeTR6WmLswcEHXfaqUhHDM0UKdUpdrHcuaPMYsdMSifYfeY5K1r7TrcZBw3+qZMXPtsWFp&#10;qLGjbU3lZf/rLRx/XKQXff4qhqb4OJ3HhTGvpbXTx3HzBirRmO7m/+udE/y50MozMoF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qfDJxAAAANwAAAAPAAAAAAAAAAAA&#10;AAAAAKECAABkcnMvZG93bnJldi54bWxQSwUGAAAAAAQABAD5AAAAkgMAAAAA&#10;" strokecolor="windowText">
                  <v:stroke startarrow="open"/>
                </v:shape>
                <v:shape id="Text Box 11" o:spid="_x0000_s1078" type="#_x0000_t202" style="position:absolute;left:20766;top:1650;width:728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GPsQA&#10;AADcAAAADwAAAGRycy9kb3ducmV2LnhtbERPTWvCQBC9F/wPywi9NZsKDTbNKhKQlqIHYy69TbNj&#10;EpqdTbNbTf31riB4m8f7nGw5mk4caXCtZQXPUQyCuLK65VpBuV8/zUE4j6yxs0wK/snBcjF5yDDV&#10;9sQ7Oha+FiGEXYoKGu/7VEpXNWTQRbYnDtzBDgZ9gEMt9YCnEG46OYvjRBpsOTQ02FPeUPVT/BkF&#10;n/l6i7vvmZmfu/x9c1j1v+XXi1KP03H1BsLT6O/im/tDh/nJK1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Rj7EAAAA3AAAAA8AAAAAAAAAAAAAAAAAmAIAAGRycy9k&#10;b3ducmV2LnhtbFBLBQYAAAAABAAEAPUAAACJAwAAAAA=&#10;" filled="f" stroked="f" strokeweight=".5pt">
                  <v:textbox>
                    <w:txbxContent>
                      <w:p w:rsidR="00FE788C" w:rsidRPr="00D9271F" w:rsidRDefault="00FE788C" w:rsidP="00ED6E3D">
                        <w:pPr>
                          <w:pStyle w:val="NormalWeb"/>
                          <w:spacing w:before="0" w:after="200" w:line="276" w:lineRule="auto"/>
                          <w:rPr>
                            <w:rFonts w:asciiTheme="minorHAnsi" w:hAnsiTheme="minorHAnsi"/>
                            <w:sz w:val="18"/>
                          </w:rPr>
                        </w:pPr>
                        <w:r w:rsidRPr="00D9271F">
                          <w:rPr>
                            <w:rFonts w:asciiTheme="minorHAnsi" w:hAnsiTheme="minorHAnsi"/>
                            <w:sz w:val="20"/>
                          </w:rPr>
                          <w:t>Historic</w:t>
                        </w:r>
                        <w:r>
                          <w:rPr>
                            <w:rFonts w:asciiTheme="minorHAnsi" w:hAnsiTheme="minorHAnsi"/>
                            <w:sz w:val="20"/>
                          </w:rPr>
                          <w:t>al</w:t>
                        </w:r>
                      </w:p>
                    </w:txbxContent>
                  </v:textbox>
                </v:shape>
                <v:shape id="Text Box 11" o:spid="_x0000_s1079" type="#_x0000_t202" style="position:absolute;left:720;top:13426;width:6493;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5fs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3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5fsYAAADcAAAADwAAAAAAAAAAAAAAAACYAgAAZHJz&#10;L2Rvd25yZXYueG1sUEsFBgAAAAAEAAQA9QAAAIsDAAAAAA==&#10;" filled="f" stroked="f" strokeweight=".5pt">
                  <v:textbox>
                    <w:txbxContent>
                      <w:p w:rsidR="00FE788C" w:rsidRPr="00490D61" w:rsidRDefault="00FE788C" w:rsidP="00ED6E3D">
                        <w:pPr>
                          <w:pStyle w:val="NormalWeb"/>
                          <w:spacing w:before="0" w:after="200" w:line="276" w:lineRule="auto"/>
                          <w:rPr>
                            <w:rFonts w:asciiTheme="minorHAnsi" w:hAnsiTheme="minorHAnsi"/>
                          </w:rPr>
                        </w:pPr>
                        <w:r w:rsidRPr="008916CD">
                          <w:rPr>
                            <w:rFonts w:asciiTheme="minorHAnsi" w:hAnsiTheme="minorHAnsi"/>
                            <w:i/>
                            <w:vertAlign w:val="superscript"/>
                          </w:rPr>
                          <w:t>S</w:t>
                        </w:r>
                        <w:r w:rsidRPr="008916CD">
                          <w:rPr>
                            <w:rFonts w:asciiTheme="minorHAnsi" w:hAnsiTheme="minorHAnsi"/>
                            <w:vertAlign w:val="subscript"/>
                          </w:rPr>
                          <w:t>20</w:t>
                        </w:r>
                        <w:r>
                          <w:rPr>
                            <w:rFonts w:asciiTheme="minorHAnsi" w:hAnsiTheme="minorHAnsi"/>
                            <w:vertAlign w:val="subscript"/>
                          </w:rPr>
                          <w:t>08</w:t>
                        </w:r>
                        <w:r w:rsidRPr="008916CD">
                          <w:rPr>
                            <w:rFonts w:asciiTheme="minorHAnsi" w:hAnsiTheme="minorHAnsi"/>
                            <w:vertAlign w:val="subscript"/>
                          </w:rPr>
                          <w:t>-</w:t>
                        </w:r>
                        <w:r>
                          <w:rPr>
                            <w:rFonts w:asciiTheme="minorHAnsi" w:hAnsiTheme="minorHAnsi"/>
                            <w:vertAlign w:val="subscript"/>
                          </w:rPr>
                          <w:t>09</w:t>
                        </w:r>
                      </w:p>
                    </w:txbxContent>
                  </v:textbox>
                </v:shape>
                <v:shape id="Text Box 11" o:spid="_x0000_s1080" type="#_x0000_t202" style="position:absolute;left:34098;top:26031;width:8376;height: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rsidR="00FE788C" w:rsidRPr="00C034B3" w:rsidRDefault="00FE788C" w:rsidP="00ED6E3D">
                        <w:pPr>
                          <w:pStyle w:val="NormalWeb"/>
                          <w:spacing w:before="0" w:after="200" w:line="276" w:lineRule="auto"/>
                          <w:jc w:val="center"/>
                          <w:rPr>
                            <w:rFonts w:asciiTheme="minorHAnsi" w:hAnsiTheme="minorHAnsi"/>
                            <w:sz w:val="28"/>
                            <w:vertAlign w:val="superscript"/>
                          </w:rPr>
                        </w:pPr>
                        <w:r w:rsidRPr="00C034B3">
                          <w:rPr>
                            <w:rFonts w:asciiTheme="minorHAnsi" w:hAnsiTheme="minorHAnsi"/>
                            <w:i/>
                            <w:sz w:val="22"/>
                            <w:szCs w:val="18"/>
                            <w:vertAlign w:val="subscript"/>
                          </w:rPr>
                          <w:t>S</w:t>
                        </w:r>
                        <w:r w:rsidRPr="00C034B3">
                          <w:rPr>
                            <w:rFonts w:asciiTheme="minorHAnsi" w:hAnsiTheme="minorHAnsi"/>
                            <w:i/>
                            <w:sz w:val="22"/>
                            <w:szCs w:val="18"/>
                            <w:vertAlign w:val="superscript"/>
                          </w:rPr>
                          <w:t>2</w:t>
                        </w:r>
                      </w:p>
                    </w:txbxContent>
                  </v:textbox>
                </v:shape>
                <v:shape id="Text Box 11" o:spid="_x0000_s1081" type="#_x0000_t202" style="position:absolute;left:42868;top:25929;width:3340;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FE788C" w:rsidRPr="00C034B3" w:rsidRDefault="00FE788C" w:rsidP="00ED6E3D">
                        <w:pPr>
                          <w:pStyle w:val="NormalWeb"/>
                          <w:spacing w:before="0" w:after="200" w:line="276" w:lineRule="auto"/>
                          <w:jc w:val="center"/>
                          <w:rPr>
                            <w:rFonts w:asciiTheme="minorHAnsi" w:hAnsiTheme="minorHAnsi"/>
                            <w:sz w:val="28"/>
                            <w:vertAlign w:val="superscript"/>
                          </w:rPr>
                        </w:pPr>
                        <w:r w:rsidRPr="00E33EAE">
                          <w:rPr>
                            <w:rFonts w:asciiTheme="minorHAnsi" w:hAnsiTheme="minorHAnsi"/>
                            <w:i/>
                            <w:sz w:val="22"/>
                            <w:szCs w:val="18"/>
                            <w:vertAlign w:val="subscript"/>
                          </w:rPr>
                          <w:t>S</w:t>
                        </w:r>
                        <w:r w:rsidRPr="00C034B3">
                          <w:rPr>
                            <w:rFonts w:asciiTheme="minorHAnsi" w:hAnsiTheme="minorHAnsi"/>
                            <w:i/>
                            <w:sz w:val="22"/>
                            <w:szCs w:val="18"/>
                            <w:vertAlign w:val="superscript"/>
                          </w:rPr>
                          <w:t>3</w:t>
                        </w:r>
                      </w:p>
                      <w:p w:rsidR="00FE788C" w:rsidRPr="00490D61" w:rsidRDefault="00FE788C" w:rsidP="00ED6E3D">
                        <w:pPr>
                          <w:pStyle w:val="NormalWeb"/>
                          <w:spacing w:before="0" w:after="200" w:line="276" w:lineRule="auto"/>
                          <w:rPr>
                            <w:rFonts w:asciiTheme="minorHAnsi" w:hAnsiTheme="minorHAnsi"/>
                            <w:i/>
                            <w:vertAlign w:val="superscript"/>
                          </w:rPr>
                        </w:pPr>
                      </w:p>
                    </w:txbxContent>
                  </v:textbox>
                </v:shape>
                <v:shape id="Text Box 11" o:spid="_x0000_s1082" type="#_x0000_t202" style="position:absolute;left:212;top:8228;width:3299;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rsidR="00FE788C" w:rsidRPr="008916CD" w:rsidRDefault="00FE788C" w:rsidP="00ED6E3D">
                        <w:pPr>
                          <w:pStyle w:val="NormalWeb"/>
                          <w:spacing w:before="0" w:after="200" w:line="276" w:lineRule="auto"/>
                          <w:rPr>
                            <w:rFonts w:asciiTheme="minorHAnsi" w:hAnsiTheme="minorHAnsi"/>
                            <w:i/>
                            <w:sz w:val="28"/>
                          </w:rPr>
                        </w:pPr>
                        <w:r w:rsidRPr="008916CD">
                          <w:rPr>
                            <w:rFonts w:ascii="Calibri" w:eastAsia="Calibri" w:hAnsi="Calibri"/>
                            <w:i/>
                            <w:sz w:val="28"/>
                            <w:vertAlign w:val="superscript"/>
                          </w:rPr>
                          <w:t>S</w:t>
                        </w:r>
                        <w:r>
                          <w:rPr>
                            <w:rFonts w:ascii="Calibri" w:eastAsia="Calibri" w:hAnsi="Calibri"/>
                            <w:i/>
                            <w:sz w:val="28"/>
                            <w:vertAlign w:val="subscript"/>
                          </w:rPr>
                          <w:t>X</w:t>
                        </w:r>
                      </w:p>
                    </w:txbxContent>
                  </v:textbox>
                </v:shape>
                <v:shape id="Text Box 11" o:spid="_x0000_s1083" type="#_x0000_t202" style="position:absolute;left:2019;top:8488;width:19431;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FE788C" w:rsidRPr="00D9271F" w:rsidRDefault="00FE788C" w:rsidP="00ED6E3D">
                        <w:pPr>
                          <w:pStyle w:val="NormalWeb"/>
                          <w:spacing w:before="0" w:after="200" w:line="276" w:lineRule="auto"/>
                          <w:rPr>
                            <w:rFonts w:asciiTheme="minorHAnsi" w:hAnsiTheme="minorHAnsi" w:cstheme="minorHAnsi"/>
                            <w:sz w:val="16"/>
                          </w:rPr>
                        </w:pPr>
                        <w:r w:rsidRPr="00D9271F">
                          <w:rPr>
                            <w:rFonts w:asciiTheme="minorHAnsi" w:eastAsia="Calibri" w:hAnsiTheme="minorHAnsi" w:cstheme="minorHAnsi"/>
                            <w:sz w:val="16"/>
                          </w:rPr>
                          <w:t>Scaling factor required to equalise model costs</w:t>
                        </w:r>
                        <w:r>
                          <w:rPr>
                            <w:rFonts w:asciiTheme="minorHAnsi" w:eastAsia="Calibri" w:hAnsiTheme="minorHAnsi" w:cstheme="minorHAnsi"/>
                            <w:sz w:val="16"/>
                          </w:rPr>
                          <w:t xml:space="preserve"> with actual costs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1" o:spid="_x0000_s1084" type="#_x0000_t87" style="position:absolute;left:14647;top:18998;width:2726;height:2216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JV8IA&#10;AADcAAAADwAAAGRycy9kb3ducmV2LnhtbERPTWvCQBC9F/wPywi91Y1CUkldpVoKza1V6XnMjklq&#10;djbsbpP033cFwds83uesNqNpRU/ON5YVzGcJCOLS6oYrBcfD+9MShA/IGlvLpOCPPGzWk4cV5toO&#10;/EX9PlQihrDPUUEdQpdL6cuaDPqZ7Ygjd7bOYIjQVVI7HGK4aeUiSTJpsOHYUGNHu5rKy/7XKPj8&#10;5uJyXv7sRueyU3Eq2rdtOlfqcTq+voAINIa7+Ob+0HH+cwrXZ+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AlXwgAAANwAAAAPAAAAAAAAAAAAAAAAAJgCAABkcnMvZG93&#10;bnJldi54bWxQSwUGAAAAAAQABAD1AAAAhwMAAAAA&#10;" adj="221" strokecolor="windowText"/>
                <v:shape id="Left Brace 132" o:spid="_x0000_s1085" type="#_x0000_t87" style="position:absolute;left:36529;top:23236;width:2724;height:137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PwcEA&#10;AADcAAAADwAAAGRycy9kb3ducmV2LnhtbERP32vCMBB+F/wfwgl709Q9qHRGGQNhyNhoFfZ6NGda&#10;bS4lSbX77xdB8O0+vp+33g62FVfyoXGsYD7LQBBXTjdsFBwPu+kKRIjIGlvHpOCPAmw349Eac+1u&#10;XNC1jEakEA45Kqhj7HIpQ1WTxTBzHXHiTs5bjAl6I7XHWwq3rXzNsoW02HBqqLGjj5qqS9lbBV8/&#10;p64w36Y//+7L3vhitXdcKfUyGd7fQEQa4lP8cH/qNH+5gPsz6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4j8HBAAAA3AAAAA8AAAAAAAAAAAAAAAAAmAIAAGRycy9kb3du&#10;cmV2LnhtbFBLBQYAAAAABAAEAPUAAACGAwAAAAA=&#10;" adj="358" strokecolor="windowText">
                  <v:textbox>
                    <w:txbxContent>
                      <w:p w:rsidR="00FE788C" w:rsidRDefault="00FE788C" w:rsidP="00ED6E3D"/>
                    </w:txbxContent>
                  </v:textbox>
                </v:shape>
                <v:shape id="Text Box 11" o:spid="_x0000_s1086" type="#_x0000_t202" style="position:absolute;left:8870;top:30968;width:1423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FE788C" w:rsidRPr="008916CD" w:rsidRDefault="00FE788C" w:rsidP="00ED6E3D">
                        <w:pPr>
                          <w:pStyle w:val="NormalWeb"/>
                          <w:spacing w:before="0" w:after="200" w:line="276" w:lineRule="auto"/>
                          <w:jc w:val="center"/>
                          <w:rPr>
                            <w:rFonts w:asciiTheme="minorHAnsi" w:hAnsiTheme="minorHAnsi"/>
                            <w:sz w:val="16"/>
                          </w:rPr>
                        </w:pPr>
                        <w:r w:rsidRPr="008916CD">
                          <w:rPr>
                            <w:rFonts w:asciiTheme="minorHAnsi" w:hAnsiTheme="minorHAnsi"/>
                            <w:sz w:val="18"/>
                          </w:rPr>
                          <w:t>Time series</w:t>
                        </w:r>
                      </w:p>
                    </w:txbxContent>
                  </v:textbox>
                </v:shape>
                <v:shape id="Text Box 11" o:spid="_x0000_s1087" type="#_x0000_t202" style="position:absolute;left:30811;top:31075;width:1418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eM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1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1eMYAAADcAAAADwAAAAAAAAAAAAAAAACYAgAAZHJz&#10;L2Rvd25yZXYueG1sUEsFBgAAAAAEAAQA9QAAAIsDAAAAAA==&#10;" filled="f" stroked="f" strokeweight=".5pt">
                  <v:textbox>
                    <w:txbxContent>
                      <w:p w:rsidR="00FE788C" w:rsidRPr="008916CD" w:rsidRDefault="00FE788C" w:rsidP="00ED6E3D">
                        <w:pPr>
                          <w:pStyle w:val="NormalWeb"/>
                          <w:spacing w:before="0" w:after="200" w:line="276" w:lineRule="auto"/>
                          <w:jc w:val="center"/>
                          <w:rPr>
                            <w:rFonts w:asciiTheme="minorHAnsi" w:hAnsiTheme="minorHAnsi"/>
                            <w:sz w:val="18"/>
                          </w:rPr>
                        </w:pPr>
                        <w:r w:rsidRPr="008916CD">
                          <w:rPr>
                            <w:rFonts w:asciiTheme="minorHAnsi" w:hAnsiTheme="minorHAnsi"/>
                            <w:sz w:val="18"/>
                          </w:rPr>
                          <w:t>Projection of time series</w:t>
                        </w:r>
                      </w:p>
                    </w:txbxContent>
                  </v:textbox>
                </v:shape>
                <w10:anchorlock/>
              </v:group>
            </w:pict>
          </mc:Fallback>
        </mc:AlternateContent>
      </w:r>
    </w:p>
    <w:p w:rsidR="00460371" w:rsidRPr="00704036" w:rsidRDefault="00460371" w:rsidP="009B622C">
      <w:pPr>
        <w:spacing w:before="240" w:after="200" w:line="276" w:lineRule="auto"/>
        <w:rPr>
          <w:rFonts w:ascii="Arial" w:eastAsia="Calibri" w:hAnsi="Arial" w:cs="Arial"/>
          <w:szCs w:val="24"/>
        </w:rPr>
      </w:pPr>
      <w:r w:rsidRPr="00704036">
        <w:rPr>
          <w:rFonts w:ascii="Arial" w:eastAsia="Calibri" w:hAnsi="Arial" w:cs="Arial"/>
          <w:szCs w:val="24"/>
        </w:rPr>
        <w:t>Denoting the historical total actual costs of the activity by</w:t>
      </w:r>
    </w:p>
    <w:p w:rsidR="00460371" w:rsidRPr="00704036" w:rsidRDefault="00460371" w:rsidP="00AD4FFC">
      <w:pPr>
        <w:spacing w:before="100" w:beforeAutospacing="1" w:after="100" w:afterAutospacing="1"/>
        <w:jc w:val="center"/>
        <w:rPr>
          <w:rFonts w:ascii="Arial" w:eastAsia="Calibri" w:hAnsi="Arial" w:cs="Arial"/>
          <w:szCs w:val="24"/>
        </w:rPr>
      </w:pPr>
      <w:r w:rsidRPr="00704036">
        <w:rPr>
          <w:rFonts w:ascii="Arial" w:eastAsia="Calibri" w:hAnsi="Arial" w:cs="Arial"/>
          <w:i/>
          <w:szCs w:val="24"/>
        </w:rPr>
        <w:t>C</w:t>
      </w:r>
      <w:r w:rsidR="005254A3" w:rsidRPr="00704036">
        <w:rPr>
          <w:rFonts w:ascii="Arial" w:eastAsia="Calibri" w:hAnsi="Arial" w:cs="Arial"/>
          <w:szCs w:val="24"/>
          <w:vertAlign w:val="subscript"/>
        </w:rPr>
        <w:t>200</w:t>
      </w:r>
      <w:r w:rsidR="00ED6E3D">
        <w:rPr>
          <w:rFonts w:ascii="Arial" w:eastAsia="Calibri" w:hAnsi="Arial" w:cs="Arial"/>
          <w:szCs w:val="24"/>
          <w:vertAlign w:val="subscript"/>
        </w:rPr>
        <w:t>8</w:t>
      </w:r>
      <w:r w:rsidR="005254A3" w:rsidRPr="00704036">
        <w:rPr>
          <w:rFonts w:ascii="Arial" w:eastAsia="Calibri" w:hAnsi="Arial" w:cs="Arial"/>
          <w:szCs w:val="24"/>
          <w:vertAlign w:val="subscript"/>
        </w:rPr>
        <w:t>-0</w:t>
      </w:r>
      <w:r w:rsidR="00ED6E3D">
        <w:rPr>
          <w:rFonts w:ascii="Arial" w:eastAsia="Calibri" w:hAnsi="Arial" w:cs="Arial"/>
          <w:szCs w:val="24"/>
          <w:vertAlign w:val="subscript"/>
        </w:rPr>
        <w:t>9</w:t>
      </w:r>
      <w:proofErr w:type="gramStart"/>
      <w:r w:rsidRPr="00704036">
        <w:rPr>
          <w:rFonts w:ascii="Arial" w:eastAsia="Calibri" w:hAnsi="Arial" w:cs="Arial"/>
          <w:szCs w:val="24"/>
        </w:rPr>
        <w:t>,…,</w:t>
      </w:r>
      <w:proofErr w:type="gramEnd"/>
      <w:r w:rsidRPr="00704036">
        <w:rPr>
          <w:rFonts w:ascii="Arial" w:eastAsia="Calibri" w:hAnsi="Arial" w:cs="Arial"/>
          <w:szCs w:val="24"/>
        </w:rPr>
        <w:t xml:space="preserve"> </w:t>
      </w:r>
      <w:r w:rsidRPr="00704036">
        <w:rPr>
          <w:rFonts w:ascii="Arial" w:eastAsia="Calibri" w:hAnsi="Arial" w:cs="Arial"/>
          <w:i/>
          <w:szCs w:val="24"/>
        </w:rPr>
        <w:t>C</w:t>
      </w:r>
      <w:r w:rsidR="005254A3" w:rsidRPr="00704036">
        <w:rPr>
          <w:rFonts w:ascii="Arial" w:eastAsia="Calibri" w:hAnsi="Arial" w:cs="Arial"/>
          <w:szCs w:val="24"/>
          <w:vertAlign w:val="subscript"/>
        </w:rPr>
        <w:t>2013-14</w:t>
      </w:r>
    </w:p>
    <w:p w:rsidR="00460371" w:rsidRPr="00704036" w:rsidRDefault="00460371" w:rsidP="006044ED">
      <w:pPr>
        <w:spacing w:before="100" w:beforeAutospacing="1" w:after="100" w:afterAutospacing="1"/>
        <w:rPr>
          <w:rFonts w:ascii="Arial" w:eastAsia="Calibri" w:hAnsi="Arial" w:cs="Arial"/>
          <w:szCs w:val="24"/>
        </w:rPr>
      </w:pPr>
      <w:proofErr w:type="gramStart"/>
      <w:r w:rsidRPr="00704036">
        <w:rPr>
          <w:rFonts w:ascii="Arial" w:eastAsia="Calibri" w:hAnsi="Arial" w:cs="Arial"/>
          <w:szCs w:val="24"/>
        </w:rPr>
        <w:t>and</w:t>
      </w:r>
      <w:proofErr w:type="gramEnd"/>
      <w:r w:rsidRPr="00704036">
        <w:rPr>
          <w:rFonts w:ascii="Arial" w:eastAsia="Calibri" w:hAnsi="Arial" w:cs="Arial"/>
          <w:szCs w:val="24"/>
        </w:rPr>
        <w:t xml:space="preserve"> denoting the total model costs associated with the </w:t>
      </w:r>
      <w:r w:rsidR="005254A3" w:rsidRPr="00704036">
        <w:rPr>
          <w:rFonts w:ascii="Arial" w:eastAsia="Calibri" w:hAnsi="Arial" w:cs="Arial"/>
          <w:szCs w:val="24"/>
        </w:rPr>
        <w:t>2013-14</w:t>
      </w:r>
      <w:r w:rsidRPr="00704036">
        <w:rPr>
          <w:rFonts w:ascii="Arial" w:eastAsia="Calibri" w:hAnsi="Arial" w:cs="Arial"/>
          <w:szCs w:val="24"/>
        </w:rPr>
        <w:t xml:space="preserve"> cost model applied to each year’s costed activity by</w:t>
      </w:r>
    </w:p>
    <w:p w:rsidR="00460371" w:rsidRPr="00704036" w:rsidRDefault="00460371" w:rsidP="00AD4FFC">
      <w:pPr>
        <w:spacing w:before="100" w:beforeAutospacing="1" w:after="100" w:afterAutospacing="1"/>
        <w:jc w:val="center"/>
        <w:rPr>
          <w:rFonts w:ascii="Arial" w:eastAsia="Calibri" w:hAnsi="Arial" w:cs="Arial"/>
          <w:szCs w:val="24"/>
        </w:rPr>
      </w:pPr>
      <w:r w:rsidRPr="00704036">
        <w:rPr>
          <w:rFonts w:ascii="Arial" w:eastAsia="Calibri" w:hAnsi="Arial" w:cs="Arial"/>
          <w:i/>
          <w:szCs w:val="24"/>
        </w:rPr>
        <w:t>M</w:t>
      </w:r>
      <w:r w:rsidR="005254A3" w:rsidRPr="00704036">
        <w:rPr>
          <w:rFonts w:ascii="Arial" w:eastAsia="Calibri" w:hAnsi="Arial" w:cs="Arial"/>
          <w:szCs w:val="24"/>
          <w:vertAlign w:val="subscript"/>
        </w:rPr>
        <w:t>200</w:t>
      </w:r>
      <w:r w:rsidR="00ED6E3D">
        <w:rPr>
          <w:rFonts w:ascii="Arial" w:eastAsia="Calibri" w:hAnsi="Arial" w:cs="Arial"/>
          <w:szCs w:val="24"/>
          <w:vertAlign w:val="subscript"/>
        </w:rPr>
        <w:t>8</w:t>
      </w:r>
      <w:r w:rsidR="005254A3" w:rsidRPr="00704036">
        <w:rPr>
          <w:rFonts w:ascii="Arial" w:eastAsia="Calibri" w:hAnsi="Arial" w:cs="Arial"/>
          <w:szCs w:val="24"/>
          <w:vertAlign w:val="subscript"/>
        </w:rPr>
        <w:t>-</w:t>
      </w:r>
      <w:r w:rsidR="00ED6E3D">
        <w:rPr>
          <w:rFonts w:ascii="Arial" w:eastAsia="Calibri" w:hAnsi="Arial" w:cs="Arial"/>
          <w:szCs w:val="24"/>
          <w:vertAlign w:val="subscript"/>
        </w:rPr>
        <w:t>09</w:t>
      </w:r>
      <w:proofErr w:type="gramStart"/>
      <w:r w:rsidRPr="00704036">
        <w:rPr>
          <w:rFonts w:ascii="Arial" w:eastAsia="Calibri" w:hAnsi="Arial" w:cs="Arial"/>
          <w:szCs w:val="24"/>
        </w:rPr>
        <w:t>,…,</w:t>
      </w:r>
      <w:proofErr w:type="gramEnd"/>
      <w:r w:rsidRPr="00704036">
        <w:rPr>
          <w:rFonts w:ascii="Arial" w:eastAsia="Calibri" w:hAnsi="Arial" w:cs="Arial"/>
          <w:szCs w:val="24"/>
        </w:rPr>
        <w:t xml:space="preserve"> </w:t>
      </w:r>
      <w:r w:rsidRPr="00704036">
        <w:rPr>
          <w:rFonts w:ascii="Arial" w:eastAsia="Calibri" w:hAnsi="Arial" w:cs="Arial"/>
          <w:i/>
          <w:szCs w:val="24"/>
        </w:rPr>
        <w:t>M</w:t>
      </w:r>
      <w:r w:rsidR="005254A3" w:rsidRPr="00704036">
        <w:rPr>
          <w:rFonts w:ascii="Arial" w:eastAsia="Calibri" w:hAnsi="Arial" w:cs="Arial"/>
          <w:szCs w:val="24"/>
          <w:vertAlign w:val="subscript"/>
        </w:rPr>
        <w:t>2013-14</w:t>
      </w:r>
      <w:r w:rsidRPr="00704036">
        <w:rPr>
          <w:rFonts w:ascii="Arial" w:eastAsia="Calibri" w:hAnsi="Arial" w:cs="Arial"/>
          <w:szCs w:val="24"/>
        </w:rPr>
        <w:t>,</w:t>
      </w:r>
    </w:p>
    <w:p w:rsidR="00460371" w:rsidRPr="00704036" w:rsidRDefault="00460371" w:rsidP="006044ED">
      <w:pPr>
        <w:spacing w:before="100" w:beforeAutospacing="1" w:after="100" w:afterAutospacing="1"/>
        <w:rPr>
          <w:rFonts w:ascii="Arial" w:eastAsia="Calibri" w:hAnsi="Arial" w:cs="Arial"/>
          <w:szCs w:val="24"/>
        </w:rPr>
      </w:pPr>
      <w:proofErr w:type="gramStart"/>
      <w:r w:rsidRPr="00704036">
        <w:rPr>
          <w:rFonts w:ascii="Arial" w:eastAsia="Calibri" w:hAnsi="Arial" w:cs="Arial"/>
          <w:szCs w:val="24"/>
        </w:rPr>
        <w:t>each</w:t>
      </w:r>
      <w:proofErr w:type="gramEnd"/>
      <w:r w:rsidRPr="00704036">
        <w:rPr>
          <w:rFonts w:ascii="Arial" w:eastAsia="Calibri" w:hAnsi="Arial" w:cs="Arial"/>
          <w:szCs w:val="24"/>
        </w:rPr>
        <w:t xml:space="preserve"> year’s scaling factor </w:t>
      </w:r>
      <w:proofErr w:type="spellStart"/>
      <w:r w:rsidR="00ED6E3D">
        <w:rPr>
          <w:rFonts w:ascii="Arial" w:eastAsia="Calibri" w:hAnsi="Arial" w:cs="Arial"/>
          <w:szCs w:val="24"/>
        </w:rPr>
        <w:t>s</w:t>
      </w:r>
      <w:r w:rsidRPr="00704036">
        <w:rPr>
          <w:rFonts w:ascii="Arial" w:eastAsia="Calibri" w:hAnsi="Arial" w:cs="Arial"/>
          <w:i/>
          <w:szCs w:val="24"/>
          <w:vertAlign w:val="subscript"/>
        </w:rPr>
        <w:t>x</w:t>
      </w:r>
      <w:proofErr w:type="spellEnd"/>
      <w:r w:rsidRPr="00704036">
        <w:rPr>
          <w:rFonts w:ascii="Arial" w:eastAsia="Calibri" w:hAnsi="Arial" w:cs="Arial"/>
          <w:szCs w:val="24"/>
        </w:rPr>
        <w:t xml:space="preserve"> is given by</w:t>
      </w:r>
    </w:p>
    <w:p w:rsidR="00460371" w:rsidRPr="00704036" w:rsidRDefault="00460371" w:rsidP="00AD4FFC">
      <w:pPr>
        <w:spacing w:before="100" w:beforeAutospacing="1" w:after="100" w:afterAutospacing="1"/>
        <w:jc w:val="center"/>
        <w:rPr>
          <w:rFonts w:ascii="Arial" w:eastAsia="Calibri" w:hAnsi="Arial" w:cs="Arial"/>
          <w:i/>
          <w:szCs w:val="24"/>
        </w:rPr>
      </w:pPr>
      <w:proofErr w:type="spellStart"/>
      <w:proofErr w:type="gramStart"/>
      <w:r w:rsidRPr="00704036">
        <w:rPr>
          <w:rFonts w:ascii="Arial" w:eastAsia="Calibri" w:hAnsi="Arial" w:cs="Arial"/>
          <w:i/>
          <w:szCs w:val="24"/>
        </w:rPr>
        <w:t>s</w:t>
      </w:r>
      <w:r w:rsidRPr="00704036">
        <w:rPr>
          <w:rFonts w:ascii="Arial" w:eastAsia="Calibri" w:hAnsi="Arial" w:cs="Arial"/>
          <w:szCs w:val="24"/>
          <w:vertAlign w:val="subscript"/>
        </w:rPr>
        <w:t>x</w:t>
      </w:r>
      <w:proofErr w:type="spellEnd"/>
      <w:proofErr w:type="gramEnd"/>
      <w:r w:rsidRPr="00704036">
        <w:rPr>
          <w:rFonts w:ascii="Arial" w:eastAsia="Calibri" w:hAnsi="Arial" w:cs="Arial"/>
          <w:i/>
          <w:szCs w:val="24"/>
        </w:rPr>
        <w:t xml:space="preserve"> </w:t>
      </w:r>
      <w:r w:rsidRPr="00704036">
        <w:rPr>
          <w:rFonts w:ascii="Arial" w:eastAsia="Calibri" w:hAnsi="Arial" w:cs="Arial"/>
          <w:szCs w:val="24"/>
        </w:rPr>
        <w:t>=</w:t>
      </w:r>
      <w:r w:rsidRPr="00704036">
        <w:rPr>
          <w:rFonts w:ascii="Arial" w:eastAsia="Calibri" w:hAnsi="Arial" w:cs="Arial"/>
          <w:i/>
          <w:szCs w:val="24"/>
        </w:rPr>
        <w:t xml:space="preserve"> </w:t>
      </w:r>
      <w:proofErr w:type="spellStart"/>
      <w:r w:rsidRPr="00704036">
        <w:rPr>
          <w:rFonts w:ascii="Arial" w:eastAsia="Calibri" w:hAnsi="Arial" w:cs="Arial"/>
          <w:i/>
          <w:szCs w:val="24"/>
        </w:rPr>
        <w:t>C</w:t>
      </w:r>
      <w:r w:rsidRPr="00704036">
        <w:rPr>
          <w:rFonts w:ascii="Arial" w:eastAsia="Calibri" w:hAnsi="Arial" w:cs="Arial"/>
          <w:szCs w:val="24"/>
          <w:vertAlign w:val="subscript"/>
        </w:rPr>
        <w:t>x</w:t>
      </w:r>
      <w:proofErr w:type="spellEnd"/>
      <w:r w:rsidRPr="00704036">
        <w:rPr>
          <w:rFonts w:ascii="Arial" w:eastAsia="Calibri" w:hAnsi="Arial" w:cs="Arial"/>
          <w:i/>
          <w:szCs w:val="24"/>
          <w:vertAlign w:val="subscript"/>
        </w:rPr>
        <w:t xml:space="preserve"> </w:t>
      </w:r>
      <w:r w:rsidRPr="00704036">
        <w:rPr>
          <w:rFonts w:ascii="Arial" w:eastAsia="Calibri" w:hAnsi="Arial" w:cs="Arial"/>
          <w:i/>
          <w:szCs w:val="24"/>
        </w:rPr>
        <w:t xml:space="preserve">/ </w:t>
      </w:r>
      <w:proofErr w:type="spellStart"/>
      <w:r w:rsidRPr="00704036">
        <w:rPr>
          <w:rFonts w:ascii="Arial" w:eastAsia="Calibri" w:hAnsi="Arial" w:cs="Arial"/>
          <w:i/>
          <w:szCs w:val="24"/>
        </w:rPr>
        <w:t>M</w:t>
      </w:r>
      <w:r w:rsidRPr="00704036">
        <w:rPr>
          <w:rFonts w:ascii="Arial" w:eastAsia="Calibri" w:hAnsi="Arial" w:cs="Arial"/>
          <w:szCs w:val="24"/>
          <w:vertAlign w:val="subscript"/>
        </w:rPr>
        <w:t>x</w:t>
      </w:r>
      <w:proofErr w:type="spellEnd"/>
      <w:r w:rsidRPr="00704036">
        <w:rPr>
          <w:rFonts w:ascii="Arial" w:eastAsia="Calibri" w:hAnsi="Arial" w:cs="Arial"/>
          <w:i/>
          <w:szCs w:val="24"/>
        </w:rPr>
        <w:t xml:space="preserve"> .</w:t>
      </w:r>
    </w:p>
    <w:p w:rsidR="00460371" w:rsidRPr="00704036" w:rsidRDefault="00460371" w:rsidP="00AD4FFC">
      <w:pPr>
        <w:spacing w:before="100" w:beforeAutospacing="1" w:after="100" w:afterAutospacing="1"/>
        <w:rPr>
          <w:rFonts w:ascii="Arial" w:eastAsia="Calibri" w:hAnsi="Arial" w:cs="Arial"/>
          <w:szCs w:val="24"/>
        </w:rPr>
      </w:pPr>
      <w:r w:rsidRPr="00704036">
        <w:rPr>
          <w:rFonts w:ascii="Arial" w:eastAsia="Calibri" w:hAnsi="Arial" w:cs="Arial"/>
          <w:szCs w:val="24"/>
        </w:rPr>
        <w:t>This ratio is referred to as the cost ratio.</w:t>
      </w:r>
    </w:p>
    <w:p w:rsidR="00053234" w:rsidRPr="00704036" w:rsidRDefault="00053234" w:rsidP="00AD4FFC">
      <w:pPr>
        <w:spacing w:before="100" w:beforeAutospacing="1" w:after="100" w:afterAutospacing="1"/>
        <w:rPr>
          <w:rFonts w:ascii="Arial" w:eastAsia="Calibri" w:hAnsi="Arial" w:cs="Arial"/>
          <w:szCs w:val="24"/>
        </w:rPr>
      </w:pPr>
      <w:r w:rsidRPr="00704036">
        <w:rPr>
          <w:rFonts w:ascii="Arial" w:eastAsia="Calibri" w:hAnsi="Arial" w:cs="Arial"/>
          <w:szCs w:val="24"/>
        </w:rPr>
        <w:t xml:space="preserve">It is worth noting that multiplying each year’s cost ratio by the </w:t>
      </w:r>
      <w:r w:rsidR="005254A3" w:rsidRPr="00704036">
        <w:rPr>
          <w:rFonts w:ascii="Arial" w:eastAsia="Calibri" w:hAnsi="Arial" w:cs="Arial"/>
          <w:szCs w:val="24"/>
        </w:rPr>
        <w:t>2013-14</w:t>
      </w:r>
      <w:r w:rsidRPr="00704036">
        <w:rPr>
          <w:rFonts w:ascii="Arial" w:eastAsia="Calibri" w:hAnsi="Arial" w:cs="Arial"/>
          <w:szCs w:val="24"/>
        </w:rPr>
        <w:t xml:space="preserve"> reference cost of </w:t>
      </w:r>
      <w:r w:rsidR="0043129A" w:rsidRPr="00E33EAE">
        <w:rPr>
          <w:rFonts w:ascii="Arial" w:eastAsia="Calibri" w:hAnsi="Arial" w:cs="Arial"/>
          <w:szCs w:val="24"/>
        </w:rPr>
        <w:t>$</w:t>
      </w:r>
      <w:r w:rsidR="00AB4342">
        <w:rPr>
          <w:rFonts w:ascii="Arial" w:eastAsia="Calibri" w:hAnsi="Arial" w:cs="Arial"/>
          <w:szCs w:val="24"/>
        </w:rPr>
        <w:t>4,588</w:t>
      </w:r>
      <w:r w:rsidR="00AB4342" w:rsidRPr="00704036">
        <w:rPr>
          <w:rFonts w:ascii="Arial" w:eastAsia="Calibri" w:hAnsi="Arial" w:cs="Arial"/>
          <w:szCs w:val="24"/>
        </w:rPr>
        <w:t xml:space="preserve"> </w:t>
      </w:r>
      <w:r w:rsidRPr="00704036">
        <w:rPr>
          <w:rFonts w:ascii="Arial" w:eastAsia="Calibri" w:hAnsi="Arial" w:cs="Arial"/>
          <w:szCs w:val="24"/>
        </w:rPr>
        <w:t>converts the {</w:t>
      </w:r>
      <w:proofErr w:type="spellStart"/>
      <w:r w:rsidRPr="00704036">
        <w:rPr>
          <w:rFonts w:ascii="Arial" w:eastAsia="Calibri" w:hAnsi="Arial" w:cs="Arial"/>
          <w:i/>
          <w:szCs w:val="24"/>
        </w:rPr>
        <w:t>s</w:t>
      </w:r>
      <w:r w:rsidRPr="00704036">
        <w:rPr>
          <w:rFonts w:ascii="Arial" w:eastAsia="Calibri" w:hAnsi="Arial" w:cs="Arial"/>
          <w:i/>
          <w:szCs w:val="24"/>
          <w:vertAlign w:val="subscript"/>
        </w:rPr>
        <w:t>x</w:t>
      </w:r>
      <w:proofErr w:type="spellEnd"/>
      <w:r w:rsidRPr="00704036">
        <w:rPr>
          <w:rFonts w:ascii="Arial" w:eastAsia="Calibri" w:hAnsi="Arial" w:cs="Arial"/>
          <w:szCs w:val="24"/>
        </w:rPr>
        <w:t xml:space="preserve">} time series to the time series of costs per weighted separation, where the weighted separations are determined by </w:t>
      </w:r>
      <w:r w:rsidR="005254A3" w:rsidRPr="00704036">
        <w:rPr>
          <w:rFonts w:ascii="Arial" w:eastAsia="Calibri" w:hAnsi="Arial" w:cs="Arial"/>
          <w:szCs w:val="24"/>
        </w:rPr>
        <w:t>2013-14</w:t>
      </w:r>
      <w:r w:rsidRPr="00704036">
        <w:rPr>
          <w:rFonts w:ascii="Arial" w:eastAsia="Calibri" w:hAnsi="Arial" w:cs="Arial"/>
          <w:szCs w:val="24"/>
        </w:rPr>
        <w:t xml:space="preserve"> cost weight model.</w:t>
      </w:r>
    </w:p>
    <w:p w:rsidR="00460371" w:rsidRPr="00704036" w:rsidRDefault="00460371" w:rsidP="00AD4FFC">
      <w:pPr>
        <w:spacing w:before="100" w:beforeAutospacing="1" w:after="100" w:afterAutospacing="1"/>
        <w:rPr>
          <w:rFonts w:ascii="Arial" w:eastAsia="Calibri" w:hAnsi="Arial" w:cs="Arial"/>
          <w:szCs w:val="24"/>
        </w:rPr>
      </w:pPr>
      <w:r w:rsidRPr="00704036">
        <w:rPr>
          <w:rFonts w:ascii="Arial" w:eastAsia="Calibri" w:hAnsi="Arial" w:cs="Arial"/>
          <w:szCs w:val="24"/>
        </w:rPr>
        <w:t>A crucial requirement of the cost ratio time series is comparability over time. One way to ensure this occurs is to restrict the data on which the ratios are calculated to the set of establishments for which data is present across all five years; that is, to ensure that all five ratios are calculated across a common set of establishments. While this approach ensures comparability over time, it places significant restrictions on the sample of data.</w:t>
      </w:r>
    </w:p>
    <w:p w:rsidR="00460371" w:rsidRPr="00704036" w:rsidRDefault="00460371" w:rsidP="00AD4FFC">
      <w:pPr>
        <w:spacing w:before="100" w:beforeAutospacing="1" w:after="100" w:afterAutospacing="1"/>
        <w:rPr>
          <w:rFonts w:ascii="Arial" w:eastAsia="Calibri" w:hAnsi="Arial" w:cs="Arial"/>
        </w:rPr>
      </w:pPr>
      <w:r w:rsidRPr="00704036">
        <w:rPr>
          <w:rFonts w:ascii="Arial" w:eastAsia="Calibri" w:hAnsi="Arial" w:cs="Arial"/>
          <w:szCs w:val="24"/>
        </w:rPr>
        <w:t>Instead, an alternate method is used that greatly increases the data sample while maintaining comparability of the ratios over time. This method relies on the fact that any time series of ratios can be equivalently represented as the time series of year to year changes in ratios together with a single value of the time series (</w:t>
      </w:r>
      <w:r w:rsidRPr="00704036">
        <w:rPr>
          <w:rFonts w:ascii="Arial" w:eastAsia="Calibri" w:hAnsi="Arial" w:cs="Arial"/>
        </w:rPr>
        <w:t xml:space="preserve">in this case, the </w:t>
      </w:r>
      <w:r w:rsidR="00ED6E3D">
        <w:rPr>
          <w:rFonts w:ascii="Arial" w:eastAsia="Calibri" w:hAnsi="Arial" w:cs="Arial"/>
        </w:rPr>
        <w:t xml:space="preserve">2012-13 to </w:t>
      </w:r>
      <w:r w:rsidR="00FD6311" w:rsidRPr="00704036">
        <w:rPr>
          <w:rFonts w:ascii="Arial" w:eastAsia="Calibri" w:hAnsi="Arial" w:cs="Arial"/>
        </w:rPr>
        <w:t>2013-14</w:t>
      </w:r>
      <w:r w:rsidR="00ED6E3D">
        <w:rPr>
          <w:rFonts w:ascii="Arial" w:eastAsia="Calibri" w:hAnsi="Arial" w:cs="Arial"/>
        </w:rPr>
        <w:t xml:space="preserve"> change in </w:t>
      </w:r>
      <w:r w:rsidRPr="00704036">
        <w:rPr>
          <w:rFonts w:ascii="Arial" w:eastAsia="Calibri" w:hAnsi="Arial" w:cs="Arial"/>
        </w:rPr>
        <w:t xml:space="preserve">cost ratio of </w:t>
      </w:r>
      <w:r w:rsidRPr="00E33EAE">
        <w:rPr>
          <w:rFonts w:ascii="Arial" w:eastAsia="Calibri" w:hAnsi="Arial" w:cs="Arial"/>
        </w:rPr>
        <w:t>10</w:t>
      </w:r>
      <w:r w:rsidR="00B84D83" w:rsidRPr="00E33EAE">
        <w:rPr>
          <w:rFonts w:ascii="Arial" w:eastAsia="Calibri" w:hAnsi="Arial" w:cs="Arial"/>
        </w:rPr>
        <w:t>1</w:t>
      </w:r>
      <w:r w:rsidR="00ED6E3D">
        <w:rPr>
          <w:rFonts w:ascii="Arial" w:eastAsia="Calibri" w:hAnsi="Arial" w:cs="Arial"/>
        </w:rPr>
        <w:t>.</w:t>
      </w:r>
      <w:r w:rsidR="00B84D83" w:rsidRPr="00E33EAE">
        <w:rPr>
          <w:rFonts w:ascii="Arial" w:eastAsia="Calibri" w:hAnsi="Arial" w:cs="Arial"/>
        </w:rPr>
        <w:t>5</w:t>
      </w:r>
      <w:r w:rsidR="004156FF">
        <w:rPr>
          <w:rFonts w:ascii="Arial" w:eastAsia="Calibri" w:hAnsi="Arial" w:cs="Arial"/>
        </w:rPr>
        <w:t xml:space="preserve"> per cent</w:t>
      </w:r>
      <w:r w:rsidRPr="00704036">
        <w:rPr>
          <w:rFonts w:ascii="Arial" w:eastAsia="Calibri" w:hAnsi="Arial" w:cs="Arial"/>
        </w:rPr>
        <w:t>). This method only requires that each year to year comparison uses a common set of establishments (rather than requiring the establishments to be common across all five years).</w:t>
      </w:r>
    </w:p>
    <w:p w:rsidR="00460371" w:rsidRPr="00704036" w:rsidRDefault="00053234" w:rsidP="009B622C">
      <w:pPr>
        <w:spacing w:before="100" w:beforeAutospacing="1" w:after="100" w:afterAutospacing="1"/>
        <w:rPr>
          <w:rFonts w:ascii="Arial" w:eastAsia="Calibri" w:hAnsi="Arial" w:cs="Arial"/>
          <w:szCs w:val="24"/>
        </w:rPr>
      </w:pPr>
      <w:r w:rsidRPr="00704036">
        <w:rPr>
          <w:rFonts w:ascii="Arial" w:eastAsia="Calibri" w:hAnsi="Arial" w:cs="Arial"/>
          <w:szCs w:val="24"/>
        </w:rPr>
        <w:t>Table 3</w:t>
      </w:r>
      <w:r w:rsidR="00460371" w:rsidRPr="00704036">
        <w:rPr>
          <w:rFonts w:ascii="Arial" w:eastAsia="Calibri" w:hAnsi="Arial" w:cs="Arial"/>
          <w:szCs w:val="24"/>
        </w:rPr>
        <w:t xml:space="preserve"> shows the year to year changes in cost ratio calculated by applying the </w:t>
      </w:r>
      <w:r w:rsidR="00FD6311" w:rsidRPr="00704036">
        <w:rPr>
          <w:rFonts w:ascii="Arial" w:eastAsia="Calibri" w:hAnsi="Arial" w:cs="Arial"/>
          <w:szCs w:val="24"/>
        </w:rPr>
        <w:t>2013-14</w:t>
      </w:r>
      <w:r w:rsidR="00460371" w:rsidRPr="00704036">
        <w:rPr>
          <w:rFonts w:ascii="Arial" w:eastAsia="Calibri" w:hAnsi="Arial" w:cs="Arial"/>
          <w:szCs w:val="24"/>
        </w:rPr>
        <w:t xml:space="preserve"> cost model to pairs of consecutive years’ cost data, ensuring a common set of establishments are present in each pairwise comparison.</w:t>
      </w:r>
    </w:p>
    <w:p w:rsidR="00460371" w:rsidRPr="00704036" w:rsidRDefault="00460371" w:rsidP="005D6C78">
      <w:pPr>
        <w:keepNext/>
        <w:spacing w:before="100" w:beforeAutospacing="1"/>
        <w:rPr>
          <w:rFonts w:ascii="Arial" w:eastAsia="Calibri" w:hAnsi="Arial" w:cs="Arial"/>
          <w:b/>
          <w:bCs/>
          <w:sz w:val="20"/>
        </w:rPr>
      </w:pPr>
      <w:bookmarkStart w:id="483" w:name="_Ref351378111"/>
      <w:r w:rsidRPr="00704036">
        <w:rPr>
          <w:rFonts w:ascii="Arial" w:eastAsia="Calibri" w:hAnsi="Arial" w:cs="Arial"/>
          <w:b/>
          <w:bCs/>
          <w:sz w:val="20"/>
        </w:rPr>
        <w:t xml:space="preserve">Table </w:t>
      </w:r>
      <w:bookmarkEnd w:id="483"/>
      <w:r w:rsidR="005C0F8A" w:rsidRPr="00704036">
        <w:rPr>
          <w:rFonts w:ascii="Arial" w:eastAsia="Calibri" w:hAnsi="Arial" w:cs="Arial"/>
          <w:b/>
          <w:bCs/>
          <w:sz w:val="20"/>
        </w:rPr>
        <w:t>3</w:t>
      </w:r>
      <w:r w:rsidRPr="00704036">
        <w:rPr>
          <w:rFonts w:ascii="Arial" w:eastAsia="Calibri" w:hAnsi="Arial" w:cs="Arial"/>
          <w:b/>
          <w:bCs/>
          <w:sz w:val="20"/>
        </w:rPr>
        <w:t>: Year to year changes in cost ratio</w:t>
      </w:r>
    </w:p>
    <w:tbl>
      <w:tblPr>
        <w:tblStyle w:val="TableGrid10"/>
        <w:tblW w:w="8438" w:type="dxa"/>
        <w:jc w:val="center"/>
        <w:tblLook w:val="04A0" w:firstRow="1" w:lastRow="0" w:firstColumn="1" w:lastColumn="0" w:noHBand="0" w:noVBand="1"/>
        <w:tblDescription w:val="A summary of table 3 is outlined in the text prior to this table. "/>
      </w:tblPr>
      <w:tblGrid>
        <w:gridCol w:w="1687"/>
        <w:gridCol w:w="1688"/>
        <w:gridCol w:w="1687"/>
        <w:gridCol w:w="1688"/>
        <w:gridCol w:w="1688"/>
      </w:tblGrid>
      <w:tr w:rsidR="00FD6311" w:rsidRPr="00163EB6" w:rsidTr="00E33EAE">
        <w:trPr>
          <w:tblHeader/>
          <w:jc w:val="center"/>
        </w:trPr>
        <w:tc>
          <w:tcPr>
            <w:tcW w:w="1687" w:type="dxa"/>
            <w:shd w:val="clear" w:color="auto" w:fill="BFBFBF" w:themeFill="background1" w:themeFillShade="BF"/>
            <w:vAlign w:val="center"/>
          </w:tcPr>
          <w:p w:rsidR="00FD6311" w:rsidRPr="00E33EAE" w:rsidRDefault="00FD6311" w:rsidP="00543968">
            <w:pPr>
              <w:spacing w:beforeLines="60" w:before="144" w:afterLines="60" w:after="144"/>
              <w:jc w:val="center"/>
              <w:rPr>
                <w:rFonts w:ascii="Arial" w:hAnsi="Arial" w:cs="Arial"/>
                <w:b/>
                <w:sz w:val="20"/>
              </w:rPr>
            </w:pPr>
            <w:r w:rsidRPr="00E33EAE">
              <w:rPr>
                <w:rFonts w:ascii="Arial" w:hAnsi="Arial" w:cs="Arial"/>
                <w:b/>
                <w:sz w:val="20"/>
              </w:rPr>
              <w:t>2008-09 to 2009-10</w:t>
            </w:r>
          </w:p>
        </w:tc>
        <w:tc>
          <w:tcPr>
            <w:tcW w:w="1688" w:type="dxa"/>
            <w:shd w:val="clear" w:color="auto" w:fill="BFBFBF" w:themeFill="background1" w:themeFillShade="BF"/>
            <w:vAlign w:val="center"/>
          </w:tcPr>
          <w:p w:rsidR="00FD6311" w:rsidRPr="00E33EAE" w:rsidRDefault="00FD6311" w:rsidP="00543968">
            <w:pPr>
              <w:spacing w:beforeLines="60" w:before="144" w:afterLines="60" w:after="144"/>
              <w:jc w:val="center"/>
              <w:rPr>
                <w:rFonts w:ascii="Arial" w:hAnsi="Arial" w:cs="Arial"/>
                <w:b/>
                <w:sz w:val="20"/>
              </w:rPr>
            </w:pPr>
            <w:r w:rsidRPr="00E33EAE">
              <w:rPr>
                <w:rFonts w:ascii="Arial" w:hAnsi="Arial" w:cs="Arial"/>
                <w:b/>
                <w:sz w:val="20"/>
              </w:rPr>
              <w:t>2009-10 to 2010-11</w:t>
            </w:r>
          </w:p>
        </w:tc>
        <w:tc>
          <w:tcPr>
            <w:tcW w:w="1687" w:type="dxa"/>
            <w:shd w:val="clear" w:color="auto" w:fill="BFBFBF" w:themeFill="background1" w:themeFillShade="BF"/>
            <w:vAlign w:val="center"/>
          </w:tcPr>
          <w:p w:rsidR="00FD6311" w:rsidRPr="00E33EAE" w:rsidRDefault="00FD6311" w:rsidP="00543968">
            <w:pPr>
              <w:spacing w:beforeLines="60" w:before="144" w:afterLines="60" w:after="144"/>
              <w:jc w:val="center"/>
              <w:rPr>
                <w:rFonts w:ascii="Arial" w:hAnsi="Arial" w:cs="Arial"/>
                <w:b/>
                <w:sz w:val="20"/>
              </w:rPr>
            </w:pPr>
            <w:r w:rsidRPr="00E33EAE">
              <w:rPr>
                <w:rFonts w:ascii="Arial" w:hAnsi="Arial" w:cs="Arial"/>
                <w:b/>
                <w:sz w:val="20"/>
              </w:rPr>
              <w:t>2010-11 to 2011-12</w:t>
            </w:r>
          </w:p>
        </w:tc>
        <w:tc>
          <w:tcPr>
            <w:tcW w:w="1688" w:type="dxa"/>
            <w:shd w:val="clear" w:color="auto" w:fill="BFBFBF" w:themeFill="background1" w:themeFillShade="BF"/>
          </w:tcPr>
          <w:p w:rsidR="00FD6311" w:rsidRPr="00E33EAE" w:rsidRDefault="00FD6311" w:rsidP="00543968">
            <w:pPr>
              <w:spacing w:beforeLines="60" w:before="144" w:afterLines="60" w:after="144"/>
              <w:jc w:val="center"/>
              <w:rPr>
                <w:rFonts w:ascii="Arial" w:hAnsi="Arial" w:cs="Arial"/>
                <w:b/>
                <w:sz w:val="20"/>
              </w:rPr>
            </w:pPr>
            <w:r w:rsidRPr="00E33EAE">
              <w:rPr>
                <w:rFonts w:ascii="Arial" w:hAnsi="Arial" w:cs="Arial"/>
                <w:b/>
                <w:sz w:val="20"/>
              </w:rPr>
              <w:t>2011-12 to 2012-13</w:t>
            </w:r>
          </w:p>
        </w:tc>
        <w:tc>
          <w:tcPr>
            <w:tcW w:w="1688" w:type="dxa"/>
            <w:shd w:val="clear" w:color="auto" w:fill="BFBFBF" w:themeFill="background1" w:themeFillShade="BF"/>
          </w:tcPr>
          <w:p w:rsidR="00FD6311" w:rsidRPr="00E33EAE" w:rsidRDefault="00FD6311" w:rsidP="00543968">
            <w:pPr>
              <w:spacing w:beforeLines="60" w:before="144" w:afterLines="60" w:after="144"/>
              <w:jc w:val="center"/>
              <w:rPr>
                <w:rFonts w:ascii="Arial" w:hAnsi="Arial" w:cs="Arial"/>
                <w:b/>
                <w:sz w:val="20"/>
              </w:rPr>
            </w:pPr>
            <w:r w:rsidRPr="00E33EAE">
              <w:rPr>
                <w:rFonts w:ascii="Arial" w:hAnsi="Arial" w:cs="Arial"/>
                <w:b/>
                <w:sz w:val="20"/>
              </w:rPr>
              <w:t>2012-13 to 2013-14</w:t>
            </w:r>
          </w:p>
        </w:tc>
      </w:tr>
      <w:tr w:rsidR="00FD6311" w:rsidRPr="00163EB6" w:rsidTr="00E33EAE">
        <w:trPr>
          <w:jc w:val="center"/>
        </w:trPr>
        <w:tc>
          <w:tcPr>
            <w:tcW w:w="1687" w:type="dxa"/>
          </w:tcPr>
          <w:p w:rsidR="00FD6311" w:rsidRPr="00E33EAE" w:rsidRDefault="00FD6311" w:rsidP="00543968">
            <w:pPr>
              <w:spacing w:beforeLines="60" w:before="144" w:afterLines="60" w:after="144"/>
              <w:jc w:val="center"/>
              <w:rPr>
                <w:rFonts w:ascii="Arial" w:hAnsi="Arial" w:cs="Arial"/>
                <w:sz w:val="18"/>
              </w:rPr>
            </w:pPr>
            <w:r w:rsidRPr="00E33EAE">
              <w:rPr>
                <w:rFonts w:ascii="Arial" w:hAnsi="Arial" w:cs="Arial"/>
                <w:sz w:val="18"/>
              </w:rPr>
              <w:t>107.2%</w:t>
            </w:r>
          </w:p>
        </w:tc>
        <w:tc>
          <w:tcPr>
            <w:tcW w:w="1688" w:type="dxa"/>
          </w:tcPr>
          <w:p w:rsidR="00FD6311" w:rsidRPr="00E33EAE" w:rsidRDefault="00FD6311" w:rsidP="00543968">
            <w:pPr>
              <w:spacing w:beforeLines="60" w:before="144" w:afterLines="60" w:after="144"/>
              <w:jc w:val="center"/>
              <w:rPr>
                <w:rFonts w:ascii="Arial" w:hAnsi="Arial" w:cs="Arial"/>
                <w:sz w:val="18"/>
              </w:rPr>
            </w:pPr>
            <w:r w:rsidRPr="00E33EAE">
              <w:rPr>
                <w:rFonts w:ascii="Arial" w:hAnsi="Arial" w:cs="Arial"/>
                <w:sz w:val="18"/>
              </w:rPr>
              <w:t>102.0%</w:t>
            </w:r>
          </w:p>
        </w:tc>
        <w:tc>
          <w:tcPr>
            <w:tcW w:w="1687" w:type="dxa"/>
          </w:tcPr>
          <w:p w:rsidR="00FD6311" w:rsidRPr="00E33EAE" w:rsidRDefault="00FD6311" w:rsidP="00543968">
            <w:pPr>
              <w:spacing w:beforeLines="60" w:before="144" w:afterLines="60" w:after="144"/>
              <w:jc w:val="center"/>
              <w:rPr>
                <w:rFonts w:ascii="Arial" w:hAnsi="Arial" w:cs="Arial"/>
                <w:sz w:val="18"/>
              </w:rPr>
            </w:pPr>
            <w:r w:rsidRPr="00E33EAE">
              <w:rPr>
                <w:rFonts w:ascii="Arial" w:hAnsi="Arial" w:cs="Arial"/>
                <w:sz w:val="18"/>
              </w:rPr>
              <w:t>103.3%</w:t>
            </w:r>
          </w:p>
        </w:tc>
        <w:tc>
          <w:tcPr>
            <w:tcW w:w="1688" w:type="dxa"/>
          </w:tcPr>
          <w:p w:rsidR="00FD6311" w:rsidRPr="00E33EAE" w:rsidRDefault="00FD6311" w:rsidP="00543968">
            <w:pPr>
              <w:spacing w:beforeLines="60" w:before="144" w:afterLines="60" w:after="144"/>
              <w:jc w:val="center"/>
              <w:rPr>
                <w:rFonts w:ascii="Arial" w:hAnsi="Arial" w:cs="Arial"/>
                <w:sz w:val="18"/>
              </w:rPr>
            </w:pPr>
            <w:r w:rsidRPr="00E33EAE">
              <w:rPr>
                <w:rFonts w:ascii="Arial" w:hAnsi="Arial" w:cs="Arial"/>
                <w:sz w:val="18"/>
              </w:rPr>
              <w:t>100.0%</w:t>
            </w:r>
          </w:p>
        </w:tc>
        <w:tc>
          <w:tcPr>
            <w:tcW w:w="1688" w:type="dxa"/>
          </w:tcPr>
          <w:p w:rsidR="00FD6311" w:rsidRPr="00E33EAE" w:rsidRDefault="003D07C9" w:rsidP="00AB4342">
            <w:pPr>
              <w:spacing w:beforeLines="60" w:before="144" w:afterLines="60" w:after="144"/>
              <w:jc w:val="center"/>
              <w:rPr>
                <w:rFonts w:ascii="Arial" w:hAnsi="Arial" w:cs="Arial"/>
                <w:sz w:val="18"/>
              </w:rPr>
            </w:pPr>
            <w:r w:rsidRPr="00E33EAE">
              <w:rPr>
                <w:rFonts w:ascii="Arial" w:hAnsi="Arial" w:cs="Arial"/>
                <w:sz w:val="18"/>
              </w:rPr>
              <w:t>101.</w:t>
            </w:r>
            <w:r w:rsidR="00AB4342">
              <w:rPr>
                <w:rFonts w:ascii="Arial" w:hAnsi="Arial" w:cs="Arial"/>
                <w:sz w:val="18"/>
              </w:rPr>
              <w:t>4</w:t>
            </w:r>
            <w:r w:rsidRPr="00E33EAE">
              <w:rPr>
                <w:rFonts w:ascii="Arial" w:hAnsi="Arial" w:cs="Arial"/>
                <w:sz w:val="18"/>
              </w:rPr>
              <w:t>%</w:t>
            </w:r>
          </w:p>
        </w:tc>
      </w:tr>
    </w:tbl>
    <w:p w:rsidR="00460371" w:rsidRPr="00704036" w:rsidRDefault="001329EF" w:rsidP="009E33A4">
      <w:pPr>
        <w:spacing w:before="100" w:beforeAutospacing="1" w:after="100" w:afterAutospacing="1"/>
        <w:rPr>
          <w:rFonts w:ascii="Arial" w:eastAsia="Calibri" w:hAnsi="Arial" w:cs="Arial"/>
          <w:szCs w:val="24"/>
        </w:rPr>
      </w:pPr>
      <w:r w:rsidRPr="00704036">
        <w:rPr>
          <w:rFonts w:ascii="Arial" w:eastAsia="Calibri" w:hAnsi="Arial" w:cs="Arial"/>
          <w:szCs w:val="24"/>
        </w:rPr>
        <w:t xml:space="preserve">Table 4 </w:t>
      </w:r>
      <w:r w:rsidR="00460371" w:rsidRPr="00704036">
        <w:rPr>
          <w:rFonts w:ascii="Arial" w:eastAsia="Calibri" w:hAnsi="Arial" w:cs="Arial"/>
          <w:szCs w:val="24"/>
        </w:rPr>
        <w:t xml:space="preserve">shows the resulting cost ratio time series derived by </w:t>
      </w:r>
      <w:proofErr w:type="spellStart"/>
      <w:r w:rsidR="00460371" w:rsidRPr="00704036">
        <w:rPr>
          <w:rFonts w:ascii="Arial" w:eastAsia="Calibri" w:hAnsi="Arial" w:cs="Arial"/>
          <w:szCs w:val="24"/>
        </w:rPr>
        <w:t>backcasting</w:t>
      </w:r>
      <w:proofErr w:type="spellEnd"/>
      <w:r w:rsidR="00460371" w:rsidRPr="00704036">
        <w:rPr>
          <w:rFonts w:ascii="Arial" w:eastAsia="Calibri" w:hAnsi="Arial" w:cs="Arial"/>
          <w:szCs w:val="24"/>
        </w:rPr>
        <w:t xml:space="preserve"> the </w:t>
      </w:r>
      <w:r w:rsidR="00FD6311" w:rsidRPr="00704036">
        <w:rPr>
          <w:rFonts w:ascii="Arial" w:eastAsia="Calibri" w:hAnsi="Arial" w:cs="Arial"/>
          <w:szCs w:val="24"/>
        </w:rPr>
        <w:t>2013-14</w:t>
      </w:r>
      <w:r w:rsidR="00460371" w:rsidRPr="00704036">
        <w:rPr>
          <w:rFonts w:ascii="Arial" w:eastAsia="Calibri" w:hAnsi="Arial" w:cs="Arial"/>
          <w:szCs w:val="24"/>
        </w:rPr>
        <w:t xml:space="preserve"> cost ratio of </w:t>
      </w:r>
      <w:r w:rsidR="00460371" w:rsidRPr="00E33EAE">
        <w:rPr>
          <w:rFonts w:ascii="Arial" w:eastAsia="Calibri" w:hAnsi="Arial" w:cs="Arial"/>
          <w:szCs w:val="24"/>
        </w:rPr>
        <w:t>1.000</w:t>
      </w:r>
      <w:r w:rsidR="00460371" w:rsidRPr="00C12A66">
        <w:rPr>
          <w:rFonts w:ascii="Arial" w:eastAsia="Calibri" w:hAnsi="Arial" w:cs="Arial"/>
          <w:szCs w:val="24"/>
        </w:rPr>
        <w:t xml:space="preserve"> using</w:t>
      </w:r>
      <w:r w:rsidR="00460371" w:rsidRPr="00704036">
        <w:rPr>
          <w:rFonts w:ascii="Arial" w:eastAsia="Calibri" w:hAnsi="Arial" w:cs="Arial"/>
          <w:szCs w:val="24"/>
        </w:rPr>
        <w:t xml:space="preserve"> the inverse of the year to year changes given in</w:t>
      </w:r>
      <w:r w:rsidR="00583542" w:rsidRPr="00704036">
        <w:rPr>
          <w:rFonts w:ascii="Arial" w:eastAsia="Calibri" w:hAnsi="Arial" w:cs="Arial"/>
          <w:szCs w:val="24"/>
        </w:rPr>
        <w:t xml:space="preserve"> Table 3</w:t>
      </w:r>
      <w:r w:rsidR="00460371" w:rsidRPr="00704036">
        <w:rPr>
          <w:rFonts w:ascii="Arial" w:eastAsia="Calibri" w:hAnsi="Arial" w:cs="Arial"/>
          <w:szCs w:val="24"/>
        </w:rPr>
        <w:t xml:space="preserve">. </w:t>
      </w:r>
      <w:r w:rsidRPr="00704036">
        <w:rPr>
          <w:rFonts w:ascii="Arial" w:eastAsia="Calibri" w:hAnsi="Arial" w:cs="Arial"/>
          <w:szCs w:val="24"/>
        </w:rPr>
        <w:t xml:space="preserve">Table 4 </w:t>
      </w:r>
      <w:r w:rsidR="00460371" w:rsidRPr="00704036">
        <w:rPr>
          <w:rFonts w:ascii="Arial" w:eastAsia="Calibri" w:hAnsi="Arial" w:cs="Arial"/>
          <w:szCs w:val="24"/>
        </w:rPr>
        <w:t xml:space="preserve">also shows the equivalent cost per weighted separation time series, and </w:t>
      </w:r>
      <w:r w:rsidR="00583542" w:rsidRPr="00704036">
        <w:rPr>
          <w:rFonts w:ascii="Arial" w:eastAsia="Calibri" w:hAnsi="Arial" w:cs="Arial"/>
          <w:szCs w:val="24"/>
        </w:rPr>
        <w:t xml:space="preserve">Figure 4 </w:t>
      </w:r>
      <w:r w:rsidR="00460371" w:rsidRPr="00704036">
        <w:rPr>
          <w:rFonts w:ascii="Arial" w:eastAsia="Calibri" w:hAnsi="Arial" w:cs="Arial"/>
          <w:szCs w:val="24"/>
        </w:rPr>
        <w:t>illustrates the two time series graphically.</w:t>
      </w:r>
    </w:p>
    <w:p w:rsidR="00053234" w:rsidRPr="00704036" w:rsidRDefault="00053234" w:rsidP="005D6C78">
      <w:pPr>
        <w:keepNext/>
        <w:rPr>
          <w:rFonts w:ascii="Arial" w:eastAsia="Calibri" w:hAnsi="Arial" w:cs="Arial"/>
          <w:b/>
          <w:bCs/>
          <w:sz w:val="20"/>
        </w:rPr>
      </w:pPr>
      <w:r w:rsidRPr="00704036">
        <w:rPr>
          <w:rFonts w:ascii="Arial" w:eastAsia="Calibri" w:hAnsi="Arial" w:cs="Arial"/>
          <w:b/>
          <w:bCs/>
          <w:sz w:val="20"/>
        </w:rPr>
        <w:t xml:space="preserve">Table 4: Cost ratios and costs per weighted separation time series derived by applying the </w:t>
      </w:r>
      <w:r w:rsidR="00FD6311" w:rsidRPr="00704036">
        <w:rPr>
          <w:rFonts w:ascii="Arial" w:eastAsia="Calibri" w:hAnsi="Arial" w:cs="Arial"/>
          <w:b/>
          <w:bCs/>
          <w:sz w:val="20"/>
        </w:rPr>
        <w:t>2013-14</w:t>
      </w:r>
      <w:r w:rsidRPr="00704036">
        <w:rPr>
          <w:rFonts w:ascii="Arial" w:eastAsia="Calibri" w:hAnsi="Arial" w:cs="Arial"/>
          <w:b/>
          <w:bCs/>
          <w:sz w:val="20"/>
        </w:rPr>
        <w:t xml:space="preserve"> cost model and cost weight model to historical patient costed activity data</w:t>
      </w:r>
    </w:p>
    <w:tbl>
      <w:tblPr>
        <w:tblStyle w:val="TableGrid10"/>
        <w:tblW w:w="8788" w:type="dxa"/>
        <w:tblInd w:w="392" w:type="dxa"/>
        <w:tblLook w:val="04A0" w:firstRow="1" w:lastRow="0" w:firstColumn="1" w:lastColumn="0" w:noHBand="0" w:noVBand="1"/>
        <w:tblDescription w:val="A summary of table 4 is outlined in the text prior to this table. "/>
      </w:tblPr>
      <w:tblGrid>
        <w:gridCol w:w="1986"/>
        <w:gridCol w:w="1360"/>
        <w:gridCol w:w="1360"/>
        <w:gridCol w:w="1361"/>
        <w:gridCol w:w="1360"/>
        <w:gridCol w:w="1361"/>
      </w:tblGrid>
      <w:tr w:rsidR="00AA5D06" w:rsidRPr="00163EB6" w:rsidTr="00E33EAE">
        <w:trPr>
          <w:trHeight w:val="537"/>
          <w:tblHeader/>
        </w:trPr>
        <w:tc>
          <w:tcPr>
            <w:tcW w:w="1986" w:type="dxa"/>
            <w:shd w:val="clear" w:color="auto" w:fill="BFBFBF" w:themeFill="background1" w:themeFillShade="BF"/>
            <w:vAlign w:val="center"/>
          </w:tcPr>
          <w:p w:rsidR="00AA5D06" w:rsidRPr="00E33EAE" w:rsidRDefault="00AA5D06" w:rsidP="00543968">
            <w:pPr>
              <w:spacing w:beforeLines="60" w:before="144" w:afterLines="60" w:after="144"/>
              <w:rPr>
                <w:rFonts w:ascii="Arial" w:hAnsi="Arial" w:cs="Arial"/>
                <w:sz w:val="20"/>
              </w:rPr>
            </w:pPr>
          </w:p>
        </w:tc>
        <w:tc>
          <w:tcPr>
            <w:tcW w:w="1360" w:type="dxa"/>
            <w:shd w:val="clear" w:color="auto" w:fill="BFBFBF" w:themeFill="background1" w:themeFillShade="BF"/>
          </w:tcPr>
          <w:p w:rsidR="00AA5D06" w:rsidRPr="00E33EAE" w:rsidRDefault="00AA5D06" w:rsidP="00543968">
            <w:pPr>
              <w:spacing w:beforeLines="60" w:before="144" w:afterLines="60" w:after="144"/>
              <w:jc w:val="center"/>
              <w:rPr>
                <w:rFonts w:ascii="Arial" w:hAnsi="Arial" w:cs="Arial"/>
                <w:b/>
                <w:sz w:val="20"/>
              </w:rPr>
            </w:pPr>
            <w:r w:rsidRPr="00E33EAE">
              <w:rPr>
                <w:rFonts w:ascii="Arial" w:hAnsi="Arial" w:cs="Arial"/>
                <w:b/>
                <w:sz w:val="20"/>
              </w:rPr>
              <w:t>2009-10</w:t>
            </w:r>
          </w:p>
        </w:tc>
        <w:tc>
          <w:tcPr>
            <w:tcW w:w="1360" w:type="dxa"/>
            <w:shd w:val="clear" w:color="auto" w:fill="BFBFBF" w:themeFill="background1" w:themeFillShade="BF"/>
          </w:tcPr>
          <w:p w:rsidR="00AA5D06" w:rsidRPr="00E33EAE" w:rsidRDefault="00AA5D06" w:rsidP="00543968">
            <w:pPr>
              <w:spacing w:beforeLines="60" w:before="144" w:afterLines="60" w:after="144"/>
              <w:jc w:val="center"/>
              <w:rPr>
                <w:rFonts w:ascii="Arial" w:hAnsi="Arial" w:cs="Arial"/>
                <w:b/>
                <w:sz w:val="20"/>
              </w:rPr>
            </w:pPr>
            <w:r w:rsidRPr="00E33EAE">
              <w:rPr>
                <w:rFonts w:ascii="Arial" w:hAnsi="Arial" w:cs="Arial"/>
                <w:b/>
                <w:sz w:val="20"/>
              </w:rPr>
              <w:t>2010-11</w:t>
            </w:r>
          </w:p>
        </w:tc>
        <w:tc>
          <w:tcPr>
            <w:tcW w:w="1361" w:type="dxa"/>
            <w:shd w:val="clear" w:color="auto" w:fill="BFBFBF" w:themeFill="background1" w:themeFillShade="BF"/>
          </w:tcPr>
          <w:p w:rsidR="00AA5D06" w:rsidRPr="00E33EAE" w:rsidRDefault="00AA5D06" w:rsidP="00543968">
            <w:pPr>
              <w:spacing w:beforeLines="60" w:before="144" w:afterLines="60" w:after="144"/>
              <w:jc w:val="center"/>
              <w:rPr>
                <w:rFonts w:ascii="Arial" w:hAnsi="Arial" w:cs="Arial"/>
                <w:b/>
                <w:sz w:val="20"/>
              </w:rPr>
            </w:pPr>
            <w:r w:rsidRPr="00E33EAE">
              <w:rPr>
                <w:rFonts w:ascii="Arial" w:hAnsi="Arial" w:cs="Arial"/>
                <w:b/>
                <w:sz w:val="20"/>
              </w:rPr>
              <w:t>2011-12</w:t>
            </w:r>
          </w:p>
        </w:tc>
        <w:tc>
          <w:tcPr>
            <w:tcW w:w="1360" w:type="dxa"/>
            <w:shd w:val="clear" w:color="auto" w:fill="BFBFBF" w:themeFill="background1" w:themeFillShade="BF"/>
          </w:tcPr>
          <w:p w:rsidR="00AA5D06" w:rsidRPr="00E33EAE" w:rsidRDefault="00AA5D06" w:rsidP="00543968">
            <w:pPr>
              <w:spacing w:beforeLines="60" w:before="144" w:afterLines="60" w:after="144"/>
              <w:jc w:val="center"/>
              <w:rPr>
                <w:rFonts w:ascii="Arial" w:hAnsi="Arial" w:cs="Arial"/>
                <w:b/>
                <w:sz w:val="20"/>
              </w:rPr>
            </w:pPr>
            <w:r w:rsidRPr="00E33EAE">
              <w:rPr>
                <w:rFonts w:ascii="Arial" w:hAnsi="Arial" w:cs="Arial"/>
                <w:b/>
                <w:sz w:val="20"/>
              </w:rPr>
              <w:t>2012-13</w:t>
            </w:r>
          </w:p>
        </w:tc>
        <w:tc>
          <w:tcPr>
            <w:tcW w:w="1361" w:type="dxa"/>
            <w:shd w:val="clear" w:color="auto" w:fill="BFBFBF" w:themeFill="background1" w:themeFillShade="BF"/>
          </w:tcPr>
          <w:p w:rsidR="00AA5D06" w:rsidRPr="00E33EAE" w:rsidRDefault="00AA5D06" w:rsidP="00C12A66">
            <w:pPr>
              <w:spacing w:beforeLines="60" w:before="144" w:afterLines="60" w:after="144"/>
              <w:jc w:val="center"/>
              <w:rPr>
                <w:rFonts w:ascii="Arial" w:hAnsi="Arial" w:cs="Arial"/>
                <w:b/>
                <w:sz w:val="20"/>
              </w:rPr>
            </w:pPr>
            <w:r w:rsidRPr="00E33EAE">
              <w:rPr>
                <w:rFonts w:ascii="Arial" w:hAnsi="Arial" w:cs="Arial"/>
                <w:b/>
                <w:sz w:val="20"/>
              </w:rPr>
              <w:t>2013-14</w:t>
            </w:r>
          </w:p>
        </w:tc>
      </w:tr>
      <w:tr w:rsidR="00AA5D06" w:rsidRPr="00163EB6" w:rsidTr="00E33EAE">
        <w:trPr>
          <w:trHeight w:val="537"/>
        </w:trPr>
        <w:tc>
          <w:tcPr>
            <w:tcW w:w="1986" w:type="dxa"/>
            <w:vAlign w:val="center"/>
          </w:tcPr>
          <w:p w:rsidR="00AA5D06" w:rsidRPr="00E33EAE" w:rsidRDefault="00AA5D06" w:rsidP="00543968">
            <w:pPr>
              <w:spacing w:after="0"/>
              <w:rPr>
                <w:rFonts w:ascii="Arial" w:hAnsi="Arial" w:cs="Arial"/>
                <w:b/>
                <w:sz w:val="20"/>
              </w:rPr>
            </w:pPr>
            <w:r w:rsidRPr="00E33EAE">
              <w:rPr>
                <w:rFonts w:ascii="Arial" w:hAnsi="Arial" w:cs="Arial"/>
                <w:b/>
                <w:sz w:val="20"/>
              </w:rPr>
              <w:t>Cost ratio</w:t>
            </w:r>
          </w:p>
        </w:tc>
        <w:tc>
          <w:tcPr>
            <w:tcW w:w="1360" w:type="dxa"/>
            <w:vAlign w:val="center"/>
          </w:tcPr>
          <w:p w:rsidR="00AA5D06" w:rsidRPr="00E33EAE" w:rsidRDefault="00AB4342" w:rsidP="00921C18">
            <w:pPr>
              <w:spacing w:after="0"/>
              <w:jc w:val="center"/>
              <w:rPr>
                <w:rFonts w:ascii="Arial" w:hAnsi="Arial" w:cs="Arial"/>
                <w:sz w:val="18"/>
              </w:rPr>
            </w:pPr>
            <w:r>
              <w:rPr>
                <w:rFonts w:ascii="Arial" w:hAnsi="Arial" w:cs="Arial"/>
                <w:sz w:val="18"/>
              </w:rPr>
              <w:t>0.935</w:t>
            </w:r>
          </w:p>
        </w:tc>
        <w:tc>
          <w:tcPr>
            <w:tcW w:w="1360" w:type="dxa"/>
            <w:vAlign w:val="center"/>
          </w:tcPr>
          <w:p w:rsidR="00AA5D06" w:rsidRPr="00E33EAE" w:rsidRDefault="00AB4342" w:rsidP="00543968">
            <w:pPr>
              <w:spacing w:after="0"/>
              <w:jc w:val="center"/>
              <w:rPr>
                <w:rFonts w:ascii="Arial" w:hAnsi="Arial" w:cs="Arial"/>
                <w:sz w:val="18"/>
              </w:rPr>
            </w:pPr>
            <w:r>
              <w:rPr>
                <w:rFonts w:ascii="Arial" w:hAnsi="Arial" w:cs="Arial"/>
                <w:sz w:val="18"/>
              </w:rPr>
              <w:t>0.954</w:t>
            </w:r>
          </w:p>
        </w:tc>
        <w:tc>
          <w:tcPr>
            <w:tcW w:w="1361" w:type="dxa"/>
            <w:vAlign w:val="center"/>
          </w:tcPr>
          <w:p w:rsidR="00AA5D06" w:rsidRPr="00E33EAE" w:rsidRDefault="00AB4342" w:rsidP="00543968">
            <w:pPr>
              <w:spacing w:after="0"/>
              <w:jc w:val="center"/>
              <w:rPr>
                <w:rFonts w:ascii="Arial" w:hAnsi="Arial" w:cs="Arial"/>
                <w:sz w:val="18"/>
              </w:rPr>
            </w:pPr>
            <w:r>
              <w:rPr>
                <w:rFonts w:ascii="Arial" w:hAnsi="Arial" w:cs="Arial"/>
                <w:sz w:val="18"/>
              </w:rPr>
              <w:t>0.986</w:t>
            </w:r>
          </w:p>
        </w:tc>
        <w:tc>
          <w:tcPr>
            <w:tcW w:w="1360" w:type="dxa"/>
            <w:vAlign w:val="center"/>
          </w:tcPr>
          <w:p w:rsidR="00AA5D06" w:rsidRPr="00E33EAE" w:rsidRDefault="00AB4342" w:rsidP="00543968">
            <w:pPr>
              <w:spacing w:after="0"/>
              <w:jc w:val="center"/>
              <w:rPr>
                <w:rFonts w:ascii="Arial" w:hAnsi="Arial" w:cs="Arial"/>
                <w:sz w:val="18"/>
              </w:rPr>
            </w:pPr>
            <w:r>
              <w:rPr>
                <w:rFonts w:ascii="Arial" w:hAnsi="Arial" w:cs="Arial"/>
                <w:sz w:val="18"/>
              </w:rPr>
              <w:t>0.986</w:t>
            </w:r>
          </w:p>
        </w:tc>
        <w:tc>
          <w:tcPr>
            <w:tcW w:w="1361" w:type="dxa"/>
            <w:vAlign w:val="center"/>
          </w:tcPr>
          <w:p w:rsidR="00AA5D06" w:rsidRPr="00E33EAE" w:rsidRDefault="00AA5D06" w:rsidP="00C12A66">
            <w:pPr>
              <w:spacing w:after="0"/>
              <w:jc w:val="center"/>
              <w:rPr>
                <w:rFonts w:ascii="Arial" w:hAnsi="Arial" w:cs="Arial"/>
                <w:sz w:val="18"/>
              </w:rPr>
            </w:pPr>
            <w:r w:rsidRPr="00E33EAE">
              <w:rPr>
                <w:rFonts w:ascii="Arial" w:hAnsi="Arial" w:cs="Arial"/>
                <w:sz w:val="18"/>
              </w:rPr>
              <w:t>1.000</w:t>
            </w:r>
          </w:p>
        </w:tc>
      </w:tr>
      <w:tr w:rsidR="00AA5D06" w:rsidRPr="00163EB6" w:rsidTr="00E33EAE">
        <w:trPr>
          <w:trHeight w:val="537"/>
        </w:trPr>
        <w:tc>
          <w:tcPr>
            <w:tcW w:w="1986" w:type="dxa"/>
            <w:vAlign w:val="center"/>
          </w:tcPr>
          <w:p w:rsidR="00AA5D06" w:rsidRPr="00E33EAE" w:rsidRDefault="00AA5D06" w:rsidP="00543968">
            <w:pPr>
              <w:spacing w:after="0"/>
              <w:rPr>
                <w:rFonts w:ascii="Arial" w:hAnsi="Arial" w:cs="Arial"/>
                <w:b/>
                <w:sz w:val="20"/>
              </w:rPr>
            </w:pPr>
            <w:r w:rsidRPr="00E33EAE">
              <w:rPr>
                <w:rFonts w:ascii="Arial" w:hAnsi="Arial" w:cs="Arial"/>
                <w:b/>
                <w:sz w:val="20"/>
              </w:rPr>
              <w:t>Cost per weighted separation</w:t>
            </w:r>
          </w:p>
        </w:tc>
        <w:tc>
          <w:tcPr>
            <w:tcW w:w="1360" w:type="dxa"/>
            <w:vAlign w:val="center"/>
          </w:tcPr>
          <w:p w:rsidR="00AA5D06" w:rsidRPr="00E33EAE" w:rsidRDefault="00AA5D06" w:rsidP="00AB4342">
            <w:pPr>
              <w:spacing w:after="0"/>
              <w:jc w:val="center"/>
              <w:rPr>
                <w:rFonts w:ascii="Arial" w:hAnsi="Arial" w:cs="Arial"/>
                <w:sz w:val="18"/>
              </w:rPr>
            </w:pPr>
            <w:r w:rsidRPr="00E33EAE">
              <w:rPr>
                <w:rFonts w:ascii="Arial" w:hAnsi="Arial" w:cs="Arial"/>
                <w:sz w:val="18"/>
              </w:rPr>
              <w:t>$</w:t>
            </w:r>
            <w:r w:rsidR="00AB4342">
              <w:rPr>
                <w:rFonts w:ascii="Arial" w:hAnsi="Arial" w:cs="Arial"/>
                <w:sz w:val="18"/>
              </w:rPr>
              <w:t>4,290</w:t>
            </w:r>
          </w:p>
        </w:tc>
        <w:tc>
          <w:tcPr>
            <w:tcW w:w="1360" w:type="dxa"/>
            <w:vAlign w:val="center"/>
          </w:tcPr>
          <w:p w:rsidR="00AA5D06" w:rsidRPr="00E33EAE" w:rsidRDefault="00AA5D06" w:rsidP="00AB4342">
            <w:pPr>
              <w:spacing w:after="0"/>
              <w:jc w:val="center"/>
              <w:rPr>
                <w:rFonts w:ascii="Arial" w:hAnsi="Arial" w:cs="Arial"/>
                <w:sz w:val="18"/>
              </w:rPr>
            </w:pPr>
            <w:r w:rsidRPr="00E33EAE">
              <w:rPr>
                <w:rFonts w:ascii="Arial" w:hAnsi="Arial" w:cs="Arial"/>
                <w:sz w:val="18"/>
              </w:rPr>
              <w:t>$</w:t>
            </w:r>
            <w:r w:rsidR="00AB4342">
              <w:rPr>
                <w:rFonts w:ascii="Arial" w:hAnsi="Arial" w:cs="Arial"/>
                <w:sz w:val="18"/>
              </w:rPr>
              <w:t>4,377</w:t>
            </w:r>
          </w:p>
        </w:tc>
        <w:tc>
          <w:tcPr>
            <w:tcW w:w="1361" w:type="dxa"/>
            <w:vAlign w:val="center"/>
          </w:tcPr>
          <w:p w:rsidR="00AA5D06" w:rsidRPr="00E33EAE" w:rsidRDefault="00AA5D06" w:rsidP="00AB4342">
            <w:pPr>
              <w:spacing w:after="0"/>
              <w:jc w:val="center"/>
              <w:rPr>
                <w:rFonts w:ascii="Arial" w:hAnsi="Arial" w:cs="Arial"/>
                <w:sz w:val="18"/>
              </w:rPr>
            </w:pPr>
            <w:r w:rsidRPr="00E33EAE">
              <w:rPr>
                <w:rFonts w:ascii="Arial" w:hAnsi="Arial" w:cs="Arial"/>
                <w:sz w:val="18"/>
              </w:rPr>
              <w:t>$</w:t>
            </w:r>
            <w:r w:rsidR="00AB4342">
              <w:rPr>
                <w:rFonts w:ascii="Arial" w:hAnsi="Arial" w:cs="Arial"/>
                <w:sz w:val="18"/>
              </w:rPr>
              <w:t>4,524</w:t>
            </w:r>
          </w:p>
        </w:tc>
        <w:tc>
          <w:tcPr>
            <w:tcW w:w="1360" w:type="dxa"/>
            <w:vAlign w:val="center"/>
          </w:tcPr>
          <w:p w:rsidR="00AA5D06" w:rsidRPr="00E33EAE" w:rsidRDefault="00AA5D06" w:rsidP="00AB4342">
            <w:pPr>
              <w:spacing w:after="0"/>
              <w:jc w:val="center"/>
              <w:rPr>
                <w:rFonts w:ascii="Arial" w:hAnsi="Arial" w:cs="Arial"/>
                <w:sz w:val="18"/>
              </w:rPr>
            </w:pPr>
            <w:r w:rsidRPr="00E33EAE">
              <w:rPr>
                <w:rFonts w:ascii="Arial" w:hAnsi="Arial" w:cs="Arial"/>
                <w:sz w:val="18"/>
              </w:rPr>
              <w:t>$</w:t>
            </w:r>
            <w:r w:rsidR="00AB4342">
              <w:rPr>
                <w:rFonts w:ascii="Arial" w:hAnsi="Arial" w:cs="Arial"/>
                <w:sz w:val="18"/>
              </w:rPr>
              <w:t>4,525</w:t>
            </w:r>
          </w:p>
        </w:tc>
        <w:tc>
          <w:tcPr>
            <w:tcW w:w="1361" w:type="dxa"/>
            <w:vAlign w:val="center"/>
          </w:tcPr>
          <w:p w:rsidR="00AA5D06" w:rsidRPr="00E33EAE" w:rsidRDefault="00AA5D06" w:rsidP="00AB4342">
            <w:pPr>
              <w:spacing w:after="0"/>
              <w:jc w:val="center"/>
              <w:rPr>
                <w:rFonts w:ascii="Arial" w:hAnsi="Arial" w:cs="Arial"/>
                <w:sz w:val="18"/>
              </w:rPr>
            </w:pPr>
            <w:r w:rsidRPr="00E33EAE">
              <w:rPr>
                <w:rFonts w:ascii="Arial" w:hAnsi="Arial" w:cs="Arial"/>
                <w:sz w:val="18"/>
              </w:rPr>
              <w:t>$</w:t>
            </w:r>
            <w:r w:rsidR="00AB4342">
              <w:rPr>
                <w:rFonts w:ascii="Arial" w:hAnsi="Arial" w:cs="Arial"/>
                <w:sz w:val="18"/>
              </w:rPr>
              <w:t>4,588</w:t>
            </w:r>
          </w:p>
        </w:tc>
      </w:tr>
    </w:tbl>
    <w:p w:rsidR="00460371" w:rsidRPr="00704036" w:rsidRDefault="00460371" w:rsidP="00AD4FFC">
      <w:pPr>
        <w:keepNext/>
        <w:spacing w:before="100" w:beforeAutospacing="1" w:after="100" w:afterAutospacing="1"/>
        <w:contextualSpacing/>
        <w:jc w:val="center"/>
        <w:rPr>
          <w:rFonts w:ascii="Arial" w:eastAsia="Calibri" w:hAnsi="Arial" w:cs="Arial"/>
          <w:b/>
          <w:bCs/>
          <w:sz w:val="16"/>
          <w:szCs w:val="18"/>
        </w:rPr>
      </w:pPr>
    </w:p>
    <w:p w:rsidR="00460371" w:rsidRPr="00704036" w:rsidRDefault="00460371" w:rsidP="00AD4FFC">
      <w:pPr>
        <w:spacing w:before="100" w:beforeAutospacing="1" w:after="100" w:afterAutospacing="1"/>
        <w:rPr>
          <w:rFonts w:ascii="Arial" w:eastAsia="Calibri" w:hAnsi="Arial" w:cs="Arial"/>
          <w:szCs w:val="24"/>
        </w:rPr>
      </w:pPr>
      <w:r w:rsidRPr="00704036">
        <w:rPr>
          <w:rFonts w:ascii="Arial" w:eastAsia="Calibri" w:hAnsi="Arial" w:cs="Arial"/>
          <w:szCs w:val="24"/>
        </w:rPr>
        <w:t xml:space="preserve">The next step in the process of deriving an annual indexation rate is to model a line of best fit against the time series of cost ratios (or equivalently, against the time series of costs per weighted separation). This line of best fit is used to estimate the projected annual inflation factor </w:t>
      </w:r>
      <w:proofErr w:type="spellStart"/>
      <w:r w:rsidRPr="00704036">
        <w:rPr>
          <w:rFonts w:ascii="Arial" w:eastAsia="Calibri" w:hAnsi="Arial" w:cs="Arial"/>
          <w:i/>
          <w:szCs w:val="24"/>
        </w:rPr>
        <w:t>s</w:t>
      </w:r>
      <w:proofErr w:type="spellEnd"/>
      <w:r w:rsidRPr="00704036">
        <w:rPr>
          <w:rFonts w:ascii="Arial" w:eastAsia="Calibri" w:hAnsi="Arial" w:cs="Arial"/>
          <w:szCs w:val="24"/>
        </w:rPr>
        <w:t xml:space="preserve"> shown in </w:t>
      </w:r>
      <w:r w:rsidR="009419AC" w:rsidRPr="00704036">
        <w:rPr>
          <w:rFonts w:ascii="Arial" w:eastAsia="Calibri" w:hAnsi="Arial" w:cs="Arial"/>
          <w:szCs w:val="24"/>
        </w:rPr>
        <w:t>Figure 3</w:t>
      </w:r>
      <w:r w:rsidRPr="00704036">
        <w:rPr>
          <w:rFonts w:ascii="Arial" w:eastAsia="Calibri" w:hAnsi="Arial" w:cs="Arial"/>
          <w:szCs w:val="24"/>
        </w:rPr>
        <w:t>.</w:t>
      </w:r>
    </w:p>
    <w:p w:rsidR="00460371" w:rsidRPr="00704036" w:rsidRDefault="00460371" w:rsidP="00AD4FFC">
      <w:pPr>
        <w:spacing w:before="100" w:beforeAutospacing="1" w:after="100" w:afterAutospacing="1"/>
        <w:rPr>
          <w:rFonts w:ascii="Arial" w:eastAsia="Calibri" w:hAnsi="Arial" w:cs="Arial"/>
          <w:szCs w:val="24"/>
        </w:rPr>
      </w:pPr>
      <w:r w:rsidRPr="00704036">
        <w:rPr>
          <w:rFonts w:ascii="Arial" w:eastAsia="Calibri" w:hAnsi="Arial" w:cs="Arial"/>
          <w:szCs w:val="24"/>
        </w:rPr>
        <w:t xml:space="preserve">Given that the inflation factor </w:t>
      </w:r>
      <w:proofErr w:type="spellStart"/>
      <w:r w:rsidRPr="00704036">
        <w:rPr>
          <w:rFonts w:ascii="Arial" w:eastAsia="Calibri" w:hAnsi="Arial" w:cs="Arial"/>
          <w:i/>
          <w:szCs w:val="24"/>
        </w:rPr>
        <w:t>s</w:t>
      </w:r>
      <w:proofErr w:type="spellEnd"/>
      <w:r w:rsidRPr="00704036">
        <w:rPr>
          <w:rFonts w:ascii="Arial" w:eastAsia="Calibri" w:hAnsi="Arial" w:cs="Arial"/>
          <w:szCs w:val="24"/>
        </w:rPr>
        <w:t xml:space="preserve"> being modelled is an annual growth rate (i.e. </w:t>
      </w:r>
      <w:r w:rsidRPr="00704036">
        <w:rPr>
          <w:rFonts w:ascii="Arial" w:eastAsia="Calibri" w:hAnsi="Arial" w:cs="Arial"/>
          <w:i/>
          <w:szCs w:val="24"/>
        </w:rPr>
        <w:t xml:space="preserve">s </w:t>
      </w:r>
      <w:r w:rsidRPr="00704036">
        <w:rPr>
          <w:rFonts w:ascii="Arial" w:eastAsia="Calibri" w:hAnsi="Arial" w:cs="Arial"/>
          <w:szCs w:val="24"/>
        </w:rPr>
        <w:t xml:space="preserve">≈ </w:t>
      </w:r>
      <w:r w:rsidRPr="00704036">
        <w:rPr>
          <w:rFonts w:ascii="Arial" w:eastAsia="Calibri" w:hAnsi="Arial" w:cs="Arial"/>
          <w:i/>
          <w:szCs w:val="24"/>
        </w:rPr>
        <w:t>s</w:t>
      </w:r>
      <w:r w:rsidRPr="00704036">
        <w:rPr>
          <w:rFonts w:ascii="Arial" w:eastAsia="Calibri" w:hAnsi="Arial" w:cs="Arial"/>
          <w:szCs w:val="24"/>
          <w:vertAlign w:val="subscript"/>
        </w:rPr>
        <w:t>x+1</w:t>
      </w:r>
      <w:r w:rsidRPr="00704036">
        <w:rPr>
          <w:rFonts w:ascii="Arial" w:eastAsia="Calibri" w:hAnsi="Arial" w:cs="Arial"/>
          <w:szCs w:val="24"/>
        </w:rPr>
        <w:t xml:space="preserve"> / </w:t>
      </w:r>
      <w:proofErr w:type="spellStart"/>
      <w:r w:rsidRPr="00704036">
        <w:rPr>
          <w:rFonts w:ascii="Arial" w:eastAsia="Calibri" w:hAnsi="Arial" w:cs="Arial"/>
          <w:i/>
          <w:szCs w:val="24"/>
        </w:rPr>
        <w:t>s</w:t>
      </w:r>
      <w:r w:rsidRPr="00704036">
        <w:rPr>
          <w:rFonts w:ascii="Arial" w:eastAsia="Calibri" w:hAnsi="Arial" w:cs="Arial"/>
          <w:szCs w:val="24"/>
          <w:vertAlign w:val="subscript"/>
        </w:rPr>
        <w:t>x</w:t>
      </w:r>
      <w:proofErr w:type="spellEnd"/>
      <w:r w:rsidRPr="00704036">
        <w:rPr>
          <w:rFonts w:ascii="Arial" w:eastAsia="Calibri" w:hAnsi="Arial" w:cs="Arial"/>
          <w:szCs w:val="24"/>
        </w:rPr>
        <w:t xml:space="preserve">) as opposed to an arithmetic change each year (i.e. </w:t>
      </w:r>
      <w:r w:rsidRPr="00704036">
        <w:rPr>
          <w:rFonts w:ascii="Arial" w:eastAsia="Calibri" w:hAnsi="Arial" w:cs="Arial"/>
          <w:i/>
          <w:szCs w:val="24"/>
        </w:rPr>
        <w:t>s</w:t>
      </w:r>
      <w:r w:rsidRPr="00704036">
        <w:rPr>
          <w:rFonts w:ascii="Arial" w:eastAsia="Calibri" w:hAnsi="Arial" w:cs="Arial"/>
          <w:szCs w:val="24"/>
          <w:vertAlign w:val="subscript"/>
        </w:rPr>
        <w:t>x+1</w:t>
      </w:r>
      <w:r w:rsidRPr="00704036">
        <w:rPr>
          <w:rFonts w:ascii="Arial" w:eastAsia="Calibri" w:hAnsi="Arial" w:cs="Arial"/>
          <w:szCs w:val="24"/>
        </w:rPr>
        <w:t xml:space="preserve"> </w:t>
      </w:r>
      <w:r w:rsidRPr="00704036">
        <w:rPr>
          <w:rFonts w:ascii="Arial" w:eastAsia="Calibri" w:hAnsi="Arial" w:cs="Arial"/>
          <w:szCs w:val="24"/>
        </w:rPr>
        <w:sym w:font="Symbol" w:char="F02D"/>
      </w:r>
      <w:r w:rsidRPr="00704036">
        <w:rPr>
          <w:rFonts w:ascii="Arial" w:eastAsia="Calibri" w:hAnsi="Arial" w:cs="Arial"/>
          <w:szCs w:val="24"/>
        </w:rPr>
        <w:t xml:space="preserve"> </w:t>
      </w:r>
      <w:proofErr w:type="spellStart"/>
      <w:r w:rsidRPr="00704036">
        <w:rPr>
          <w:rFonts w:ascii="Arial" w:eastAsia="Calibri" w:hAnsi="Arial" w:cs="Arial"/>
          <w:i/>
          <w:szCs w:val="24"/>
        </w:rPr>
        <w:t>s</w:t>
      </w:r>
      <w:r w:rsidRPr="00704036">
        <w:rPr>
          <w:rFonts w:ascii="Arial" w:eastAsia="Calibri" w:hAnsi="Arial" w:cs="Arial"/>
          <w:szCs w:val="24"/>
          <w:vertAlign w:val="subscript"/>
        </w:rPr>
        <w:t>x</w:t>
      </w:r>
      <w:proofErr w:type="spellEnd"/>
      <w:r w:rsidRPr="00704036">
        <w:rPr>
          <w:rFonts w:ascii="Arial" w:eastAsia="Calibri" w:hAnsi="Arial" w:cs="Arial"/>
          <w:szCs w:val="24"/>
        </w:rPr>
        <w:t xml:space="preserve">), the line of best fit is taken to have an exponential form. In other words, an exponential form is chosen because exponential functions </w:t>
      </w:r>
      <w:proofErr w:type="spellStart"/>
      <w:r w:rsidRPr="00704036">
        <w:rPr>
          <w:rFonts w:ascii="Arial" w:eastAsia="Calibri" w:hAnsi="Arial" w:cs="Arial"/>
          <w:i/>
          <w:szCs w:val="24"/>
        </w:rPr>
        <w:t>A</w:t>
      </w:r>
      <w:r w:rsidRPr="00704036">
        <w:rPr>
          <w:rFonts w:ascii="Arial" w:eastAsia="Calibri" w:hAnsi="Arial" w:cs="Arial"/>
          <w:szCs w:val="24"/>
        </w:rPr>
        <w:t>e</w:t>
      </w:r>
      <w:r w:rsidRPr="00704036">
        <w:rPr>
          <w:rFonts w:ascii="Arial" w:eastAsia="Calibri" w:hAnsi="Arial" w:cs="Arial"/>
          <w:i/>
          <w:szCs w:val="24"/>
          <w:vertAlign w:val="superscript"/>
        </w:rPr>
        <w:t>Bx</w:t>
      </w:r>
      <w:proofErr w:type="spellEnd"/>
      <w:r w:rsidRPr="00704036">
        <w:rPr>
          <w:rFonts w:ascii="Arial" w:eastAsia="Calibri" w:hAnsi="Arial" w:cs="Arial"/>
          <w:szCs w:val="24"/>
        </w:rPr>
        <w:t xml:space="preserve"> have the characteristic that their annual growth rate is constant:</w:t>
      </w:r>
    </w:p>
    <w:p w:rsidR="00460371" w:rsidRPr="00704036" w:rsidRDefault="00460371" w:rsidP="00AD4FFC">
      <w:pPr>
        <w:spacing w:before="100" w:beforeAutospacing="1" w:after="100" w:afterAutospacing="1"/>
        <w:jc w:val="center"/>
        <w:rPr>
          <w:rFonts w:ascii="Arial" w:eastAsia="Calibri" w:hAnsi="Arial" w:cs="Arial"/>
          <w:szCs w:val="24"/>
        </w:rPr>
      </w:pPr>
      <w:proofErr w:type="spellStart"/>
      <w:r w:rsidRPr="00704036">
        <w:rPr>
          <w:rFonts w:ascii="Arial" w:eastAsia="Calibri" w:hAnsi="Arial" w:cs="Arial"/>
          <w:i/>
          <w:szCs w:val="24"/>
        </w:rPr>
        <w:t>A</w:t>
      </w:r>
      <w:r w:rsidRPr="00704036">
        <w:rPr>
          <w:rFonts w:ascii="Arial" w:eastAsia="Calibri" w:hAnsi="Arial" w:cs="Arial"/>
          <w:szCs w:val="24"/>
        </w:rPr>
        <w:t>e</w:t>
      </w:r>
      <w:r w:rsidRPr="00704036">
        <w:rPr>
          <w:rFonts w:ascii="Arial" w:eastAsia="Calibri" w:hAnsi="Arial" w:cs="Arial"/>
          <w:i/>
          <w:szCs w:val="24"/>
          <w:vertAlign w:val="superscript"/>
        </w:rPr>
        <w:t>B</w:t>
      </w:r>
      <w:proofErr w:type="spellEnd"/>
      <w:r w:rsidRPr="00704036">
        <w:rPr>
          <w:rFonts w:ascii="Arial" w:eastAsia="Calibri" w:hAnsi="Arial" w:cs="Arial"/>
          <w:szCs w:val="24"/>
          <w:vertAlign w:val="superscript"/>
        </w:rPr>
        <w:t>(</w:t>
      </w:r>
      <w:r w:rsidRPr="00704036">
        <w:rPr>
          <w:rFonts w:ascii="Arial" w:eastAsia="Calibri" w:hAnsi="Arial" w:cs="Arial"/>
          <w:i/>
          <w:szCs w:val="24"/>
          <w:vertAlign w:val="superscript"/>
        </w:rPr>
        <w:t>x</w:t>
      </w:r>
      <w:r w:rsidRPr="00704036">
        <w:rPr>
          <w:rFonts w:ascii="Arial" w:eastAsia="Calibri" w:hAnsi="Arial" w:cs="Arial"/>
          <w:szCs w:val="24"/>
          <w:vertAlign w:val="superscript"/>
        </w:rPr>
        <w:t>+1)</w:t>
      </w:r>
      <w:r w:rsidRPr="00704036">
        <w:rPr>
          <w:rFonts w:ascii="Arial" w:eastAsia="Calibri" w:hAnsi="Arial" w:cs="Arial"/>
          <w:szCs w:val="24"/>
        </w:rPr>
        <w:t xml:space="preserve"> / </w:t>
      </w:r>
      <w:proofErr w:type="spellStart"/>
      <w:r w:rsidRPr="00704036">
        <w:rPr>
          <w:rFonts w:ascii="Arial" w:eastAsia="Calibri" w:hAnsi="Arial" w:cs="Arial"/>
          <w:i/>
          <w:szCs w:val="24"/>
        </w:rPr>
        <w:t>A</w:t>
      </w:r>
      <w:r w:rsidRPr="00704036">
        <w:rPr>
          <w:rFonts w:ascii="Arial" w:eastAsia="Calibri" w:hAnsi="Arial" w:cs="Arial"/>
          <w:szCs w:val="24"/>
        </w:rPr>
        <w:t>e</w:t>
      </w:r>
      <w:r w:rsidRPr="00704036">
        <w:rPr>
          <w:rFonts w:ascii="Arial" w:eastAsia="Calibri" w:hAnsi="Arial" w:cs="Arial"/>
          <w:i/>
          <w:szCs w:val="24"/>
          <w:vertAlign w:val="superscript"/>
        </w:rPr>
        <w:t>Bx</w:t>
      </w:r>
      <w:proofErr w:type="spellEnd"/>
      <w:r w:rsidRPr="00704036">
        <w:rPr>
          <w:rFonts w:ascii="Arial" w:eastAsia="Calibri" w:hAnsi="Arial" w:cs="Arial"/>
          <w:szCs w:val="24"/>
        </w:rPr>
        <w:t xml:space="preserve"> = </w:t>
      </w:r>
      <w:proofErr w:type="spellStart"/>
      <w:r w:rsidRPr="00704036">
        <w:rPr>
          <w:rFonts w:ascii="Arial" w:eastAsia="Calibri" w:hAnsi="Arial" w:cs="Arial"/>
          <w:szCs w:val="24"/>
        </w:rPr>
        <w:t>e</w:t>
      </w:r>
      <w:r w:rsidRPr="00704036">
        <w:rPr>
          <w:rFonts w:ascii="Arial" w:eastAsia="Calibri" w:hAnsi="Arial" w:cs="Arial"/>
          <w:i/>
          <w:szCs w:val="24"/>
          <w:vertAlign w:val="superscript"/>
        </w:rPr>
        <w:t>B</w:t>
      </w:r>
      <w:proofErr w:type="spellEnd"/>
      <w:r w:rsidRPr="00704036">
        <w:rPr>
          <w:rFonts w:ascii="Arial" w:eastAsia="Calibri" w:hAnsi="Arial" w:cs="Arial"/>
          <w:szCs w:val="24"/>
        </w:rPr>
        <w:t xml:space="preserve"> = constant.</w:t>
      </w:r>
    </w:p>
    <w:p w:rsidR="00460371" w:rsidRPr="00704036" w:rsidRDefault="00460371" w:rsidP="00AD4FFC">
      <w:pPr>
        <w:spacing w:before="100" w:beforeAutospacing="1" w:after="100" w:afterAutospacing="1"/>
        <w:rPr>
          <w:rFonts w:ascii="Arial" w:eastAsia="Calibri" w:hAnsi="Arial" w:cs="Arial"/>
          <w:szCs w:val="24"/>
        </w:rPr>
      </w:pPr>
      <w:r w:rsidRPr="00704036">
        <w:rPr>
          <w:rFonts w:ascii="Arial" w:eastAsia="Calibri" w:hAnsi="Arial" w:cs="Arial"/>
          <w:szCs w:val="24"/>
        </w:rPr>
        <w:t xml:space="preserve">The exponential line of best fit is also modelled so that it passes through the </w:t>
      </w:r>
      <w:r w:rsidR="00FD6311" w:rsidRPr="00704036">
        <w:rPr>
          <w:rFonts w:ascii="Arial" w:eastAsia="Calibri" w:hAnsi="Arial" w:cs="Arial"/>
          <w:szCs w:val="24"/>
        </w:rPr>
        <w:t>2013-14</w:t>
      </w:r>
      <w:r w:rsidRPr="00704036">
        <w:rPr>
          <w:rFonts w:ascii="Arial" w:eastAsia="Calibri" w:hAnsi="Arial" w:cs="Arial"/>
          <w:szCs w:val="24"/>
        </w:rPr>
        <w:t xml:space="preserve"> observation to ensure that the resulting annual scaling factor applies to the </w:t>
      </w:r>
      <w:r w:rsidR="00FD6311" w:rsidRPr="00704036">
        <w:rPr>
          <w:rFonts w:ascii="Arial" w:eastAsia="Calibri" w:hAnsi="Arial" w:cs="Arial"/>
          <w:szCs w:val="24"/>
        </w:rPr>
        <w:t>2013-14</w:t>
      </w:r>
      <w:r w:rsidRPr="00704036">
        <w:rPr>
          <w:rFonts w:ascii="Arial" w:eastAsia="Calibri" w:hAnsi="Arial" w:cs="Arial"/>
          <w:szCs w:val="24"/>
        </w:rPr>
        <w:t xml:space="preserve"> cost ratio of </w:t>
      </w:r>
      <w:r w:rsidRPr="00E33EAE">
        <w:rPr>
          <w:rFonts w:ascii="Arial" w:eastAsia="Calibri" w:hAnsi="Arial" w:cs="Arial"/>
          <w:szCs w:val="24"/>
        </w:rPr>
        <w:t>1</w:t>
      </w:r>
      <w:r w:rsidRPr="00704036">
        <w:rPr>
          <w:rFonts w:ascii="Arial" w:eastAsia="Calibri" w:hAnsi="Arial" w:cs="Arial"/>
          <w:szCs w:val="24"/>
        </w:rPr>
        <w:t xml:space="preserve"> (or equivalently, to the </w:t>
      </w:r>
      <w:r w:rsidR="00FD6311" w:rsidRPr="00704036">
        <w:rPr>
          <w:rFonts w:ascii="Arial" w:eastAsia="Calibri" w:hAnsi="Arial" w:cs="Arial"/>
          <w:szCs w:val="24"/>
        </w:rPr>
        <w:t>2013-14</w:t>
      </w:r>
      <w:r w:rsidRPr="00704036">
        <w:rPr>
          <w:rFonts w:ascii="Arial" w:eastAsia="Calibri" w:hAnsi="Arial" w:cs="Arial"/>
          <w:szCs w:val="24"/>
        </w:rPr>
        <w:t xml:space="preserve"> reference cost of </w:t>
      </w:r>
      <w:r w:rsidR="004A7CB5" w:rsidRPr="00704036">
        <w:rPr>
          <w:rFonts w:ascii="Arial" w:eastAsia="Calibri" w:hAnsi="Arial" w:cs="Arial"/>
          <w:szCs w:val="24"/>
        </w:rPr>
        <w:t>$</w:t>
      </w:r>
      <w:r w:rsidR="00AB4342">
        <w:rPr>
          <w:rFonts w:ascii="Arial" w:eastAsia="Calibri" w:hAnsi="Arial" w:cs="Arial"/>
          <w:szCs w:val="24"/>
        </w:rPr>
        <w:t>4,588</w:t>
      </w:r>
      <w:r w:rsidRPr="00704036">
        <w:rPr>
          <w:rFonts w:ascii="Arial" w:eastAsia="Calibri" w:hAnsi="Arial" w:cs="Arial"/>
          <w:szCs w:val="24"/>
        </w:rPr>
        <w:t>).</w:t>
      </w:r>
    </w:p>
    <w:p w:rsidR="00460371" w:rsidRPr="00704036" w:rsidRDefault="00460371" w:rsidP="00AD4FFC">
      <w:pPr>
        <w:spacing w:before="100" w:beforeAutospacing="1" w:after="100" w:afterAutospacing="1"/>
        <w:rPr>
          <w:rFonts w:ascii="Arial" w:eastAsia="Calibri" w:hAnsi="Arial" w:cs="Arial"/>
          <w:szCs w:val="24"/>
        </w:rPr>
      </w:pPr>
      <w:r w:rsidRPr="00704036">
        <w:rPr>
          <w:rFonts w:ascii="Arial" w:eastAsia="Calibri" w:hAnsi="Arial" w:cs="Arial"/>
          <w:szCs w:val="24"/>
        </w:rPr>
        <w:t xml:space="preserve">The time series and associated exponential line of best fit are shown in </w:t>
      </w:r>
      <w:r w:rsidR="003667FD" w:rsidRPr="00704036">
        <w:rPr>
          <w:rFonts w:ascii="Arial" w:eastAsia="Calibri" w:hAnsi="Arial" w:cs="Arial"/>
          <w:szCs w:val="24"/>
        </w:rPr>
        <w:t xml:space="preserve">Figure </w:t>
      </w:r>
      <w:r w:rsidR="00EF2711" w:rsidRPr="00704036">
        <w:rPr>
          <w:rFonts w:ascii="Arial" w:eastAsia="Calibri" w:hAnsi="Arial" w:cs="Arial"/>
          <w:szCs w:val="24"/>
        </w:rPr>
        <w:t>4</w:t>
      </w:r>
      <w:r w:rsidRPr="00704036">
        <w:rPr>
          <w:rFonts w:ascii="Arial" w:eastAsia="Calibri" w:hAnsi="Arial" w:cs="Arial"/>
          <w:szCs w:val="24"/>
        </w:rPr>
        <w:t xml:space="preserve">. The two equations displayed in </w:t>
      </w:r>
      <w:r w:rsidR="003667FD" w:rsidRPr="00704036">
        <w:rPr>
          <w:rFonts w:ascii="Arial" w:eastAsia="Calibri" w:hAnsi="Arial" w:cs="Arial"/>
          <w:szCs w:val="24"/>
        </w:rPr>
        <w:t xml:space="preserve">Figure </w:t>
      </w:r>
      <w:r w:rsidR="00EF2711" w:rsidRPr="00704036">
        <w:rPr>
          <w:rFonts w:ascii="Arial" w:eastAsia="Calibri" w:hAnsi="Arial" w:cs="Arial"/>
          <w:szCs w:val="24"/>
        </w:rPr>
        <w:t>4</w:t>
      </w:r>
      <w:r w:rsidRPr="00704036">
        <w:rPr>
          <w:rFonts w:ascii="Arial" w:eastAsia="Calibri" w:hAnsi="Arial" w:cs="Arial"/>
          <w:szCs w:val="24"/>
        </w:rPr>
        <w:t xml:space="preserve"> represent the exponential line expressed in terms of the cost ratio time series and the cost per weighted separation time series.</w:t>
      </w:r>
    </w:p>
    <w:p w:rsidR="00460371" w:rsidRPr="00704036" w:rsidRDefault="00460371" w:rsidP="005D6C78">
      <w:pPr>
        <w:keepNext/>
        <w:spacing w:before="100" w:beforeAutospacing="1"/>
        <w:rPr>
          <w:rFonts w:ascii="Arial" w:eastAsia="Calibri" w:hAnsi="Arial" w:cs="Arial"/>
          <w:b/>
          <w:bCs/>
          <w:sz w:val="20"/>
        </w:rPr>
      </w:pPr>
      <w:bookmarkStart w:id="484" w:name="_Ref350340658"/>
      <w:r w:rsidRPr="00704036">
        <w:rPr>
          <w:rFonts w:ascii="Arial" w:eastAsia="Calibri" w:hAnsi="Arial" w:cs="Arial"/>
          <w:b/>
          <w:bCs/>
          <w:sz w:val="20"/>
        </w:rPr>
        <w:t xml:space="preserve">Figure </w:t>
      </w:r>
      <w:bookmarkEnd w:id="484"/>
      <w:r w:rsidR="00EF2711" w:rsidRPr="00704036">
        <w:rPr>
          <w:rFonts w:ascii="Arial" w:eastAsia="Calibri" w:hAnsi="Arial" w:cs="Arial"/>
          <w:b/>
          <w:bCs/>
          <w:sz w:val="20"/>
        </w:rPr>
        <w:t>4</w:t>
      </w:r>
      <w:r w:rsidRPr="00704036">
        <w:rPr>
          <w:rFonts w:ascii="Arial" w:eastAsia="Calibri" w:hAnsi="Arial" w:cs="Arial"/>
          <w:b/>
          <w:bCs/>
          <w:sz w:val="20"/>
        </w:rPr>
        <w:t>: Time series of cost ratio and cost per weighted separation with exponential line of best fit</w:t>
      </w:r>
    </w:p>
    <w:p w:rsidR="00AB4342" w:rsidRPr="00704036" w:rsidRDefault="00AB4342" w:rsidP="00C12A66">
      <w:pPr>
        <w:spacing w:before="100" w:beforeAutospacing="1" w:after="100" w:afterAutospacing="1"/>
        <w:jc w:val="center"/>
        <w:rPr>
          <w:rFonts w:ascii="Arial" w:eastAsia="Calibri" w:hAnsi="Arial" w:cs="Arial"/>
        </w:rPr>
      </w:pPr>
      <w:r>
        <w:rPr>
          <w:rFonts w:ascii="Arial" w:eastAsia="Calibri" w:hAnsi="Arial" w:cs="Arial"/>
          <w:noProof/>
          <w:lang w:eastAsia="en-AU"/>
        </w:rPr>
        <w:drawing>
          <wp:inline distT="0" distB="0" distL="0" distR="0" wp14:anchorId="35F8F9C2" wp14:editId="2B924A9D">
            <wp:extent cx="4749800" cy="34541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3756" cy="3464344"/>
                    </a:xfrm>
                    <a:prstGeom prst="rect">
                      <a:avLst/>
                    </a:prstGeom>
                    <a:noFill/>
                  </pic:spPr>
                </pic:pic>
              </a:graphicData>
            </a:graphic>
          </wp:inline>
        </w:drawing>
      </w:r>
    </w:p>
    <w:p w:rsidR="00460371" w:rsidRPr="00704036" w:rsidRDefault="00460371" w:rsidP="00AD4FFC">
      <w:pPr>
        <w:spacing w:before="100" w:beforeAutospacing="1" w:after="100" w:afterAutospacing="1"/>
        <w:rPr>
          <w:rFonts w:ascii="Arial" w:eastAsia="Calibri" w:hAnsi="Arial" w:cs="Arial"/>
          <w:szCs w:val="24"/>
        </w:rPr>
      </w:pPr>
      <w:r w:rsidRPr="00704036">
        <w:rPr>
          <w:rFonts w:ascii="Arial" w:eastAsia="Calibri" w:hAnsi="Arial" w:cs="Arial"/>
          <w:szCs w:val="24"/>
        </w:rPr>
        <w:t xml:space="preserve">Note that although the two equations in </w:t>
      </w:r>
      <w:r w:rsidR="003667FD" w:rsidRPr="00704036">
        <w:rPr>
          <w:rFonts w:ascii="Arial" w:eastAsia="Calibri" w:hAnsi="Arial" w:cs="Arial"/>
          <w:szCs w:val="24"/>
        </w:rPr>
        <w:t xml:space="preserve">Figure </w:t>
      </w:r>
      <w:r w:rsidR="00EF2711" w:rsidRPr="00704036">
        <w:rPr>
          <w:rFonts w:ascii="Arial" w:eastAsia="Calibri" w:hAnsi="Arial" w:cs="Arial"/>
          <w:szCs w:val="24"/>
        </w:rPr>
        <w:t>4</w:t>
      </w:r>
      <w:r w:rsidRPr="00704036">
        <w:rPr>
          <w:rFonts w:ascii="Arial" w:eastAsia="Calibri" w:hAnsi="Arial" w:cs="Arial"/>
          <w:szCs w:val="24"/>
        </w:rPr>
        <w:t xml:space="preserve"> have different coefficients multiplying the exponential function (i.e</w:t>
      </w:r>
      <w:r w:rsidRPr="00C12A66">
        <w:rPr>
          <w:rFonts w:ascii="Arial" w:eastAsia="Calibri" w:hAnsi="Arial" w:cs="Arial"/>
          <w:szCs w:val="24"/>
        </w:rPr>
        <w:t xml:space="preserve">. </w:t>
      </w:r>
      <w:r w:rsidRPr="00E33EAE">
        <w:rPr>
          <w:rFonts w:ascii="Arial" w:eastAsia="Calibri" w:hAnsi="Arial" w:cs="Arial"/>
          <w:szCs w:val="24"/>
        </w:rPr>
        <w:t xml:space="preserve">and </w:t>
      </w:r>
      <w:r w:rsidR="004A7CB5" w:rsidRPr="00E33EAE">
        <w:rPr>
          <w:rFonts w:ascii="Arial" w:eastAsia="Calibri" w:hAnsi="Arial" w:cs="Arial"/>
          <w:szCs w:val="24"/>
        </w:rPr>
        <w:t>$</w:t>
      </w:r>
      <w:r w:rsidR="00AB4342">
        <w:rPr>
          <w:rFonts w:ascii="Arial" w:eastAsia="Calibri" w:hAnsi="Arial" w:cs="Arial"/>
          <w:szCs w:val="24"/>
        </w:rPr>
        <w:t>4,588</w:t>
      </w:r>
      <w:r w:rsidRPr="00C12A66">
        <w:rPr>
          <w:rFonts w:ascii="Arial" w:eastAsia="Calibri" w:hAnsi="Arial" w:cs="Arial"/>
          <w:szCs w:val="24"/>
        </w:rPr>
        <w:t xml:space="preserve">), both have precisely the same coefficient inside the exponential function (i.e. </w:t>
      </w:r>
      <w:r w:rsidR="00AB4342">
        <w:rPr>
          <w:rFonts w:ascii="Arial" w:eastAsia="Calibri" w:hAnsi="Arial" w:cs="Arial"/>
          <w:szCs w:val="24"/>
        </w:rPr>
        <w:t>0.0206</w:t>
      </w:r>
      <w:r w:rsidRPr="00704036">
        <w:rPr>
          <w:rFonts w:ascii="Arial" w:eastAsia="Calibri" w:hAnsi="Arial" w:cs="Arial"/>
          <w:szCs w:val="24"/>
        </w:rPr>
        <w:t xml:space="preserve">). The two different coefficients multiplying the exponential function represent the estimated cost ratio and cost per weighted separation in ‘year zero’ (i.e. x = 0), which is </w:t>
      </w:r>
      <w:r w:rsidR="00FD6311" w:rsidRPr="00704036">
        <w:rPr>
          <w:rFonts w:ascii="Arial" w:eastAsia="Calibri" w:hAnsi="Arial" w:cs="Arial"/>
          <w:szCs w:val="24"/>
        </w:rPr>
        <w:t>2013-14</w:t>
      </w:r>
      <w:r w:rsidRPr="00704036">
        <w:rPr>
          <w:rFonts w:ascii="Arial" w:eastAsia="Calibri" w:hAnsi="Arial" w:cs="Arial"/>
          <w:szCs w:val="24"/>
        </w:rPr>
        <w:t>. That is, the regressi</w:t>
      </w:r>
      <w:r w:rsidR="00EF2711" w:rsidRPr="00704036">
        <w:rPr>
          <w:rFonts w:ascii="Arial" w:eastAsia="Calibri" w:hAnsi="Arial" w:cs="Arial"/>
          <w:szCs w:val="24"/>
        </w:rPr>
        <w:t xml:space="preserve">on modelled cost ratio for </w:t>
      </w:r>
      <w:r w:rsidR="00FD6311" w:rsidRPr="00704036">
        <w:rPr>
          <w:rFonts w:ascii="Arial" w:eastAsia="Calibri" w:hAnsi="Arial" w:cs="Arial"/>
          <w:szCs w:val="24"/>
        </w:rPr>
        <w:t>2013</w:t>
      </w:r>
      <w:r w:rsidR="00FD6311" w:rsidRPr="00C12A66">
        <w:rPr>
          <w:rFonts w:ascii="Arial" w:eastAsia="Calibri" w:hAnsi="Arial" w:cs="Arial"/>
          <w:szCs w:val="24"/>
        </w:rPr>
        <w:t>-14</w:t>
      </w:r>
      <w:r w:rsidRPr="007B0C5C">
        <w:rPr>
          <w:rFonts w:ascii="Arial" w:eastAsia="Calibri" w:hAnsi="Arial" w:cs="Arial"/>
          <w:szCs w:val="24"/>
        </w:rPr>
        <w:t xml:space="preserve"> is </w:t>
      </w:r>
      <w:r w:rsidRPr="00E33EAE">
        <w:rPr>
          <w:rFonts w:ascii="Arial" w:eastAsia="Calibri" w:hAnsi="Arial" w:cs="Arial"/>
          <w:szCs w:val="24"/>
        </w:rPr>
        <w:t>1.000</w:t>
      </w:r>
      <w:r w:rsidRPr="007B0C5C">
        <w:rPr>
          <w:rFonts w:ascii="Arial" w:eastAsia="Calibri" w:hAnsi="Arial" w:cs="Arial"/>
          <w:szCs w:val="24"/>
        </w:rPr>
        <w:t xml:space="preserve"> and the modelled cost per weighted separation for </w:t>
      </w:r>
      <w:r w:rsidR="00FD6311" w:rsidRPr="00DF77B4">
        <w:rPr>
          <w:rFonts w:ascii="Arial" w:eastAsia="Calibri" w:hAnsi="Arial" w:cs="Arial"/>
          <w:szCs w:val="24"/>
        </w:rPr>
        <w:t>2013-14</w:t>
      </w:r>
      <w:r w:rsidRPr="007B0C5C">
        <w:rPr>
          <w:rFonts w:ascii="Arial" w:eastAsia="Calibri" w:hAnsi="Arial" w:cs="Arial"/>
          <w:szCs w:val="24"/>
        </w:rPr>
        <w:t xml:space="preserve"> is </w:t>
      </w:r>
      <w:r w:rsidR="004A7CB5" w:rsidRPr="00704036">
        <w:rPr>
          <w:rFonts w:ascii="Arial" w:eastAsia="Calibri" w:hAnsi="Arial" w:cs="Arial"/>
          <w:szCs w:val="24"/>
        </w:rPr>
        <w:t>$</w:t>
      </w:r>
      <w:r w:rsidR="00AB4342">
        <w:rPr>
          <w:rFonts w:ascii="Arial" w:eastAsia="Calibri" w:hAnsi="Arial" w:cs="Arial"/>
          <w:szCs w:val="24"/>
        </w:rPr>
        <w:t>4,588</w:t>
      </w:r>
      <w:r w:rsidRPr="00704036">
        <w:rPr>
          <w:rFonts w:ascii="Arial" w:eastAsia="Calibri" w:hAnsi="Arial" w:cs="Arial"/>
          <w:szCs w:val="24"/>
        </w:rPr>
        <w:t>.</w:t>
      </w:r>
    </w:p>
    <w:p w:rsidR="00AA5D06" w:rsidRPr="00E33EAE" w:rsidRDefault="00460371" w:rsidP="00AA5D06">
      <w:pPr>
        <w:spacing w:before="100" w:beforeAutospacing="1" w:after="240"/>
        <w:rPr>
          <w:rFonts w:ascii="Arial" w:eastAsia="Calibri" w:hAnsi="Arial" w:cs="Arial"/>
          <w:sz w:val="24"/>
          <w:szCs w:val="24"/>
        </w:rPr>
      </w:pPr>
      <w:r w:rsidRPr="00704036">
        <w:rPr>
          <w:rFonts w:ascii="Arial" w:eastAsia="Calibri" w:hAnsi="Arial" w:cs="Arial"/>
          <w:szCs w:val="24"/>
        </w:rPr>
        <w:t>The regression modelled estimates of cost ratio and cost per weighted separation for each of the years from 200</w:t>
      </w:r>
      <w:r w:rsidR="00B03639" w:rsidRPr="00704036">
        <w:rPr>
          <w:rFonts w:ascii="Arial" w:eastAsia="Calibri" w:hAnsi="Arial" w:cs="Arial"/>
          <w:szCs w:val="24"/>
        </w:rPr>
        <w:t>8</w:t>
      </w:r>
      <w:r w:rsidRPr="00704036">
        <w:rPr>
          <w:rFonts w:ascii="Arial" w:eastAsia="Calibri" w:hAnsi="Arial" w:cs="Arial"/>
          <w:szCs w:val="24"/>
        </w:rPr>
        <w:t>-0</w:t>
      </w:r>
      <w:r w:rsidR="00B03639" w:rsidRPr="00704036">
        <w:rPr>
          <w:rFonts w:ascii="Arial" w:eastAsia="Calibri" w:hAnsi="Arial" w:cs="Arial"/>
          <w:szCs w:val="24"/>
        </w:rPr>
        <w:t>9</w:t>
      </w:r>
      <w:r w:rsidRPr="00704036">
        <w:rPr>
          <w:rFonts w:ascii="Arial" w:eastAsia="Calibri" w:hAnsi="Arial" w:cs="Arial"/>
          <w:szCs w:val="24"/>
        </w:rPr>
        <w:t xml:space="preserve"> to </w:t>
      </w:r>
      <w:r w:rsidR="00B03639" w:rsidRPr="00704036">
        <w:rPr>
          <w:rFonts w:ascii="Arial" w:eastAsia="Calibri" w:hAnsi="Arial" w:cs="Arial"/>
          <w:szCs w:val="24"/>
        </w:rPr>
        <w:t>2013-14</w:t>
      </w:r>
      <w:r w:rsidRPr="00704036">
        <w:rPr>
          <w:rFonts w:ascii="Arial" w:eastAsia="Calibri" w:hAnsi="Arial" w:cs="Arial"/>
          <w:szCs w:val="24"/>
        </w:rPr>
        <w:t xml:space="preserve"> are given by substituting x = -</w:t>
      </w:r>
      <w:r w:rsidR="005765DA">
        <w:rPr>
          <w:rFonts w:ascii="Arial" w:eastAsia="Calibri" w:hAnsi="Arial" w:cs="Arial"/>
          <w:szCs w:val="24"/>
        </w:rPr>
        <w:t>5</w:t>
      </w:r>
      <w:r w:rsidRPr="00704036">
        <w:rPr>
          <w:rFonts w:ascii="Arial" w:eastAsia="Calibri" w:hAnsi="Arial" w:cs="Arial"/>
          <w:szCs w:val="24"/>
        </w:rPr>
        <w:t>,…</w:t>
      </w:r>
      <w:proofErr w:type="gramStart"/>
      <w:r w:rsidRPr="00704036">
        <w:rPr>
          <w:rFonts w:ascii="Arial" w:eastAsia="Calibri" w:hAnsi="Arial" w:cs="Arial"/>
          <w:szCs w:val="24"/>
        </w:rPr>
        <w:t>,0</w:t>
      </w:r>
      <w:proofErr w:type="gramEnd"/>
      <w:r w:rsidRPr="00704036">
        <w:rPr>
          <w:rFonts w:ascii="Arial" w:eastAsia="Calibri" w:hAnsi="Arial" w:cs="Arial"/>
          <w:szCs w:val="24"/>
        </w:rPr>
        <w:t xml:space="preserve"> into the equations. For example, substituting x = 0 into the equations results in the </w:t>
      </w:r>
      <w:r w:rsidR="00B03639" w:rsidRPr="00704036">
        <w:rPr>
          <w:rFonts w:ascii="Arial" w:eastAsia="Calibri" w:hAnsi="Arial" w:cs="Arial"/>
          <w:szCs w:val="24"/>
        </w:rPr>
        <w:t xml:space="preserve">2013-14 </w:t>
      </w:r>
      <w:r w:rsidRPr="00704036">
        <w:rPr>
          <w:rFonts w:ascii="Arial" w:eastAsia="Calibri" w:hAnsi="Arial" w:cs="Arial"/>
          <w:szCs w:val="24"/>
        </w:rPr>
        <w:t>cost ratio and cost per weighted separation:</w:t>
      </w:r>
      <w:r w:rsidR="00AA5D06" w:rsidRPr="00AA5D06">
        <w:rPr>
          <w:rFonts w:ascii="Calibri" w:eastAsia="Calibri" w:hAnsi="Calibri"/>
          <w:sz w:val="24"/>
          <w:szCs w:val="24"/>
        </w:rPr>
        <w:t xml:space="preserve"> </w:t>
      </w:r>
    </w:p>
    <w:p w:rsidR="00AA5D06" w:rsidRPr="007B0C5C" w:rsidRDefault="00AA5D06" w:rsidP="00AA5D06">
      <w:pPr>
        <w:rPr>
          <w:rFonts w:ascii="Arial" w:eastAsia="Times New Roman" w:hAnsi="Arial" w:cs="Arial"/>
        </w:rPr>
      </w:pPr>
      <m:oMathPara>
        <m:oMath>
          <m:r>
            <m:rPr>
              <m:sty m:val="p"/>
            </m:rPr>
            <w:rPr>
              <w:rFonts w:ascii="Cambria Math" w:hAnsi="Cambria Math" w:cs="Arial"/>
            </w:rPr>
            <m:t>2013-14 Cost Ratio</m:t>
          </m:r>
          <m:r>
            <m:rPr>
              <m:sty m:val="p"/>
              <m:aln/>
            </m:rPr>
            <w:rPr>
              <w:rFonts w:ascii="Cambria Math" w:hAnsi="Cambria Math" w:cs="Arial"/>
            </w:rPr>
            <m:t>=1.000</m:t>
          </m:r>
          <m:r>
            <m:rPr>
              <m:sty m:val="p"/>
            </m:rPr>
            <w:rPr>
              <w:rFonts w:ascii="Cambria Math" w:hAnsi="Cambria Math" w:cs="Arial" w:hint="eastAsia"/>
            </w:rPr>
            <m:t>×</m:t>
          </m:r>
          <m:sSup>
            <m:sSupPr>
              <m:ctrlPr>
                <w:rPr>
                  <w:rFonts w:ascii="Cambria Math" w:hAnsi="Cambria Math" w:cs="Arial"/>
                </w:rPr>
              </m:ctrlPr>
            </m:sSupPr>
            <m:e>
              <m:r>
                <m:rPr>
                  <m:sty m:val="p"/>
                </m:rPr>
                <w:rPr>
                  <w:rFonts w:ascii="Cambria Math" w:hAnsi="Cambria Math" w:cs="Arial"/>
                </w:rPr>
                <m:t>e</m:t>
              </m:r>
            </m:e>
            <m:sup>
              <m:d>
                <m:dPr>
                  <m:ctrlPr>
                    <w:rPr>
                      <w:rFonts w:ascii="Cambria Math" w:hAnsi="Cambria Math" w:cs="Arial"/>
                      <w:i/>
                    </w:rPr>
                  </m:ctrlPr>
                </m:dPr>
                <m:e>
                  <m:r>
                    <w:rPr>
                      <w:rFonts w:ascii="Cambria Math" w:hAnsi="Cambria Math" w:cs="Arial"/>
                    </w:rPr>
                    <m:t>0.0206</m:t>
                  </m:r>
                  <m:r>
                    <w:rPr>
                      <w:rFonts w:ascii="Cambria Math" w:hAnsi="Cambria Math" w:cs="Arial" w:hint="eastAsia"/>
                    </w:rPr>
                    <m:t>×</m:t>
                  </m:r>
                  <m:r>
                    <w:rPr>
                      <w:rFonts w:ascii="Cambria Math" w:hAnsi="Cambria Math" w:cs="Arial"/>
                    </w:rPr>
                    <m:t>0</m:t>
                  </m:r>
                </m:e>
              </m:d>
            </m:sup>
          </m:sSup>
          <m:r>
            <m:rPr>
              <m:sty m:val="p"/>
            </m:rPr>
            <w:rPr>
              <w:rFonts w:ascii="Cambria Math" w:hAnsi="Cambria Math" w:cs="Arial"/>
            </w:rPr>
            <w:br/>
          </m:r>
        </m:oMath>
        <m:oMath>
          <m:r>
            <m:rPr>
              <m:aln/>
            </m:rPr>
            <w:rPr>
              <w:rFonts w:ascii="Cambria Math" w:hAnsi="Cambria Math" w:cs="Arial"/>
            </w:rPr>
            <m:t>=1.000</m:t>
          </m:r>
          <m:sSup>
            <m:sSupPr>
              <m:ctrlPr>
                <w:rPr>
                  <w:rFonts w:ascii="Cambria Math" w:hAnsi="Cambria Math" w:cs="Arial"/>
                  <w:i/>
                </w:rPr>
              </m:ctrlPr>
            </m:sSupPr>
            <m:e>
              <m:r>
                <w:rPr>
                  <w:rFonts w:ascii="Cambria Math" w:hAnsi="Cambria Math" w:cs="Arial"/>
                </w:rPr>
                <m:t>e</m:t>
              </m:r>
            </m:e>
            <m:sup>
              <m:r>
                <w:rPr>
                  <w:rFonts w:ascii="Cambria Math" w:hAnsi="Cambria Math" w:cs="Arial"/>
                </w:rPr>
                <m:t>0</m:t>
              </m:r>
            </m:sup>
          </m:sSup>
          <m:r>
            <m:rPr>
              <m:sty m:val="p"/>
            </m:rPr>
            <w:rPr>
              <w:rFonts w:ascii="Cambria Math" w:eastAsia="Times New Roman" w:hAnsi="Cambria Math" w:cs="Arial"/>
            </w:rPr>
            <w:br/>
          </m:r>
        </m:oMath>
        <m:oMath>
          <m:r>
            <m:rPr>
              <m:aln/>
            </m:rPr>
            <w:rPr>
              <w:rFonts w:ascii="Cambria Math" w:eastAsia="Times New Roman" w:hAnsi="Cambria Math" w:cs="Arial"/>
            </w:rPr>
            <m:t>=1.000</m:t>
          </m:r>
        </m:oMath>
      </m:oMathPara>
    </w:p>
    <w:p w:rsidR="007B0C5C" w:rsidRPr="00767441" w:rsidRDefault="007B0C5C" w:rsidP="007B0C5C">
      <w:pPr>
        <w:spacing w:before="100" w:beforeAutospacing="1" w:after="100" w:afterAutospacing="1"/>
        <w:rPr>
          <w:rFonts w:ascii="Calibri" w:eastAsia="Calibri" w:hAnsi="Calibri"/>
          <w:sz w:val="24"/>
          <w:szCs w:val="24"/>
        </w:rPr>
      </w:pPr>
      <w:r w:rsidRPr="00767441">
        <w:rPr>
          <w:rFonts w:ascii="Calibri" w:eastAsia="Calibri" w:hAnsi="Calibri"/>
          <w:sz w:val="24"/>
          <w:szCs w:val="24"/>
        </w:rPr>
        <w:t>And</w:t>
      </w:r>
    </w:p>
    <w:p w:rsidR="007B0C5C" w:rsidRPr="005174BC" w:rsidRDefault="007B0C5C" w:rsidP="007B0C5C">
      <w:pPr>
        <w:rPr>
          <w:rFonts w:ascii="Arial" w:eastAsia="Times New Roman" w:hAnsi="Arial" w:cs="Arial"/>
        </w:rPr>
      </w:pPr>
      <m:oMathPara>
        <m:oMath>
          <m:r>
            <m:rPr>
              <m:sty m:val="p"/>
            </m:rPr>
            <w:rPr>
              <w:rFonts w:ascii="Cambria Math" w:hAnsi="Cambria Math"/>
            </w:rPr>
            <m:t>2013-14 Cost per Weighted Separation</m:t>
          </m:r>
          <m:r>
            <m:rPr>
              <m:sty m:val="p"/>
              <m:aln/>
            </m:rPr>
            <w:rPr>
              <w:rFonts w:ascii="Cambria Math" w:hAnsi="Cambria Math"/>
            </w:rPr>
            <m:t>=$4,588</m:t>
          </m:r>
          <m:r>
            <m:rPr>
              <m:sty m:val="p"/>
            </m:rPr>
            <w:rPr>
              <w:rFonts w:ascii="Cambria Math" w:hAnsi="Cambria Math" w:hint="eastAsia"/>
            </w:rPr>
            <m:t>×</m:t>
          </m:r>
          <m:sSup>
            <m:sSupPr>
              <m:ctrlPr>
                <w:rPr>
                  <w:rFonts w:ascii="Cambria Math" w:hAnsi="Cambria Math"/>
                </w:rPr>
              </m:ctrlPr>
            </m:sSupPr>
            <m:e>
              <m:r>
                <m:rPr>
                  <m:sty m:val="p"/>
                </m:rPr>
                <w:rPr>
                  <w:rFonts w:ascii="Cambria Math" w:hAnsi="Cambria Math"/>
                </w:rPr>
                <m:t>e</m:t>
              </m:r>
            </m:e>
            <m:sup>
              <m:d>
                <m:dPr>
                  <m:ctrlPr>
                    <w:rPr>
                      <w:rFonts w:ascii="Cambria Math" w:hAnsi="Cambria Math"/>
                      <w:i/>
                    </w:rPr>
                  </m:ctrlPr>
                </m:dPr>
                <m:e>
                  <m:r>
                    <w:rPr>
                      <w:rFonts w:ascii="Cambria Math" w:hAnsi="Cambria Math"/>
                    </w:rPr>
                    <m:t>0.0206</m:t>
                  </m:r>
                  <m:r>
                    <w:rPr>
                      <w:rFonts w:ascii="Cambria Math" w:hAnsi="Cambria Math" w:hint="eastAsia"/>
                    </w:rPr>
                    <m:t>×</m:t>
                  </m:r>
                  <m:r>
                    <w:rPr>
                      <w:rFonts w:ascii="Cambria Math" w:hAnsi="Cambria Math"/>
                    </w:rPr>
                    <m:t>0</m:t>
                  </m:r>
                </m:e>
              </m:d>
            </m:sup>
          </m:sSup>
          <m:r>
            <m:rPr>
              <m:sty m:val="p"/>
            </m:rPr>
            <w:rPr>
              <w:rFonts w:ascii="Arial" w:hAnsi="Arial"/>
            </w:rPr>
            <w:br/>
          </m:r>
        </m:oMath>
        <m:oMath>
          <m:r>
            <m:rPr>
              <m:aln/>
            </m:rPr>
            <w:rPr>
              <w:rFonts w:ascii="Cambria Math" w:hAnsi="Cambria Math"/>
            </w:rPr>
            <m:t>=$4,588</m:t>
          </m:r>
          <m:sSup>
            <m:sSupPr>
              <m:ctrlPr>
                <w:rPr>
                  <w:rFonts w:ascii="Cambria Math" w:hAnsi="Cambria Math"/>
                  <w:i/>
                </w:rPr>
              </m:ctrlPr>
            </m:sSupPr>
            <m:e>
              <m:r>
                <w:rPr>
                  <w:rFonts w:ascii="Cambria Math" w:hAnsi="Cambria Math"/>
                </w:rPr>
                <m:t>e</m:t>
              </m:r>
            </m:e>
            <m:sup>
              <m:r>
                <w:rPr>
                  <w:rFonts w:ascii="Cambria Math" w:hAnsi="Cambria Math"/>
                </w:rPr>
                <m:t>0</m:t>
              </m:r>
            </m:sup>
          </m:sSup>
          <m:r>
            <m:rPr>
              <m:sty m:val="p"/>
            </m:rPr>
            <w:rPr>
              <w:rFonts w:ascii="Arial" w:eastAsia="Times New Roman" w:hAnsi="Arial" w:cs="Arial"/>
            </w:rPr>
            <w:br/>
          </m:r>
        </m:oMath>
        <m:oMath>
          <m:r>
            <m:rPr>
              <m:aln/>
            </m:rPr>
            <w:rPr>
              <w:rFonts w:ascii="Cambria Math" w:eastAsia="Times New Roman" w:hAnsi="Cambria Math" w:cs="Arial"/>
            </w:rPr>
            <m:t>=$4,588</m:t>
          </m:r>
        </m:oMath>
      </m:oMathPara>
    </w:p>
    <w:p w:rsidR="00372302" w:rsidRPr="00704036" w:rsidRDefault="003667FD" w:rsidP="00372302">
      <w:pPr>
        <w:spacing w:before="100" w:beforeAutospacing="1" w:after="100" w:afterAutospacing="1"/>
        <w:rPr>
          <w:rFonts w:ascii="Arial" w:eastAsia="Calibri" w:hAnsi="Arial" w:cs="Arial"/>
          <w:szCs w:val="24"/>
        </w:rPr>
      </w:pPr>
      <w:r w:rsidRPr="00DF77B4">
        <w:rPr>
          <w:rFonts w:ascii="Arial" w:eastAsia="Calibri" w:hAnsi="Arial" w:cs="Arial"/>
          <w:szCs w:val="24"/>
        </w:rPr>
        <w:t xml:space="preserve">Finally, the annual scaling factor (i.e. </w:t>
      </w:r>
      <w:r w:rsidRPr="007B0C5C">
        <w:rPr>
          <w:rFonts w:ascii="Arial" w:eastAsia="Calibri" w:hAnsi="Arial" w:cs="Arial"/>
          <w:i/>
          <w:szCs w:val="24"/>
        </w:rPr>
        <w:t>s</w:t>
      </w:r>
      <w:r w:rsidRPr="007B0C5C">
        <w:rPr>
          <w:rFonts w:ascii="Arial" w:eastAsia="Calibri" w:hAnsi="Arial" w:cs="Arial"/>
          <w:szCs w:val="24"/>
        </w:rPr>
        <w:t xml:space="preserve"> in Figure 3) is then defined as the annual rate</w:t>
      </w:r>
      <w:r w:rsidRPr="00704036">
        <w:rPr>
          <w:rFonts w:ascii="Arial" w:eastAsia="Calibri" w:hAnsi="Arial" w:cs="Arial"/>
          <w:szCs w:val="24"/>
        </w:rPr>
        <w:t xml:space="preserve"> of change associated with the exponential line of best fit, and the indexation </w:t>
      </w:r>
      <w:r w:rsidRPr="00DF77B4">
        <w:rPr>
          <w:rFonts w:ascii="Arial" w:eastAsia="Calibri" w:hAnsi="Arial" w:cs="Arial"/>
          <w:szCs w:val="24"/>
        </w:rPr>
        <w:t>rate is the growth rate of this</w:t>
      </w:r>
      <w:r w:rsidRPr="007B0C5C">
        <w:rPr>
          <w:rFonts w:ascii="Arial" w:eastAsia="Calibri" w:hAnsi="Arial" w:cs="Arial"/>
          <w:szCs w:val="24"/>
        </w:rPr>
        <w:t xml:space="preserve"> annual scaling factor. </w:t>
      </w:r>
      <w:r w:rsidR="00372302" w:rsidRPr="007B0C5C">
        <w:rPr>
          <w:rFonts w:ascii="Arial" w:eastAsia="Calibri" w:hAnsi="Arial" w:cs="Arial"/>
          <w:szCs w:val="24"/>
        </w:rPr>
        <w:t xml:space="preserve">The annual rate of change of the exponential line is </w:t>
      </w:r>
      <w:r w:rsidR="00372302" w:rsidRPr="007B0C5C">
        <w:rPr>
          <w:rFonts w:ascii="Arial" w:eastAsia="Calibri" w:hAnsi="Arial" w:cs="Arial"/>
          <w:i/>
          <w:szCs w:val="24"/>
        </w:rPr>
        <w:t>s</w:t>
      </w:r>
      <w:r w:rsidR="00372302" w:rsidRPr="007B0C5C">
        <w:rPr>
          <w:rFonts w:ascii="Arial" w:eastAsia="Calibri" w:hAnsi="Arial" w:cs="Arial"/>
          <w:sz w:val="20"/>
        </w:rPr>
        <w:t> </w:t>
      </w:r>
      <w:r w:rsidR="00372302" w:rsidRPr="007B0C5C">
        <w:rPr>
          <w:rFonts w:ascii="Arial" w:eastAsia="Calibri" w:hAnsi="Arial" w:cs="Arial"/>
          <w:i/>
          <w:szCs w:val="24"/>
        </w:rPr>
        <w:t>= </w:t>
      </w:r>
      <w:r w:rsidR="00372302" w:rsidRPr="00E33EAE">
        <w:rPr>
          <w:rFonts w:ascii="Arial" w:eastAsia="Calibri" w:hAnsi="Arial" w:cs="Arial"/>
          <w:szCs w:val="24"/>
        </w:rPr>
        <w:t>e</w:t>
      </w:r>
      <w:r w:rsidR="00372302" w:rsidRPr="00E33EAE">
        <w:rPr>
          <w:rFonts w:ascii="Arial" w:eastAsia="Calibri" w:hAnsi="Arial" w:cs="Arial"/>
          <w:szCs w:val="24"/>
          <w:vertAlign w:val="superscript"/>
        </w:rPr>
        <w:t>0.</w:t>
      </w:r>
      <w:r w:rsidR="00D84BEB" w:rsidRPr="00E33EAE">
        <w:rPr>
          <w:rFonts w:ascii="Arial" w:eastAsia="Calibri" w:hAnsi="Arial" w:cs="Arial"/>
          <w:szCs w:val="24"/>
          <w:vertAlign w:val="superscript"/>
        </w:rPr>
        <w:t>0</w:t>
      </w:r>
      <w:r w:rsidR="007B0C5C" w:rsidRPr="00E33EAE">
        <w:rPr>
          <w:rFonts w:ascii="Arial" w:eastAsia="Calibri" w:hAnsi="Arial" w:cs="Arial"/>
          <w:szCs w:val="24"/>
          <w:vertAlign w:val="superscript"/>
        </w:rPr>
        <w:t>20</w:t>
      </w:r>
      <w:r w:rsidR="00AB4342">
        <w:rPr>
          <w:rFonts w:ascii="Arial" w:eastAsia="Calibri" w:hAnsi="Arial" w:cs="Arial"/>
          <w:szCs w:val="24"/>
          <w:vertAlign w:val="superscript"/>
        </w:rPr>
        <w:t>6</w:t>
      </w:r>
      <w:r w:rsidR="00372302" w:rsidRPr="00E33EAE">
        <w:rPr>
          <w:rFonts w:ascii="Arial" w:eastAsia="Calibri" w:hAnsi="Arial" w:cs="Arial"/>
          <w:szCs w:val="24"/>
        </w:rPr>
        <w:t>,</w:t>
      </w:r>
      <w:r w:rsidR="00372302" w:rsidRPr="00DF77B4">
        <w:rPr>
          <w:rFonts w:ascii="Arial" w:eastAsia="Calibri" w:hAnsi="Arial" w:cs="Arial"/>
          <w:szCs w:val="24"/>
        </w:rPr>
        <w:t xml:space="preserve"> which is equal to </w:t>
      </w:r>
      <w:r w:rsidR="00D84BEB" w:rsidRPr="00E33EAE">
        <w:rPr>
          <w:rFonts w:ascii="Arial" w:eastAsia="Calibri" w:hAnsi="Arial" w:cs="Arial"/>
          <w:szCs w:val="24"/>
        </w:rPr>
        <w:t>1.021</w:t>
      </w:r>
      <w:r w:rsidR="00372302" w:rsidRPr="00E33EAE">
        <w:rPr>
          <w:rFonts w:ascii="Arial" w:eastAsia="Calibri" w:hAnsi="Arial" w:cs="Arial"/>
          <w:szCs w:val="24"/>
        </w:rPr>
        <w:t xml:space="preserve">, or </w:t>
      </w:r>
      <w:r w:rsidR="00D84BEB" w:rsidRPr="00DF77B4">
        <w:rPr>
          <w:rFonts w:ascii="Arial" w:eastAsia="Calibri" w:hAnsi="Arial" w:cs="Arial"/>
          <w:szCs w:val="24"/>
        </w:rPr>
        <w:t>102.1</w:t>
      </w:r>
      <w:r w:rsidR="00372302" w:rsidRPr="007B0C5C">
        <w:rPr>
          <w:rFonts w:ascii="Arial" w:eastAsia="Calibri" w:hAnsi="Arial" w:cs="Arial"/>
          <w:szCs w:val="24"/>
        </w:rPr>
        <w:t xml:space="preserve"> per cent. Therefore the indexation rate is </w:t>
      </w:r>
      <w:r w:rsidR="00D84BEB" w:rsidRPr="00DF77B4">
        <w:rPr>
          <w:rFonts w:ascii="Arial" w:eastAsia="Calibri" w:hAnsi="Arial" w:cs="Arial"/>
          <w:szCs w:val="24"/>
        </w:rPr>
        <w:t>2.1</w:t>
      </w:r>
      <w:r w:rsidR="00372302" w:rsidRPr="007B0C5C">
        <w:rPr>
          <w:rFonts w:ascii="Arial" w:eastAsia="Calibri" w:hAnsi="Arial" w:cs="Arial"/>
          <w:szCs w:val="24"/>
        </w:rPr>
        <w:t> per cent.</w:t>
      </w:r>
    </w:p>
    <w:p w:rsidR="00460371" w:rsidRPr="00E33EAE" w:rsidRDefault="00460371" w:rsidP="00E33EAE">
      <w:pPr>
        <w:pStyle w:val="ListParagraph"/>
        <w:numPr>
          <w:ilvl w:val="2"/>
          <w:numId w:val="36"/>
        </w:numPr>
        <w:spacing w:before="100" w:beforeAutospacing="1" w:after="100" w:afterAutospacing="1"/>
        <w:ind w:left="284"/>
        <w:rPr>
          <w:rFonts w:eastAsia="Calibri" w:cstheme="minorHAnsi"/>
          <w:b/>
          <w:sz w:val="24"/>
          <w:szCs w:val="28"/>
        </w:rPr>
      </w:pPr>
      <w:r w:rsidRPr="00E33EAE">
        <w:rPr>
          <w:rFonts w:eastAsia="Calibri" w:cstheme="minorHAnsi"/>
          <w:b/>
          <w:sz w:val="24"/>
          <w:szCs w:val="28"/>
        </w:rPr>
        <w:t>Transformation of cost model to pricing model</w:t>
      </w:r>
    </w:p>
    <w:p w:rsidR="00460371" w:rsidRPr="00704036" w:rsidRDefault="00460371" w:rsidP="00543968">
      <w:pPr>
        <w:spacing w:after="100" w:afterAutospacing="1"/>
        <w:rPr>
          <w:rFonts w:ascii="Arial" w:eastAsia="Calibri" w:hAnsi="Arial" w:cs="Arial"/>
        </w:rPr>
      </w:pPr>
      <w:r w:rsidRPr="00704036">
        <w:rPr>
          <w:rFonts w:ascii="Arial" w:eastAsia="Calibri" w:hAnsi="Arial" w:cs="Arial"/>
        </w:rPr>
        <w:t xml:space="preserve">The final step in the process of developing the pricing models uses the three steps detailed in Sections </w:t>
      </w:r>
      <w:r w:rsidR="001F7F80" w:rsidRPr="00704036">
        <w:rPr>
          <w:rFonts w:ascii="Arial" w:eastAsia="Calibri" w:hAnsi="Arial" w:cs="Arial"/>
        </w:rPr>
        <w:t>3, 4 and 5</w:t>
      </w:r>
      <w:r w:rsidR="000674A1" w:rsidRPr="00704036">
        <w:rPr>
          <w:rFonts w:ascii="Arial" w:eastAsia="Calibri" w:hAnsi="Arial" w:cs="Arial"/>
        </w:rPr>
        <w:t xml:space="preserve"> t</w:t>
      </w:r>
      <w:r w:rsidRPr="00704036">
        <w:rPr>
          <w:rFonts w:ascii="Arial" w:eastAsia="Calibri" w:hAnsi="Arial" w:cs="Arial"/>
        </w:rPr>
        <w:t>o transform each cost model to the corresponding pricing model.</w:t>
      </w:r>
    </w:p>
    <w:p w:rsidR="00460371" w:rsidRPr="00704036" w:rsidRDefault="00460371" w:rsidP="00AD4FFC">
      <w:pPr>
        <w:spacing w:before="100" w:beforeAutospacing="1" w:after="100" w:afterAutospacing="1"/>
        <w:rPr>
          <w:rFonts w:ascii="Arial" w:eastAsia="Calibri" w:hAnsi="Arial" w:cs="Arial"/>
        </w:rPr>
      </w:pPr>
      <w:r w:rsidRPr="00704036">
        <w:rPr>
          <w:rFonts w:ascii="Arial" w:eastAsia="Calibri" w:hAnsi="Arial" w:cs="Arial"/>
        </w:rPr>
        <w:t xml:space="preserve">Each year’s pricing model is designed to reflect estimated total in-scope costs associated ABF activity in the year of the pricing model. The pricing model is therefore given by the inflated cost model defined in Section </w:t>
      </w:r>
      <w:r w:rsidR="001F7F80" w:rsidRPr="00704036">
        <w:rPr>
          <w:rFonts w:ascii="Arial" w:eastAsia="Calibri" w:hAnsi="Arial" w:cs="Arial"/>
        </w:rPr>
        <w:t>5</w:t>
      </w:r>
      <w:r w:rsidR="000843A9">
        <w:rPr>
          <w:rFonts w:ascii="Arial" w:eastAsia="Calibri" w:hAnsi="Arial" w:cs="Arial"/>
        </w:rPr>
        <w:t xml:space="preserve"> of this attachment</w:t>
      </w:r>
      <w:r w:rsidR="000674A1" w:rsidRPr="00704036">
        <w:rPr>
          <w:rFonts w:ascii="Arial" w:eastAsia="Calibri" w:hAnsi="Arial" w:cs="Arial"/>
        </w:rPr>
        <w:t xml:space="preserve"> </w:t>
      </w:r>
      <w:r w:rsidRPr="00704036">
        <w:rPr>
          <w:rFonts w:ascii="Arial" w:eastAsia="Calibri" w:hAnsi="Arial" w:cs="Arial"/>
        </w:rPr>
        <w:t xml:space="preserve">with those out of scope costs defined in Section </w:t>
      </w:r>
      <w:r w:rsidR="001F7F80" w:rsidRPr="00704036">
        <w:rPr>
          <w:rFonts w:ascii="Arial" w:eastAsia="Calibri" w:hAnsi="Arial" w:cs="Arial"/>
        </w:rPr>
        <w:t>3</w:t>
      </w:r>
      <w:r w:rsidRPr="00704036">
        <w:rPr>
          <w:rFonts w:ascii="Arial" w:eastAsia="Calibri" w:hAnsi="Arial" w:cs="Arial"/>
        </w:rPr>
        <w:t xml:space="preserve"> removed. However, the pricing model is represented by the NEP together with Price Weights and Adjustments. This splitting of prices into an NEP component and a Price Weight component is where the reference cost defined in Section </w:t>
      </w:r>
      <w:r w:rsidR="001F7F80" w:rsidRPr="00704036">
        <w:rPr>
          <w:rFonts w:ascii="Arial" w:eastAsia="Calibri" w:hAnsi="Arial" w:cs="Arial"/>
        </w:rPr>
        <w:t>4</w:t>
      </w:r>
      <w:r w:rsidR="000674A1" w:rsidRPr="00704036">
        <w:rPr>
          <w:rFonts w:ascii="Arial" w:eastAsia="Calibri" w:hAnsi="Arial" w:cs="Arial"/>
        </w:rPr>
        <w:t xml:space="preserve"> </w:t>
      </w:r>
      <w:r w:rsidRPr="00704036">
        <w:rPr>
          <w:rFonts w:ascii="Arial" w:eastAsia="Calibri" w:hAnsi="Arial" w:cs="Arial"/>
        </w:rPr>
        <w:t>plays its role.</w:t>
      </w:r>
    </w:p>
    <w:p w:rsidR="008B7C11" w:rsidRPr="00704036" w:rsidRDefault="003667FD" w:rsidP="00AD4FFC">
      <w:pPr>
        <w:spacing w:before="100" w:beforeAutospacing="1" w:after="100" w:afterAutospacing="1"/>
        <w:rPr>
          <w:rFonts w:ascii="Arial" w:eastAsia="Calibri" w:hAnsi="Arial" w:cs="Arial"/>
        </w:rPr>
      </w:pPr>
      <w:r w:rsidRPr="00704036">
        <w:rPr>
          <w:rFonts w:ascii="Arial" w:eastAsia="Calibri" w:hAnsi="Arial" w:cs="Arial"/>
        </w:rPr>
        <w:t xml:space="preserve">To describe the process in the context of the </w:t>
      </w:r>
      <w:r w:rsidR="00384C96" w:rsidRPr="00704036">
        <w:rPr>
          <w:rFonts w:ascii="Arial" w:eastAsia="Calibri" w:hAnsi="Arial" w:cs="Arial"/>
        </w:rPr>
        <w:t>2016-17</w:t>
      </w:r>
      <w:r w:rsidR="005F173B" w:rsidRPr="00704036">
        <w:rPr>
          <w:rFonts w:ascii="Arial" w:eastAsia="Calibri" w:hAnsi="Arial" w:cs="Arial"/>
        </w:rPr>
        <w:t xml:space="preserve"> National Pricing Model</w:t>
      </w:r>
      <w:r w:rsidRPr="00704036">
        <w:rPr>
          <w:rFonts w:ascii="Arial" w:eastAsia="Calibri" w:hAnsi="Arial" w:cs="Arial"/>
        </w:rPr>
        <w:t xml:space="preserve"> first the </w:t>
      </w:r>
      <w:r w:rsidR="007C1FEE" w:rsidRPr="00704036">
        <w:rPr>
          <w:rFonts w:ascii="Arial" w:eastAsia="Calibri" w:hAnsi="Arial" w:cs="Arial"/>
        </w:rPr>
        <w:t>2013</w:t>
      </w:r>
      <w:r w:rsidRPr="00704036">
        <w:rPr>
          <w:rFonts w:ascii="Arial" w:eastAsia="Calibri" w:hAnsi="Arial" w:cs="Arial"/>
        </w:rPr>
        <w:noBreakHyphen/>
      </w:r>
      <w:r w:rsidR="007C1FEE" w:rsidRPr="00704036">
        <w:rPr>
          <w:rFonts w:ascii="Arial" w:eastAsia="Calibri" w:hAnsi="Arial" w:cs="Arial"/>
        </w:rPr>
        <w:t xml:space="preserve">14 </w:t>
      </w:r>
      <w:r w:rsidRPr="00704036">
        <w:rPr>
          <w:rFonts w:ascii="Arial" w:eastAsia="Calibri" w:hAnsi="Arial" w:cs="Arial"/>
        </w:rPr>
        <w:t xml:space="preserve">cost model is transformed into a cost weight model by dividing it through by the </w:t>
      </w:r>
      <w:r w:rsidR="007C1FEE" w:rsidRPr="00704036">
        <w:rPr>
          <w:rFonts w:ascii="Arial" w:eastAsia="Calibri" w:hAnsi="Arial" w:cs="Arial"/>
        </w:rPr>
        <w:t>2013</w:t>
      </w:r>
      <w:r w:rsidRPr="00704036">
        <w:rPr>
          <w:rFonts w:ascii="Arial" w:eastAsia="Calibri" w:hAnsi="Arial" w:cs="Arial"/>
        </w:rPr>
        <w:t>-</w:t>
      </w:r>
      <w:r w:rsidR="007C1FEE" w:rsidRPr="00704036">
        <w:rPr>
          <w:rFonts w:ascii="Arial" w:eastAsia="Calibri" w:hAnsi="Arial" w:cs="Arial"/>
        </w:rPr>
        <w:t xml:space="preserve">14 </w:t>
      </w:r>
      <w:r w:rsidRPr="00704036">
        <w:rPr>
          <w:rFonts w:ascii="Arial" w:eastAsia="Calibri" w:hAnsi="Arial" w:cs="Arial"/>
        </w:rPr>
        <w:t xml:space="preserve">reference cost of </w:t>
      </w:r>
      <w:r w:rsidR="00BA0D49" w:rsidRPr="00704036">
        <w:rPr>
          <w:rFonts w:ascii="Arial" w:eastAsia="Calibri" w:hAnsi="Arial" w:cs="Arial"/>
        </w:rPr>
        <w:t>$</w:t>
      </w:r>
      <w:r w:rsidR="00AB4342" w:rsidRPr="00704036">
        <w:rPr>
          <w:rFonts w:ascii="Arial" w:eastAsia="Calibri" w:hAnsi="Arial" w:cs="Arial"/>
        </w:rPr>
        <w:t>4</w:t>
      </w:r>
      <w:r w:rsidR="00AB4342">
        <w:rPr>
          <w:rFonts w:ascii="Arial" w:eastAsia="Calibri" w:hAnsi="Arial" w:cs="Arial"/>
        </w:rPr>
        <w:t>,588</w:t>
      </w:r>
      <w:r w:rsidR="00AB4342" w:rsidRPr="00704036">
        <w:rPr>
          <w:rFonts w:ascii="Arial" w:eastAsia="Calibri" w:hAnsi="Arial" w:cs="Arial"/>
        </w:rPr>
        <w:t xml:space="preserve"> </w:t>
      </w:r>
      <w:r w:rsidRPr="00704036">
        <w:rPr>
          <w:rFonts w:ascii="Arial" w:eastAsia="Calibri" w:hAnsi="Arial" w:cs="Arial"/>
        </w:rPr>
        <w:t>(see Section 4</w:t>
      </w:r>
      <w:r w:rsidR="000843A9">
        <w:rPr>
          <w:rFonts w:ascii="Arial" w:eastAsia="Calibri" w:hAnsi="Arial" w:cs="Arial"/>
        </w:rPr>
        <w:t xml:space="preserve"> of this attachment</w:t>
      </w:r>
      <w:r w:rsidRPr="00704036">
        <w:rPr>
          <w:rFonts w:ascii="Arial" w:eastAsia="Calibri" w:hAnsi="Arial" w:cs="Arial"/>
        </w:rPr>
        <w:t xml:space="preserve">). The </w:t>
      </w:r>
      <w:r w:rsidR="007C1FEE" w:rsidRPr="00704036">
        <w:rPr>
          <w:rFonts w:ascii="Arial" w:eastAsia="Calibri" w:hAnsi="Arial" w:cs="Arial"/>
        </w:rPr>
        <w:t>2013-14</w:t>
      </w:r>
      <w:r w:rsidRPr="00704036">
        <w:rPr>
          <w:rFonts w:ascii="Arial" w:eastAsia="Calibri" w:hAnsi="Arial" w:cs="Arial"/>
        </w:rPr>
        <w:t xml:space="preserve"> cost model is then represented by a reference cost, cost weights and adjustments.</w:t>
      </w:r>
    </w:p>
    <w:p w:rsidR="003667FD" w:rsidRPr="00704036" w:rsidRDefault="003667FD" w:rsidP="00AD4FFC">
      <w:pPr>
        <w:spacing w:before="100" w:beforeAutospacing="1" w:after="100" w:afterAutospacing="1"/>
        <w:rPr>
          <w:rFonts w:ascii="Arial" w:eastAsia="Calibri" w:hAnsi="Arial" w:cs="Arial"/>
        </w:rPr>
      </w:pPr>
      <w:r w:rsidRPr="00704036">
        <w:rPr>
          <w:rFonts w:ascii="Arial" w:eastAsia="Calibri" w:hAnsi="Arial" w:cs="Arial"/>
        </w:rPr>
        <w:t xml:space="preserve">The inflation of the </w:t>
      </w:r>
      <w:r w:rsidR="007C1FEE" w:rsidRPr="00704036">
        <w:rPr>
          <w:rFonts w:ascii="Arial" w:eastAsia="Calibri" w:hAnsi="Arial" w:cs="Arial"/>
        </w:rPr>
        <w:t>2013-14</w:t>
      </w:r>
      <w:r w:rsidRPr="00704036">
        <w:rPr>
          <w:rFonts w:ascii="Arial" w:eastAsia="Calibri" w:hAnsi="Arial" w:cs="Arial"/>
        </w:rPr>
        <w:t xml:space="preserve"> cost model to estimated </w:t>
      </w:r>
      <w:r w:rsidR="00384C96" w:rsidRPr="00704036">
        <w:rPr>
          <w:rFonts w:ascii="Arial" w:eastAsia="Calibri" w:hAnsi="Arial" w:cs="Arial"/>
        </w:rPr>
        <w:t>2016-17</w:t>
      </w:r>
      <w:r w:rsidRPr="00704036">
        <w:rPr>
          <w:rFonts w:ascii="Arial" w:eastAsia="Calibri" w:hAnsi="Arial" w:cs="Arial"/>
        </w:rPr>
        <w:t xml:space="preserve"> costs is then undertaken by inflating the </w:t>
      </w:r>
      <w:r w:rsidR="007C1FEE" w:rsidRPr="00704036">
        <w:rPr>
          <w:rFonts w:ascii="Arial" w:eastAsia="Calibri" w:hAnsi="Arial" w:cs="Arial"/>
        </w:rPr>
        <w:t>2013-14</w:t>
      </w:r>
      <w:r w:rsidRPr="00704036">
        <w:rPr>
          <w:rFonts w:ascii="Arial" w:eastAsia="Calibri" w:hAnsi="Arial" w:cs="Arial"/>
        </w:rPr>
        <w:t xml:space="preserve"> reference cost by the annual indexation rate defined in Section 5 and keeping the cost weights and adjustments fixed. The indexed </w:t>
      </w:r>
      <w:r w:rsidR="007C1FEE" w:rsidRPr="00704036">
        <w:rPr>
          <w:rFonts w:ascii="Arial" w:eastAsia="Calibri" w:hAnsi="Arial" w:cs="Arial"/>
        </w:rPr>
        <w:t>2013-14</w:t>
      </w:r>
      <w:r w:rsidRPr="00704036">
        <w:rPr>
          <w:rFonts w:ascii="Arial" w:eastAsia="Calibri" w:hAnsi="Arial" w:cs="Arial"/>
        </w:rPr>
        <w:t xml:space="preserve"> reference cost is </w:t>
      </w:r>
      <w:r w:rsidR="00BA0D49" w:rsidRPr="00704036">
        <w:rPr>
          <w:rFonts w:ascii="Arial" w:eastAsia="Calibri" w:hAnsi="Arial" w:cs="Arial"/>
        </w:rPr>
        <w:t>$4</w:t>
      </w:r>
      <w:r w:rsidR="00721E28">
        <w:rPr>
          <w:rFonts w:ascii="Arial" w:eastAsia="Calibri" w:hAnsi="Arial" w:cs="Arial"/>
        </w:rPr>
        <w:t>,</w:t>
      </w:r>
      <w:r w:rsidR="00AB4342">
        <w:rPr>
          <w:rFonts w:ascii="Arial" w:eastAsia="Calibri" w:hAnsi="Arial" w:cs="Arial"/>
        </w:rPr>
        <w:t>883</w:t>
      </w:r>
      <w:r w:rsidRPr="00704036">
        <w:rPr>
          <w:rFonts w:ascii="Arial" w:eastAsia="Calibri" w:hAnsi="Arial" w:cs="Arial"/>
        </w:rPr>
        <w:t>.</w:t>
      </w:r>
    </w:p>
    <w:p w:rsidR="00460371" w:rsidRPr="00704036" w:rsidRDefault="00460371" w:rsidP="00AD4FFC">
      <w:pPr>
        <w:spacing w:before="100" w:beforeAutospacing="1" w:after="100" w:afterAutospacing="1"/>
        <w:rPr>
          <w:rFonts w:ascii="Arial" w:eastAsia="Calibri" w:hAnsi="Arial" w:cs="Arial"/>
        </w:rPr>
      </w:pPr>
      <w:r w:rsidRPr="00704036">
        <w:rPr>
          <w:rFonts w:ascii="Arial" w:eastAsia="Calibri" w:hAnsi="Arial" w:cs="Arial"/>
        </w:rPr>
        <w:t xml:space="preserve">The indexed </w:t>
      </w:r>
      <w:r w:rsidR="007C1FEE" w:rsidRPr="00704036">
        <w:rPr>
          <w:rFonts w:ascii="Arial" w:eastAsia="Calibri" w:hAnsi="Arial" w:cs="Arial"/>
        </w:rPr>
        <w:t>2013-14</w:t>
      </w:r>
      <w:r w:rsidRPr="00704036">
        <w:rPr>
          <w:rFonts w:ascii="Arial" w:eastAsia="Calibri" w:hAnsi="Arial" w:cs="Arial"/>
        </w:rPr>
        <w:t xml:space="preserve"> reference cost together with the </w:t>
      </w:r>
      <w:r w:rsidR="007C1FEE" w:rsidRPr="00704036">
        <w:rPr>
          <w:rFonts w:ascii="Arial" w:eastAsia="Calibri" w:hAnsi="Arial" w:cs="Arial"/>
        </w:rPr>
        <w:t>2013-14</w:t>
      </w:r>
      <w:r w:rsidRPr="00704036">
        <w:rPr>
          <w:rFonts w:ascii="Arial" w:eastAsia="Calibri" w:hAnsi="Arial" w:cs="Arial"/>
        </w:rPr>
        <w:t xml:space="preserve"> cost weights and adjustments then represent the estimated </w:t>
      </w:r>
      <w:r w:rsidR="00384C96" w:rsidRPr="00704036">
        <w:rPr>
          <w:rFonts w:ascii="Arial" w:eastAsia="Calibri" w:hAnsi="Arial" w:cs="Arial"/>
        </w:rPr>
        <w:t>2016-17</w:t>
      </w:r>
      <w:r w:rsidRPr="00704036">
        <w:rPr>
          <w:rFonts w:ascii="Arial" w:eastAsia="Calibri" w:hAnsi="Arial" w:cs="Arial"/>
        </w:rPr>
        <w:t xml:space="preserve"> cost model. </w:t>
      </w:r>
      <w:r w:rsidR="003667FD" w:rsidRPr="00704036">
        <w:rPr>
          <w:rFonts w:ascii="Arial" w:eastAsia="Calibri" w:hAnsi="Arial" w:cs="Arial"/>
        </w:rPr>
        <w:t xml:space="preserve">Example 1 </w:t>
      </w:r>
      <w:r w:rsidRPr="00704036">
        <w:rPr>
          <w:rFonts w:ascii="Arial" w:eastAsia="Calibri" w:hAnsi="Arial" w:cs="Arial"/>
        </w:rPr>
        <w:t>demonstrates how this process of indexing the reference cost and keeping the cost weights fixed has the same effect as indexing the entire cost model, as is done in Section</w:t>
      </w:r>
      <w:r w:rsidR="00401393" w:rsidRPr="00704036">
        <w:rPr>
          <w:rFonts w:ascii="Arial" w:eastAsia="Calibri" w:hAnsi="Arial" w:cs="Arial"/>
        </w:rPr>
        <w:t xml:space="preserve"> 5</w:t>
      </w:r>
      <w:r w:rsidRPr="00704036">
        <w:rPr>
          <w:rFonts w:ascii="Arial" w:eastAsia="Calibri" w:hAnsi="Arial" w:cs="Arial"/>
        </w:rPr>
        <w:t>.</w:t>
      </w:r>
    </w:p>
    <w:p w:rsidR="003667FD" w:rsidRPr="00DF77B4" w:rsidRDefault="003667FD" w:rsidP="00543968">
      <w:pPr>
        <w:keepNext/>
        <w:rPr>
          <w:rFonts w:ascii="Arial" w:eastAsia="Calibri" w:hAnsi="Arial" w:cs="Arial"/>
          <w:b/>
          <w:bCs/>
          <w:sz w:val="16"/>
          <w:szCs w:val="18"/>
        </w:rPr>
      </w:pPr>
      <w:bookmarkStart w:id="485" w:name="_Ref350859105"/>
      <w:r w:rsidRPr="00704036">
        <w:rPr>
          <w:rFonts w:ascii="Arial" w:eastAsia="Calibri" w:hAnsi="Arial" w:cs="Arial"/>
          <w:b/>
          <w:bCs/>
          <w:sz w:val="20"/>
        </w:rPr>
        <w:t>Example</w:t>
      </w:r>
      <w:bookmarkEnd w:id="485"/>
      <w:r w:rsidR="00D10F94" w:rsidRPr="00704036">
        <w:rPr>
          <w:rFonts w:ascii="Arial" w:eastAsia="Calibri" w:hAnsi="Arial" w:cs="Arial"/>
          <w:b/>
          <w:bCs/>
          <w:sz w:val="20"/>
        </w:rPr>
        <w:t xml:space="preserve"> 1</w:t>
      </w:r>
      <w:r w:rsidRPr="00704036">
        <w:rPr>
          <w:rFonts w:ascii="Arial" w:eastAsia="Calibri" w:hAnsi="Arial" w:cs="Arial"/>
          <w:b/>
          <w:bCs/>
          <w:sz w:val="20"/>
        </w:rPr>
        <w:t xml:space="preserve">: </w:t>
      </w:r>
      <w:r w:rsidRPr="00DF77B4">
        <w:rPr>
          <w:rFonts w:ascii="Arial" w:eastAsia="Calibri" w:hAnsi="Arial" w:cs="Arial"/>
          <w:b/>
          <w:bCs/>
          <w:sz w:val="20"/>
        </w:rPr>
        <w:t xml:space="preserve">Two equivalent methods to derive estimated </w:t>
      </w:r>
      <w:r w:rsidR="00384C96" w:rsidRPr="00581F03">
        <w:rPr>
          <w:rFonts w:ascii="Arial" w:eastAsia="Calibri" w:hAnsi="Arial" w:cs="Arial"/>
          <w:b/>
          <w:bCs/>
          <w:sz w:val="20"/>
        </w:rPr>
        <w:t>2016-17</w:t>
      </w:r>
      <w:r w:rsidRPr="00581F03">
        <w:rPr>
          <w:rFonts w:ascii="Arial" w:eastAsia="Calibri" w:hAnsi="Arial" w:cs="Arial"/>
          <w:b/>
          <w:bCs/>
          <w:sz w:val="20"/>
        </w:rPr>
        <w:t xml:space="preserve"> costs</w:t>
      </w:r>
      <w:r w:rsidR="007B0C5C" w:rsidRPr="00581F03">
        <w:rPr>
          <w:rFonts w:ascii="Arial" w:eastAsia="Calibri" w:hAnsi="Arial" w:cs="Arial"/>
          <w:b/>
          <w:bCs/>
          <w:sz w:val="20"/>
        </w:rPr>
        <w:t xml:space="preserve"> for same day episode in </w:t>
      </w:r>
      <w:r w:rsidRPr="00581F03">
        <w:rPr>
          <w:rFonts w:ascii="Arial" w:eastAsia="Calibri" w:hAnsi="Arial" w:cs="Arial"/>
          <w:b/>
          <w:bCs/>
          <w:sz w:val="20"/>
        </w:rPr>
        <w:t>- DRG E42</w:t>
      </w:r>
      <w:r w:rsidR="007B0C5C" w:rsidRPr="00E33EAE">
        <w:rPr>
          <w:rFonts w:ascii="Arial" w:eastAsia="Calibri" w:hAnsi="Arial" w:cs="Arial"/>
          <w:b/>
          <w:bCs/>
          <w:sz w:val="20"/>
        </w:rPr>
        <w:t>B</w:t>
      </w:r>
      <w:r w:rsidRPr="00E33EAE">
        <w:rPr>
          <w:rFonts w:ascii="Arial" w:eastAsia="Calibri" w:hAnsi="Arial" w:cs="Arial"/>
          <w:b/>
          <w:bCs/>
          <w:sz w:val="20"/>
        </w:rPr>
        <w:t xml:space="preserve"> - Bronchoscopy, </w:t>
      </w:r>
      <w:r w:rsidR="00581F03" w:rsidRPr="00DF77B4">
        <w:rPr>
          <w:rFonts w:ascii="Arial" w:eastAsia="Calibri" w:hAnsi="Arial" w:cs="Arial"/>
          <w:b/>
          <w:bCs/>
          <w:sz w:val="20"/>
        </w:rPr>
        <w:t>Minor Complexity</w:t>
      </w:r>
    </w:p>
    <w:p w:rsidR="003667FD" w:rsidRPr="00E33EAE" w:rsidRDefault="003667FD" w:rsidP="00E33EAE">
      <w:pPr>
        <w:spacing w:before="100" w:beforeAutospacing="1" w:after="100" w:afterAutospacing="1"/>
        <w:rPr>
          <w:rFonts w:ascii="Arial" w:eastAsia="Calibri" w:hAnsi="Arial" w:cs="Arial"/>
        </w:rPr>
      </w:pPr>
      <w:r w:rsidRPr="00E33EAE">
        <w:rPr>
          <w:rFonts w:ascii="Arial" w:eastAsia="Calibri" w:hAnsi="Arial" w:cs="Arial"/>
        </w:rPr>
        <w:t xml:space="preserve">The </w:t>
      </w:r>
      <w:r w:rsidR="007C1FEE" w:rsidRPr="00DF77B4">
        <w:rPr>
          <w:rFonts w:ascii="Arial" w:eastAsia="Calibri" w:hAnsi="Arial" w:cs="Arial"/>
        </w:rPr>
        <w:t>2013-14</w:t>
      </w:r>
      <w:r w:rsidR="00581F03">
        <w:rPr>
          <w:rFonts w:ascii="Arial" w:eastAsia="Calibri" w:hAnsi="Arial" w:cs="Arial"/>
        </w:rPr>
        <w:t xml:space="preserve"> same day</w:t>
      </w:r>
      <w:r w:rsidRPr="00E33EAE">
        <w:rPr>
          <w:rFonts w:ascii="Arial" w:eastAsia="Calibri" w:hAnsi="Arial" w:cs="Arial"/>
        </w:rPr>
        <w:t xml:space="preserve"> cost parameter associated with E42</w:t>
      </w:r>
      <w:r w:rsidR="00581F03">
        <w:rPr>
          <w:rFonts w:ascii="Arial" w:eastAsia="Calibri" w:hAnsi="Arial" w:cs="Arial"/>
        </w:rPr>
        <w:t>B</w:t>
      </w:r>
      <w:r w:rsidRPr="00E33EAE">
        <w:rPr>
          <w:rFonts w:ascii="Arial" w:eastAsia="Calibri" w:hAnsi="Arial" w:cs="Arial"/>
        </w:rPr>
        <w:t xml:space="preserve"> is $</w:t>
      </w:r>
      <w:r w:rsidR="00AB4342">
        <w:rPr>
          <w:rFonts w:ascii="Arial" w:eastAsia="Calibri" w:hAnsi="Arial" w:cs="Arial"/>
        </w:rPr>
        <w:t>1,667</w:t>
      </w:r>
      <w:r w:rsidRPr="00E33EAE">
        <w:rPr>
          <w:rFonts w:ascii="Arial" w:eastAsia="Calibri" w:hAnsi="Arial" w:cs="Arial"/>
        </w:rPr>
        <w:t xml:space="preserve">. Applying the annual indexation rate of </w:t>
      </w:r>
      <w:r w:rsidR="00BA0D49" w:rsidRPr="00E33EAE">
        <w:rPr>
          <w:rFonts w:ascii="Arial" w:eastAsia="Calibri" w:hAnsi="Arial" w:cs="Arial"/>
        </w:rPr>
        <w:t>2.1</w:t>
      </w:r>
      <w:r w:rsidRPr="00E33EAE">
        <w:rPr>
          <w:rFonts w:ascii="Arial" w:eastAsia="Calibri" w:hAnsi="Arial" w:cs="Arial"/>
        </w:rPr>
        <w:t xml:space="preserve">% to the </w:t>
      </w:r>
      <w:r w:rsidR="007C1FEE" w:rsidRPr="00DF77B4">
        <w:rPr>
          <w:rFonts w:ascii="Arial" w:eastAsia="Calibri" w:hAnsi="Arial" w:cs="Arial"/>
        </w:rPr>
        <w:t>2013-14</w:t>
      </w:r>
      <w:r w:rsidRPr="00E33EAE">
        <w:rPr>
          <w:rFonts w:ascii="Arial" w:eastAsia="Calibri" w:hAnsi="Arial" w:cs="Arial"/>
        </w:rPr>
        <w:t xml:space="preserve"> cost, the estimated </w:t>
      </w:r>
      <w:r w:rsidR="00581F03">
        <w:rPr>
          <w:rFonts w:ascii="Arial" w:eastAsia="Calibri" w:hAnsi="Arial" w:cs="Arial"/>
        </w:rPr>
        <w:t xml:space="preserve">same day </w:t>
      </w:r>
      <w:r w:rsidRPr="00E33EAE">
        <w:rPr>
          <w:rFonts w:ascii="Arial" w:eastAsia="Calibri" w:hAnsi="Arial" w:cs="Arial"/>
        </w:rPr>
        <w:t>cost of E42</w:t>
      </w:r>
      <w:r w:rsidR="00581F03">
        <w:rPr>
          <w:rFonts w:ascii="Arial" w:eastAsia="Calibri" w:hAnsi="Arial" w:cs="Arial"/>
        </w:rPr>
        <w:t>B</w:t>
      </w:r>
      <w:r w:rsidRPr="00E33EAE">
        <w:rPr>
          <w:rFonts w:ascii="Arial" w:eastAsia="Calibri" w:hAnsi="Arial" w:cs="Arial"/>
        </w:rPr>
        <w:t xml:space="preserve"> in </w:t>
      </w:r>
      <w:r w:rsidR="00384C96" w:rsidRPr="00E33EAE">
        <w:rPr>
          <w:rFonts w:ascii="Arial" w:eastAsia="Calibri" w:hAnsi="Arial" w:cs="Arial"/>
        </w:rPr>
        <w:t>2016-17</w:t>
      </w:r>
      <w:r w:rsidRPr="00E33EAE">
        <w:rPr>
          <w:rFonts w:ascii="Arial" w:eastAsia="Calibri" w:hAnsi="Arial" w:cs="Arial"/>
        </w:rPr>
        <w:t xml:space="preserve"> is given by</w:t>
      </w:r>
      <w:r w:rsidR="00581F03" w:rsidRPr="00DF77B4">
        <w:rPr>
          <w:rFonts w:ascii="Arial" w:eastAsia="Calibri" w:hAnsi="Arial" w:cs="Arial"/>
        </w:rPr>
        <w:t xml:space="preserve"> </w:t>
      </w:r>
    </w:p>
    <w:p w:rsidR="00FA41FE" w:rsidRPr="00E33EAE" w:rsidRDefault="00384C96" w:rsidP="00FA41FE">
      <w:pPr>
        <w:tabs>
          <w:tab w:val="left" w:pos="284"/>
          <w:tab w:val="left" w:pos="3544"/>
        </w:tabs>
        <w:spacing w:before="100" w:beforeAutospacing="1" w:after="100" w:afterAutospacing="1"/>
        <w:rPr>
          <w:rFonts w:ascii="Arial" w:hAnsi="Arial" w:cs="Arial"/>
        </w:rPr>
      </w:pPr>
      <w:r w:rsidRPr="00E33EAE">
        <w:rPr>
          <w:rFonts w:ascii="Arial" w:hAnsi="Arial" w:cs="Arial"/>
        </w:rPr>
        <w:t>2016-17</w:t>
      </w:r>
      <w:r w:rsidR="00FA41FE" w:rsidRPr="00E33EAE">
        <w:rPr>
          <w:rFonts w:ascii="Arial" w:hAnsi="Arial" w:cs="Arial"/>
        </w:rPr>
        <w:t xml:space="preserve"> estimated </w:t>
      </w:r>
      <w:r w:rsidR="00581F03">
        <w:rPr>
          <w:rFonts w:ascii="Arial" w:hAnsi="Arial" w:cs="Arial"/>
        </w:rPr>
        <w:t xml:space="preserve">dame day </w:t>
      </w:r>
      <w:r w:rsidR="00FA41FE" w:rsidRPr="00E33EAE">
        <w:rPr>
          <w:rFonts w:ascii="Arial" w:hAnsi="Arial" w:cs="Arial"/>
        </w:rPr>
        <w:t>cost of E42</w:t>
      </w:r>
      <w:r w:rsidR="00581F03" w:rsidRPr="00E33EAE">
        <w:rPr>
          <w:rFonts w:ascii="Arial" w:hAnsi="Arial" w:cs="Arial"/>
        </w:rPr>
        <w:t>B</w:t>
      </w:r>
      <w:r w:rsidR="00FA41FE" w:rsidRPr="00E33EAE">
        <w:rPr>
          <w:rFonts w:ascii="Arial" w:hAnsi="Arial" w:cs="Arial"/>
        </w:rPr>
        <w:tab/>
        <w:t>= (</w:t>
      </w:r>
      <w:r w:rsidR="007C1FEE" w:rsidRPr="00DF77B4">
        <w:rPr>
          <w:rFonts w:ascii="Arial" w:eastAsia="Calibri" w:hAnsi="Arial" w:cs="Arial"/>
        </w:rPr>
        <w:t>2013-14</w:t>
      </w:r>
      <w:r w:rsidR="00FA41FE" w:rsidRPr="00E33EAE">
        <w:rPr>
          <w:rFonts w:ascii="Arial" w:hAnsi="Arial" w:cs="Arial"/>
        </w:rPr>
        <w:t xml:space="preserve"> estimated cost) × (indexation)</w:t>
      </w:r>
    </w:p>
    <w:p w:rsidR="00FA41FE" w:rsidRPr="00E33EAE" w:rsidRDefault="00FA41FE" w:rsidP="00FA41FE">
      <w:pPr>
        <w:spacing w:before="100" w:beforeAutospacing="1" w:after="100" w:afterAutospacing="1"/>
        <w:ind w:left="3544"/>
        <w:rPr>
          <w:rFonts w:ascii="Arial" w:hAnsi="Arial" w:cs="Arial"/>
        </w:rPr>
      </w:pPr>
      <w:r w:rsidRPr="00E33EAE">
        <w:rPr>
          <w:rFonts w:ascii="Arial" w:hAnsi="Arial" w:cs="Arial"/>
        </w:rPr>
        <w:t>= $</w:t>
      </w:r>
      <w:r w:rsidR="00AB4342">
        <w:rPr>
          <w:rFonts w:ascii="Arial" w:hAnsi="Arial" w:cs="Arial"/>
        </w:rPr>
        <w:t>1,667</w:t>
      </w:r>
      <w:r w:rsidRPr="00E33EAE">
        <w:rPr>
          <w:rFonts w:ascii="Arial" w:hAnsi="Arial" w:cs="Arial"/>
        </w:rPr>
        <w:t xml:space="preserve"> × (</w:t>
      </w:r>
      <w:r w:rsidR="00BA0D49" w:rsidRPr="00E33EAE">
        <w:rPr>
          <w:rFonts w:ascii="Arial" w:hAnsi="Arial" w:cs="Arial"/>
        </w:rPr>
        <w:t>102.1</w:t>
      </w:r>
      <w:r w:rsidRPr="00E33EAE">
        <w:rPr>
          <w:rFonts w:ascii="Arial" w:hAnsi="Arial" w:cs="Arial"/>
        </w:rPr>
        <w:t>%</w:t>
      </w:r>
      <w:proofErr w:type="gramStart"/>
      <w:r w:rsidRPr="00E33EAE">
        <w:rPr>
          <w:rFonts w:ascii="Arial" w:hAnsi="Arial" w:cs="Arial"/>
        </w:rPr>
        <w:t>)</w:t>
      </w:r>
      <w:r w:rsidRPr="00E33EAE">
        <w:rPr>
          <w:rFonts w:ascii="Arial" w:hAnsi="Arial" w:cs="Arial"/>
          <w:vertAlign w:val="superscript"/>
        </w:rPr>
        <w:t>3</w:t>
      </w:r>
      <w:proofErr w:type="gramEnd"/>
    </w:p>
    <w:p w:rsidR="00FA41FE" w:rsidRPr="00E33EAE" w:rsidRDefault="00FA41FE" w:rsidP="00FA41FE">
      <w:pPr>
        <w:spacing w:before="100" w:beforeAutospacing="1" w:after="100" w:afterAutospacing="1"/>
        <w:ind w:left="3544"/>
        <w:rPr>
          <w:rFonts w:ascii="Arial" w:hAnsi="Arial" w:cs="Arial"/>
        </w:rPr>
      </w:pPr>
      <w:r w:rsidRPr="00E33EAE">
        <w:rPr>
          <w:rFonts w:ascii="Arial" w:hAnsi="Arial" w:cs="Arial"/>
        </w:rPr>
        <w:t>= $</w:t>
      </w:r>
      <w:r w:rsidR="00AB4342">
        <w:rPr>
          <w:rFonts w:ascii="Arial" w:hAnsi="Arial" w:cs="Arial"/>
        </w:rPr>
        <w:t>1,774</w:t>
      </w:r>
      <w:r w:rsidRPr="00E33EAE">
        <w:rPr>
          <w:rFonts w:ascii="Arial" w:hAnsi="Arial" w:cs="Arial"/>
        </w:rPr>
        <w:t>.</w:t>
      </w:r>
    </w:p>
    <w:p w:rsidR="00FA41FE" w:rsidRPr="00E33EAE" w:rsidRDefault="00FA41FE" w:rsidP="00FA41FE">
      <w:pPr>
        <w:spacing w:before="100" w:beforeAutospacing="1" w:after="100" w:afterAutospacing="1"/>
        <w:rPr>
          <w:rFonts w:ascii="Arial" w:hAnsi="Arial" w:cs="Arial"/>
        </w:rPr>
      </w:pPr>
      <w:r w:rsidRPr="00E33EAE">
        <w:rPr>
          <w:rFonts w:ascii="Arial" w:hAnsi="Arial" w:cs="Arial"/>
        </w:rPr>
        <w:t xml:space="preserve">On the other hand, the </w:t>
      </w:r>
      <w:r w:rsidR="00581F03">
        <w:rPr>
          <w:rFonts w:ascii="Arial" w:hAnsi="Arial" w:cs="Arial"/>
        </w:rPr>
        <w:t xml:space="preserve">same day </w:t>
      </w:r>
      <w:r w:rsidRPr="00E33EAE">
        <w:rPr>
          <w:rFonts w:ascii="Arial" w:hAnsi="Arial" w:cs="Arial"/>
        </w:rPr>
        <w:t>cost weight associated with E42</w:t>
      </w:r>
      <w:r w:rsidR="00581F03">
        <w:rPr>
          <w:rFonts w:ascii="Arial" w:hAnsi="Arial" w:cs="Arial"/>
        </w:rPr>
        <w:t>B</w:t>
      </w:r>
      <w:r w:rsidRPr="00E33EAE">
        <w:rPr>
          <w:rFonts w:ascii="Arial" w:hAnsi="Arial" w:cs="Arial"/>
        </w:rPr>
        <w:t xml:space="preserve"> is 0.</w:t>
      </w:r>
      <w:r w:rsidR="00AB4342" w:rsidRPr="00E33EAE">
        <w:rPr>
          <w:rFonts w:ascii="Arial" w:hAnsi="Arial" w:cs="Arial"/>
        </w:rPr>
        <w:t>3</w:t>
      </w:r>
      <w:r w:rsidR="00AB4342">
        <w:rPr>
          <w:rFonts w:ascii="Arial" w:hAnsi="Arial" w:cs="Arial"/>
        </w:rPr>
        <w:t>633</w:t>
      </w:r>
      <w:r w:rsidR="00AB4342" w:rsidRPr="00E33EAE">
        <w:rPr>
          <w:rFonts w:ascii="Arial" w:hAnsi="Arial" w:cs="Arial"/>
        </w:rPr>
        <w:t xml:space="preserve"> </w:t>
      </w:r>
      <w:r w:rsidRPr="00E33EAE">
        <w:rPr>
          <w:rFonts w:ascii="Arial" w:hAnsi="Arial" w:cs="Arial"/>
        </w:rPr>
        <w:t>(= $</w:t>
      </w:r>
      <w:r w:rsidR="00AB4342">
        <w:rPr>
          <w:rFonts w:ascii="Arial" w:hAnsi="Arial" w:cs="Arial"/>
        </w:rPr>
        <w:t>1,667</w:t>
      </w:r>
      <w:r w:rsidRPr="00E33EAE">
        <w:rPr>
          <w:rFonts w:ascii="Arial" w:hAnsi="Arial" w:cs="Arial"/>
        </w:rPr>
        <w:t xml:space="preserve"> / $</w:t>
      </w:r>
      <w:r w:rsidR="00AB4342">
        <w:rPr>
          <w:rFonts w:ascii="Arial" w:hAnsi="Arial" w:cs="Arial"/>
        </w:rPr>
        <w:t>4,588</w:t>
      </w:r>
      <w:r w:rsidRPr="00E33EAE">
        <w:rPr>
          <w:rFonts w:ascii="Arial" w:hAnsi="Arial" w:cs="Arial"/>
        </w:rPr>
        <w:t xml:space="preserve">). Applying the annual indexation rate to the </w:t>
      </w:r>
      <w:r w:rsidR="007C1FEE" w:rsidRPr="00DF77B4">
        <w:rPr>
          <w:rFonts w:ascii="Arial" w:eastAsia="Calibri" w:hAnsi="Arial" w:cs="Arial"/>
        </w:rPr>
        <w:t>2013-14</w:t>
      </w:r>
      <w:r w:rsidRPr="00E33EAE">
        <w:rPr>
          <w:rFonts w:ascii="Arial" w:hAnsi="Arial" w:cs="Arial"/>
        </w:rPr>
        <w:t xml:space="preserve"> reference cost, the resulting estimated cost of </w:t>
      </w:r>
      <w:r w:rsidR="00581F03">
        <w:rPr>
          <w:rFonts w:ascii="Arial" w:hAnsi="Arial" w:cs="Arial"/>
        </w:rPr>
        <w:t xml:space="preserve">a same day episode in </w:t>
      </w:r>
      <w:r w:rsidRPr="00E33EAE">
        <w:rPr>
          <w:rFonts w:ascii="Arial" w:hAnsi="Arial" w:cs="Arial"/>
        </w:rPr>
        <w:t>E42</w:t>
      </w:r>
      <w:r w:rsidR="00581F03">
        <w:rPr>
          <w:rFonts w:ascii="Arial" w:hAnsi="Arial" w:cs="Arial"/>
        </w:rPr>
        <w:t>B</w:t>
      </w:r>
      <w:r w:rsidRPr="00E33EAE">
        <w:rPr>
          <w:rFonts w:ascii="Arial" w:hAnsi="Arial" w:cs="Arial"/>
        </w:rPr>
        <w:t xml:space="preserve"> in </w:t>
      </w:r>
      <w:r w:rsidR="00384C96" w:rsidRPr="00E33EAE">
        <w:rPr>
          <w:rFonts w:ascii="Arial" w:hAnsi="Arial" w:cs="Arial"/>
        </w:rPr>
        <w:t>2016-17</w:t>
      </w:r>
      <w:r w:rsidRPr="00E33EAE">
        <w:rPr>
          <w:rFonts w:ascii="Arial" w:hAnsi="Arial" w:cs="Arial"/>
        </w:rPr>
        <w:t xml:space="preserve"> is given by</w:t>
      </w:r>
    </w:p>
    <w:p w:rsidR="00FA41FE" w:rsidRPr="00E33EAE" w:rsidRDefault="00384C96" w:rsidP="00FA41FE">
      <w:pPr>
        <w:tabs>
          <w:tab w:val="left" w:pos="3544"/>
        </w:tabs>
        <w:spacing w:before="100" w:beforeAutospacing="1" w:after="100" w:afterAutospacing="1"/>
        <w:rPr>
          <w:rFonts w:ascii="Arial" w:hAnsi="Arial" w:cs="Arial"/>
        </w:rPr>
      </w:pPr>
      <w:r w:rsidRPr="00E33EAE">
        <w:rPr>
          <w:rFonts w:ascii="Arial" w:hAnsi="Arial" w:cs="Arial"/>
        </w:rPr>
        <w:t>2016-17</w:t>
      </w:r>
      <w:r w:rsidR="00FA41FE" w:rsidRPr="00E33EAE">
        <w:rPr>
          <w:rFonts w:ascii="Arial" w:hAnsi="Arial" w:cs="Arial"/>
        </w:rPr>
        <w:t xml:space="preserve"> estimated</w:t>
      </w:r>
      <w:r w:rsidR="00581F03">
        <w:rPr>
          <w:rFonts w:ascii="Arial" w:hAnsi="Arial" w:cs="Arial"/>
        </w:rPr>
        <w:t xml:space="preserve"> same day</w:t>
      </w:r>
      <w:r w:rsidR="00FA41FE" w:rsidRPr="00E33EAE">
        <w:rPr>
          <w:rFonts w:ascii="Arial" w:hAnsi="Arial" w:cs="Arial"/>
        </w:rPr>
        <w:t xml:space="preserve"> cost of E42</w:t>
      </w:r>
      <w:r w:rsidR="00581F03">
        <w:rPr>
          <w:rFonts w:ascii="Arial" w:hAnsi="Arial" w:cs="Arial"/>
        </w:rPr>
        <w:t>B</w:t>
      </w:r>
      <w:r w:rsidR="00FA41FE" w:rsidRPr="00E33EAE">
        <w:rPr>
          <w:rFonts w:ascii="Arial" w:hAnsi="Arial" w:cs="Arial"/>
        </w:rPr>
        <w:tab/>
        <w:t>= (</w:t>
      </w:r>
      <w:r w:rsidR="007C1FEE" w:rsidRPr="00DF77B4">
        <w:rPr>
          <w:rFonts w:ascii="Arial" w:eastAsia="Calibri" w:hAnsi="Arial" w:cs="Arial"/>
        </w:rPr>
        <w:t>2013-14</w:t>
      </w:r>
      <w:r w:rsidR="00FA41FE" w:rsidRPr="00E33EAE">
        <w:rPr>
          <w:rFonts w:ascii="Arial" w:hAnsi="Arial" w:cs="Arial"/>
        </w:rPr>
        <w:t xml:space="preserve"> cost weight) × (indexed reference cost)</w:t>
      </w:r>
    </w:p>
    <w:p w:rsidR="00FA41FE" w:rsidRPr="00E33EAE" w:rsidRDefault="00FA41FE" w:rsidP="00FA41FE">
      <w:pPr>
        <w:spacing w:before="100" w:beforeAutospacing="1" w:after="100" w:afterAutospacing="1"/>
        <w:ind w:left="3544"/>
        <w:rPr>
          <w:rFonts w:ascii="Arial" w:hAnsi="Arial" w:cs="Arial"/>
        </w:rPr>
      </w:pPr>
      <w:r w:rsidRPr="00E33EAE">
        <w:rPr>
          <w:rFonts w:ascii="Arial" w:hAnsi="Arial" w:cs="Arial"/>
        </w:rPr>
        <w:t xml:space="preserve">= </w:t>
      </w:r>
      <w:r w:rsidR="00581F03">
        <w:rPr>
          <w:rFonts w:ascii="Arial" w:hAnsi="Arial" w:cs="Arial"/>
        </w:rPr>
        <w:t>0.</w:t>
      </w:r>
      <w:r w:rsidR="00AB4342">
        <w:rPr>
          <w:rFonts w:ascii="Arial" w:hAnsi="Arial" w:cs="Arial"/>
        </w:rPr>
        <w:t>3633</w:t>
      </w:r>
      <w:r w:rsidR="00AB4342" w:rsidRPr="00E33EAE">
        <w:rPr>
          <w:rFonts w:ascii="Arial" w:hAnsi="Arial" w:cs="Arial"/>
        </w:rPr>
        <w:t xml:space="preserve"> </w:t>
      </w:r>
      <w:r w:rsidRPr="00E33EAE">
        <w:rPr>
          <w:rFonts w:ascii="Arial" w:hAnsi="Arial" w:cs="Arial"/>
        </w:rPr>
        <w:t>× ($</w:t>
      </w:r>
      <w:r w:rsidR="00AB4342">
        <w:rPr>
          <w:rFonts w:ascii="Arial" w:hAnsi="Arial" w:cs="Arial"/>
        </w:rPr>
        <w:t>4,588</w:t>
      </w:r>
      <w:r w:rsidRPr="00E33EAE">
        <w:rPr>
          <w:rFonts w:ascii="Arial" w:hAnsi="Arial" w:cs="Arial"/>
        </w:rPr>
        <w:t xml:space="preserve"> × (</w:t>
      </w:r>
      <w:r w:rsidR="00BA0D49" w:rsidRPr="00E33EAE">
        <w:rPr>
          <w:rFonts w:ascii="Arial" w:hAnsi="Arial" w:cs="Arial"/>
        </w:rPr>
        <w:t>102.1</w:t>
      </w:r>
      <w:r w:rsidRPr="00E33EAE">
        <w:rPr>
          <w:rFonts w:ascii="Arial" w:hAnsi="Arial" w:cs="Arial"/>
        </w:rPr>
        <w:t>%</w:t>
      </w:r>
      <w:proofErr w:type="gramStart"/>
      <w:r w:rsidRPr="00E33EAE">
        <w:rPr>
          <w:rFonts w:ascii="Arial" w:hAnsi="Arial" w:cs="Arial"/>
        </w:rPr>
        <w:t>)</w:t>
      </w:r>
      <w:r w:rsidRPr="00E33EAE">
        <w:rPr>
          <w:rFonts w:ascii="Arial" w:hAnsi="Arial" w:cs="Arial"/>
          <w:vertAlign w:val="superscript"/>
        </w:rPr>
        <w:t>3</w:t>
      </w:r>
      <w:proofErr w:type="gramEnd"/>
      <w:r w:rsidRPr="00E33EAE">
        <w:rPr>
          <w:rFonts w:ascii="Arial" w:hAnsi="Arial" w:cs="Arial"/>
        </w:rPr>
        <w:t>)</w:t>
      </w:r>
    </w:p>
    <w:p w:rsidR="00FA41FE" w:rsidRPr="00E33EAE" w:rsidRDefault="00FA41FE" w:rsidP="00FA41FE">
      <w:pPr>
        <w:spacing w:before="100" w:beforeAutospacing="1" w:after="100" w:afterAutospacing="1"/>
        <w:ind w:left="3544"/>
        <w:rPr>
          <w:rFonts w:ascii="Arial" w:hAnsi="Arial" w:cs="Arial"/>
        </w:rPr>
      </w:pPr>
      <w:r w:rsidRPr="00E33EAE">
        <w:rPr>
          <w:rFonts w:ascii="Arial" w:hAnsi="Arial" w:cs="Arial"/>
        </w:rPr>
        <w:t xml:space="preserve">= </w:t>
      </w:r>
      <w:r w:rsidR="00581F03">
        <w:rPr>
          <w:rFonts w:ascii="Arial" w:hAnsi="Arial" w:cs="Arial"/>
        </w:rPr>
        <w:t>0.</w:t>
      </w:r>
      <w:r w:rsidR="00AB4342">
        <w:rPr>
          <w:rFonts w:ascii="Arial" w:hAnsi="Arial" w:cs="Arial"/>
        </w:rPr>
        <w:t>3633</w:t>
      </w:r>
      <w:r w:rsidR="00AB4342" w:rsidRPr="00E33EAE">
        <w:rPr>
          <w:rFonts w:ascii="Arial" w:hAnsi="Arial" w:cs="Arial"/>
        </w:rPr>
        <w:t xml:space="preserve"> </w:t>
      </w:r>
      <w:r w:rsidRPr="00E33EAE">
        <w:rPr>
          <w:rFonts w:ascii="Arial" w:hAnsi="Arial" w:cs="Arial"/>
        </w:rPr>
        <w:t>× $</w:t>
      </w:r>
      <w:r w:rsidR="00AB4342">
        <w:rPr>
          <w:rFonts w:ascii="Arial" w:hAnsi="Arial" w:cs="Arial"/>
        </w:rPr>
        <w:t>4,883</w:t>
      </w:r>
    </w:p>
    <w:p w:rsidR="00FA41FE" w:rsidRPr="00E33EAE" w:rsidRDefault="00FA41FE" w:rsidP="009B622C">
      <w:pPr>
        <w:spacing w:before="100" w:beforeAutospacing="1" w:after="100" w:afterAutospacing="1"/>
        <w:ind w:left="3544"/>
        <w:rPr>
          <w:rFonts w:ascii="Arial" w:hAnsi="Arial" w:cs="Arial"/>
        </w:rPr>
      </w:pPr>
      <w:r w:rsidRPr="00E33EAE">
        <w:rPr>
          <w:rFonts w:ascii="Arial" w:hAnsi="Arial" w:cs="Arial"/>
        </w:rPr>
        <w:t>= $</w:t>
      </w:r>
      <w:r w:rsidR="00AB4342">
        <w:rPr>
          <w:rFonts w:ascii="Arial" w:hAnsi="Arial" w:cs="Arial"/>
        </w:rPr>
        <w:t>1,774</w:t>
      </w:r>
    </w:p>
    <w:p w:rsidR="00C01DA0" w:rsidRPr="00704036" w:rsidRDefault="00C01DA0">
      <w:pPr>
        <w:spacing w:after="200" w:line="276" w:lineRule="auto"/>
        <w:rPr>
          <w:rFonts w:ascii="Arial" w:hAnsi="Arial" w:cs="Arial"/>
          <w:b/>
          <w:sz w:val="28"/>
        </w:rPr>
        <w:sectPr w:rsidR="00C01DA0" w:rsidRPr="00704036" w:rsidSect="001E6A47">
          <w:headerReference w:type="even" r:id="rId40"/>
          <w:type w:val="continuous"/>
          <w:pgSz w:w="11906" w:h="16838"/>
          <w:pgMar w:top="1247" w:right="1440" w:bottom="1440" w:left="851" w:header="709" w:footer="709" w:gutter="0"/>
          <w:cols w:space="708"/>
          <w:docGrid w:linePitch="360"/>
        </w:sectPr>
      </w:pPr>
      <w:bookmarkStart w:id="486" w:name="_Toc318905760"/>
    </w:p>
    <w:p w:rsidR="00164A51" w:rsidRPr="00F328C2" w:rsidRDefault="00480692" w:rsidP="00F328C2">
      <w:pPr>
        <w:pStyle w:val="Heading1"/>
        <w:tabs>
          <w:tab w:val="clear" w:pos="1492"/>
        </w:tabs>
        <w:spacing w:after="240"/>
        <w:ind w:firstLine="0"/>
      </w:pPr>
      <w:bookmarkStart w:id="487" w:name="_Toc444528659"/>
      <w:r w:rsidRPr="00F328C2">
        <w:t xml:space="preserve">Attachment C – </w:t>
      </w:r>
      <w:r w:rsidR="00164A51" w:rsidRPr="00F328C2">
        <w:t xml:space="preserve">List of the 21 DRGs </w:t>
      </w:r>
      <w:r w:rsidR="00220545" w:rsidRPr="00F328C2">
        <w:t>using</w:t>
      </w:r>
      <w:r w:rsidRPr="00F328C2">
        <w:t xml:space="preserve"> </w:t>
      </w:r>
      <w:r w:rsidR="00164A51" w:rsidRPr="00F328C2">
        <w:t>L1.5</w:t>
      </w:r>
      <w:r w:rsidR="00ED5DBA" w:rsidRPr="00F328C2">
        <w:t xml:space="preserve"> </w:t>
      </w:r>
      <w:r w:rsidR="00164A51" w:rsidRPr="00F328C2">
        <w:t>H1.5</w:t>
      </w:r>
      <w:bookmarkEnd w:id="487"/>
    </w:p>
    <w:tbl>
      <w:tblPr>
        <w:tblStyle w:val="TableGrid"/>
        <w:tblW w:w="0" w:type="auto"/>
        <w:jc w:val="center"/>
        <w:tblLook w:val="04A0" w:firstRow="1" w:lastRow="0" w:firstColumn="1" w:lastColumn="0" w:noHBand="0" w:noVBand="1"/>
        <w:tblDescription w:val="The table is a list of the 21 DRGs to be converted to L1.5H1.5&#10;&#10;The table consists of two column headings: column 1 is a list of Diagnosis Related Groups (DRGs) and column 2 provides a description of the Diagnosis Related Group (DRG). "/>
      </w:tblPr>
      <w:tblGrid>
        <w:gridCol w:w="1117"/>
        <w:gridCol w:w="7489"/>
      </w:tblGrid>
      <w:tr w:rsidR="00CC088E" w:rsidRPr="00837081" w:rsidTr="00E33EAE">
        <w:trPr>
          <w:trHeight w:val="170"/>
          <w:tblHeader/>
          <w:jc w:val="center"/>
        </w:trPr>
        <w:tc>
          <w:tcPr>
            <w:tcW w:w="1117" w:type="dxa"/>
            <w:shd w:val="clear" w:color="auto" w:fill="BFBFBF" w:themeFill="background1" w:themeFillShade="BF"/>
            <w:vAlign w:val="center"/>
          </w:tcPr>
          <w:p w:rsidR="00CC088E" w:rsidRPr="00E33EAE" w:rsidRDefault="00983D1A" w:rsidP="00664156">
            <w:pPr>
              <w:spacing w:before="60" w:after="60" w:line="276" w:lineRule="auto"/>
              <w:rPr>
                <w:rFonts w:ascii="Arial" w:hAnsi="Arial" w:cs="Arial"/>
                <w:b/>
                <w:sz w:val="20"/>
                <w:szCs w:val="24"/>
              </w:rPr>
            </w:pPr>
            <w:r w:rsidRPr="00E33EAE">
              <w:rPr>
                <w:rFonts w:ascii="Arial" w:hAnsi="Arial" w:cs="Arial"/>
                <w:b/>
                <w:sz w:val="20"/>
                <w:szCs w:val="24"/>
              </w:rPr>
              <w:t>DRG</w:t>
            </w:r>
          </w:p>
        </w:tc>
        <w:tc>
          <w:tcPr>
            <w:tcW w:w="7489" w:type="dxa"/>
            <w:shd w:val="clear" w:color="auto" w:fill="BFBFBF" w:themeFill="background1" w:themeFillShade="BF"/>
          </w:tcPr>
          <w:p w:rsidR="00CC088E" w:rsidRPr="00E33EAE" w:rsidRDefault="00284380" w:rsidP="00664156">
            <w:pPr>
              <w:spacing w:before="60" w:after="60" w:line="276" w:lineRule="auto"/>
              <w:rPr>
                <w:rFonts w:ascii="Arial" w:hAnsi="Arial" w:cs="Arial"/>
                <w:b/>
                <w:sz w:val="20"/>
                <w:szCs w:val="24"/>
              </w:rPr>
            </w:pPr>
            <w:r w:rsidRPr="00E33EAE">
              <w:rPr>
                <w:rFonts w:ascii="Arial" w:hAnsi="Arial" w:cs="Arial"/>
                <w:b/>
                <w:sz w:val="20"/>
                <w:szCs w:val="24"/>
              </w:rPr>
              <w:t>DRG Description</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A01Z</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Liver Transplant</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A06A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Tracheostomy W Ventilation &gt;=96hrs W Catastrophic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A06B</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Ventilation &gt;=96hrs and OR Proc (W/O Tracheostomy or W/O Cat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A06C</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Tracheostomy W/O Ventilation &gt;=96hrs, or Ventilation &gt;=96hrs W/O OR Proc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A10Z</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Insertion of Ventricular Assist Device</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B61A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Spinal Cord Conditions W or W/O OR Procedures W Catastrophic or Severe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B82B</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 xml:space="preserve">Chronic and </w:t>
            </w:r>
            <w:proofErr w:type="spellStart"/>
            <w:r w:rsidRPr="00E33EAE">
              <w:rPr>
                <w:rFonts w:ascii="Arial" w:hAnsi="Arial" w:cs="Arial"/>
                <w:sz w:val="18"/>
              </w:rPr>
              <w:t>Unspec</w:t>
            </w:r>
            <w:proofErr w:type="spellEnd"/>
            <w:r w:rsidRPr="00E33EAE">
              <w:rPr>
                <w:rFonts w:ascii="Arial" w:hAnsi="Arial" w:cs="Arial"/>
                <w:sz w:val="18"/>
              </w:rPr>
              <w:t xml:space="preserve"> Para/Quadriplegia W or W/O OR Proc W Cat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E42A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Bronchoscopy W Catastrophic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F40A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Circulatory Disorders W Ventilator Support</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I01A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Bilateral and Multiple Major Joint Proc of Lower Limb W Revision or W Cat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I12A</w:t>
            </w:r>
          </w:p>
        </w:tc>
        <w:tc>
          <w:tcPr>
            <w:tcW w:w="7489" w:type="dxa"/>
            <w:vAlign w:val="bottom"/>
          </w:tcPr>
          <w:p w:rsidR="00605B3B" w:rsidRPr="00E33EAE" w:rsidRDefault="00605B3B" w:rsidP="000F4091">
            <w:pPr>
              <w:spacing w:before="60" w:after="60"/>
              <w:rPr>
                <w:rFonts w:ascii="Arial" w:hAnsi="Arial" w:cs="Arial"/>
                <w:sz w:val="18"/>
              </w:rPr>
            </w:pPr>
            <w:proofErr w:type="spellStart"/>
            <w:r w:rsidRPr="00E33EAE">
              <w:rPr>
                <w:rFonts w:ascii="Arial" w:hAnsi="Arial" w:cs="Arial"/>
                <w:sz w:val="18"/>
              </w:rPr>
              <w:t>Misc</w:t>
            </w:r>
            <w:proofErr w:type="spellEnd"/>
            <w:r w:rsidRPr="00E33EAE">
              <w:rPr>
                <w:rFonts w:ascii="Arial" w:hAnsi="Arial" w:cs="Arial"/>
                <w:sz w:val="18"/>
              </w:rPr>
              <w:t xml:space="preserve"> Musculoskeletal Procs for Infect/</w:t>
            </w:r>
            <w:proofErr w:type="spellStart"/>
            <w:r w:rsidRPr="00E33EAE">
              <w:rPr>
                <w:rFonts w:ascii="Arial" w:hAnsi="Arial" w:cs="Arial"/>
                <w:sz w:val="18"/>
              </w:rPr>
              <w:t>Inflam</w:t>
            </w:r>
            <w:proofErr w:type="spellEnd"/>
            <w:r w:rsidRPr="00E33EAE">
              <w:rPr>
                <w:rFonts w:ascii="Arial" w:hAnsi="Arial" w:cs="Arial"/>
                <w:sz w:val="18"/>
              </w:rPr>
              <w:t xml:space="preserve"> of Bone/Joint W Cat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J60A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Skin Ulcers W Catastrophic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P02Z</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Cardiothoracic and Vascular Procedures for Neonates</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P04A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 xml:space="preserve">Neonate, </w:t>
            </w:r>
            <w:proofErr w:type="spellStart"/>
            <w:r w:rsidRPr="00E33EAE">
              <w:rPr>
                <w:rFonts w:ascii="Arial" w:hAnsi="Arial" w:cs="Arial"/>
                <w:sz w:val="18"/>
              </w:rPr>
              <w:t>AdmWt</w:t>
            </w:r>
            <w:proofErr w:type="spellEnd"/>
            <w:r w:rsidRPr="00E33EAE">
              <w:rPr>
                <w:rFonts w:ascii="Arial" w:hAnsi="Arial" w:cs="Arial"/>
                <w:sz w:val="18"/>
              </w:rPr>
              <w:t xml:space="preserve"> 1500-1999g W Significant OR Proc W Multiple Major Problems</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P05A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 xml:space="preserve">Neonate, </w:t>
            </w:r>
            <w:proofErr w:type="spellStart"/>
            <w:r w:rsidRPr="00E33EAE">
              <w:rPr>
                <w:rFonts w:ascii="Arial" w:hAnsi="Arial" w:cs="Arial"/>
                <w:sz w:val="18"/>
              </w:rPr>
              <w:t>AdmWt</w:t>
            </w:r>
            <w:proofErr w:type="spellEnd"/>
            <w:r w:rsidRPr="00E33EAE">
              <w:rPr>
                <w:rFonts w:ascii="Arial" w:hAnsi="Arial" w:cs="Arial"/>
                <w:sz w:val="18"/>
              </w:rPr>
              <w:t xml:space="preserve"> 2000-2499g W Significant OR Proc W Multiple Major Problems</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P06A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 xml:space="preserve">Neonate, </w:t>
            </w:r>
            <w:proofErr w:type="spellStart"/>
            <w:r w:rsidRPr="00E33EAE">
              <w:rPr>
                <w:rFonts w:ascii="Arial" w:hAnsi="Arial" w:cs="Arial"/>
                <w:sz w:val="18"/>
              </w:rPr>
              <w:t>AdmWt</w:t>
            </w:r>
            <w:proofErr w:type="spellEnd"/>
            <w:r w:rsidRPr="00E33EAE">
              <w:rPr>
                <w:rFonts w:ascii="Arial" w:hAnsi="Arial" w:cs="Arial"/>
                <w:sz w:val="18"/>
              </w:rPr>
              <w:t xml:space="preserve"> &gt;=2500g W Significant OR Procedure W Multiple Major Problems</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P06B</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 xml:space="preserve">Neonate, </w:t>
            </w:r>
            <w:proofErr w:type="spellStart"/>
            <w:r w:rsidRPr="00E33EAE">
              <w:rPr>
                <w:rFonts w:ascii="Arial" w:hAnsi="Arial" w:cs="Arial"/>
                <w:sz w:val="18"/>
              </w:rPr>
              <w:t>AdmWt</w:t>
            </w:r>
            <w:proofErr w:type="spellEnd"/>
            <w:r w:rsidRPr="00E33EAE">
              <w:rPr>
                <w:rFonts w:ascii="Arial" w:hAnsi="Arial" w:cs="Arial"/>
                <w:sz w:val="18"/>
              </w:rPr>
              <w:t xml:space="preserve"> &gt;=2500g W Significant OR Procedure W/O Multiple Major Problems</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P61Z</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 xml:space="preserve">Neonate, </w:t>
            </w:r>
            <w:proofErr w:type="spellStart"/>
            <w:r w:rsidRPr="00E33EAE">
              <w:rPr>
                <w:rFonts w:ascii="Arial" w:hAnsi="Arial" w:cs="Arial"/>
                <w:sz w:val="18"/>
              </w:rPr>
              <w:t>AdmWt</w:t>
            </w:r>
            <w:proofErr w:type="spellEnd"/>
            <w:r w:rsidRPr="00E33EAE">
              <w:rPr>
                <w:rFonts w:ascii="Arial" w:hAnsi="Arial" w:cs="Arial"/>
                <w:sz w:val="18"/>
              </w:rPr>
              <w:t xml:space="preserve"> &lt;750g W/O Significant OR Procedure</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R01A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Lymphoma and Leukaemia W Major OR Procedures W Catastrophic or Severe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R02A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Other Neoplastic Disorders W Major OR Procedures W Catastrophic CC</w:t>
            </w:r>
          </w:p>
        </w:tc>
      </w:tr>
      <w:tr w:rsidR="00605B3B" w:rsidRPr="00837081" w:rsidTr="00E33EAE">
        <w:trPr>
          <w:trHeight w:val="170"/>
          <w:jc w:val="center"/>
        </w:trPr>
        <w:tc>
          <w:tcPr>
            <w:tcW w:w="1117"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R60A</w:t>
            </w:r>
          </w:p>
        </w:tc>
        <w:tc>
          <w:tcPr>
            <w:tcW w:w="7489" w:type="dxa"/>
            <w:vAlign w:val="bottom"/>
          </w:tcPr>
          <w:p w:rsidR="00605B3B" w:rsidRPr="00E33EAE" w:rsidRDefault="00605B3B" w:rsidP="000F4091">
            <w:pPr>
              <w:spacing w:before="60" w:after="60"/>
              <w:rPr>
                <w:rFonts w:ascii="Arial" w:hAnsi="Arial" w:cs="Arial"/>
                <w:sz w:val="18"/>
              </w:rPr>
            </w:pPr>
            <w:r w:rsidRPr="00E33EAE">
              <w:rPr>
                <w:rFonts w:ascii="Arial" w:hAnsi="Arial" w:cs="Arial"/>
                <w:sz w:val="18"/>
              </w:rPr>
              <w:t>Acute Leukaemia W Catastrophic CC</w:t>
            </w:r>
          </w:p>
        </w:tc>
      </w:tr>
    </w:tbl>
    <w:p w:rsidR="00CA7E14" w:rsidRPr="00E33EAE" w:rsidRDefault="00CA7E14" w:rsidP="00CA7E14">
      <w:pPr>
        <w:rPr>
          <w:rFonts w:ascii="Arial" w:hAnsi="Arial" w:cs="Arial"/>
          <w:b/>
          <w:color w:val="008A00" w:themeColor="background2"/>
          <w:sz w:val="32"/>
        </w:rPr>
        <w:sectPr w:rsidR="00CA7E14" w:rsidRPr="00E33EAE" w:rsidSect="00C01DA0">
          <w:pgSz w:w="11906" w:h="16838"/>
          <w:pgMar w:top="1247" w:right="1440" w:bottom="1440" w:left="851" w:header="709" w:footer="709" w:gutter="0"/>
          <w:cols w:space="708"/>
          <w:docGrid w:linePitch="360"/>
        </w:sectPr>
      </w:pPr>
    </w:p>
    <w:p w:rsidR="001E0627" w:rsidRPr="00E33EAE" w:rsidRDefault="001E0627" w:rsidP="00480692">
      <w:pPr>
        <w:pStyle w:val="Heading1"/>
        <w:ind w:firstLine="0"/>
        <w:rPr>
          <w:rFonts w:ascii="Arial" w:hAnsi="Arial" w:cs="Arial"/>
        </w:rPr>
        <w:sectPr w:rsidR="001E0627" w:rsidRPr="00E33EAE" w:rsidSect="001E0627">
          <w:type w:val="continuous"/>
          <w:pgSz w:w="11906" w:h="16838"/>
          <w:pgMar w:top="1247" w:right="1440" w:bottom="1440" w:left="851" w:header="170" w:footer="340" w:gutter="0"/>
          <w:cols w:space="708"/>
          <w:docGrid w:linePitch="360"/>
        </w:sectPr>
      </w:pPr>
    </w:p>
    <w:p w:rsidR="00721E28" w:rsidRDefault="009638CB" w:rsidP="006044ED">
      <w:pPr>
        <w:pStyle w:val="Heading1"/>
        <w:tabs>
          <w:tab w:val="clear" w:pos="1492"/>
        </w:tabs>
        <w:spacing w:after="240"/>
        <w:ind w:firstLine="0"/>
      </w:pPr>
      <w:bookmarkStart w:id="488" w:name="_Toc444528660"/>
      <w:r w:rsidRPr="009638CB">
        <w:t xml:space="preserve">Attachment </w:t>
      </w:r>
      <w:r w:rsidR="00220545">
        <w:t>D</w:t>
      </w:r>
      <w:r w:rsidRPr="009638CB">
        <w:t xml:space="preserve"> – </w:t>
      </w:r>
      <w:r w:rsidR="002A1F4F" w:rsidRPr="009638CB">
        <w:t>NEC</w:t>
      </w:r>
      <w:r w:rsidR="002A1F4F">
        <w:t>16</w:t>
      </w:r>
      <w:r w:rsidR="002A1F4F" w:rsidRPr="009638CB">
        <w:t xml:space="preserve"> </w:t>
      </w:r>
      <w:r w:rsidRPr="009638CB">
        <w:t>Data Preparation</w:t>
      </w:r>
      <w:bookmarkStart w:id="489" w:name="_Toc412207182"/>
      <w:bookmarkStart w:id="490" w:name="_Toc380754780"/>
      <w:bookmarkStart w:id="491" w:name="_Toc404864917"/>
      <w:bookmarkEnd w:id="486"/>
      <w:bookmarkEnd w:id="488"/>
    </w:p>
    <w:bookmarkEnd w:id="489"/>
    <w:bookmarkEnd w:id="490"/>
    <w:bookmarkEnd w:id="491"/>
    <w:p w:rsidR="002340A8" w:rsidRPr="006044ED" w:rsidRDefault="00AC03BB" w:rsidP="006044ED">
      <w:pPr>
        <w:pStyle w:val="Heading1"/>
        <w:ind w:firstLine="0"/>
        <w:rPr>
          <w:rFonts w:asciiTheme="minorHAnsi" w:hAnsiTheme="minorHAnsi" w:cstheme="minorHAnsi"/>
        </w:rPr>
      </w:pPr>
      <w:r w:rsidRPr="006044ED">
        <w:rPr>
          <w:rFonts w:asciiTheme="minorHAnsi" w:hAnsiTheme="minorHAnsi" w:cstheme="minorHAnsi"/>
          <w:noProof/>
          <w:lang w:eastAsia="en-AU"/>
        </w:rPr>
        <w:drawing>
          <wp:inline distT="0" distB="0" distL="0" distR="0" wp14:anchorId="26453949" wp14:editId="48B36D9A">
            <wp:extent cx="8004412" cy="552783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8042685" cy="5554264"/>
                    </a:xfrm>
                    <a:prstGeom prst="rect">
                      <a:avLst/>
                    </a:prstGeom>
                  </pic:spPr>
                </pic:pic>
              </a:graphicData>
            </a:graphic>
          </wp:inline>
        </w:drawing>
      </w:r>
    </w:p>
    <w:p w:rsidR="002E03ED" w:rsidRPr="006044ED" w:rsidRDefault="002E03ED" w:rsidP="00F328C2">
      <w:pPr>
        <w:rPr>
          <w:rFonts w:cstheme="minorHAnsi"/>
          <w:b/>
          <w:bCs/>
          <w:color w:val="808080" w:themeColor="background1" w:themeShade="80"/>
          <w:sz w:val="16"/>
          <w:szCs w:val="16"/>
        </w:rPr>
        <w:sectPr w:rsidR="002E03ED" w:rsidRPr="006044ED" w:rsidSect="009B622C">
          <w:headerReference w:type="default" r:id="rId42"/>
          <w:type w:val="continuous"/>
          <w:pgSz w:w="16838" w:h="11906" w:orient="landscape"/>
          <w:pgMar w:top="851" w:right="1247" w:bottom="1440" w:left="1440" w:header="170" w:footer="340" w:gutter="0"/>
          <w:cols w:space="708"/>
          <w:docGrid w:linePitch="360"/>
        </w:sectPr>
      </w:pPr>
    </w:p>
    <w:p w:rsidR="002340A8" w:rsidRDefault="002340A8" w:rsidP="002340A8">
      <w:pPr>
        <w:pStyle w:val="ListParagraph"/>
        <w:spacing w:before="6000" w:line="276" w:lineRule="auto"/>
        <w:ind w:left="360"/>
        <w:jc w:val="center"/>
        <w:rPr>
          <w:b/>
          <w:lang w:eastAsia="ja-JP"/>
        </w:rPr>
      </w:pPr>
      <w:r>
        <w:rPr>
          <w:noProof/>
          <w:lang w:eastAsia="en-AU"/>
        </w:rPr>
        <w:drawing>
          <wp:anchor distT="0" distB="0" distL="114300" distR="114300" simplePos="0" relativeHeight="251659776" behindDoc="0" locked="0" layoutInCell="1" allowOverlap="1" wp14:anchorId="26807CBF" wp14:editId="2A3E7006">
            <wp:simplePos x="0" y="0"/>
            <wp:positionH relativeFrom="column">
              <wp:posOffset>2609850</wp:posOffset>
            </wp:positionH>
            <wp:positionV relativeFrom="paragraph">
              <wp:posOffset>2410460</wp:posOffset>
            </wp:positionV>
            <wp:extent cx="1457325" cy="2000885"/>
            <wp:effectExtent l="0" t="0" r="9525" b="0"/>
            <wp:wrapNone/>
            <wp:docPr id="160" name="Picture 160"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457325" cy="2000885"/>
                    </a:xfrm>
                    <a:prstGeom prst="rect">
                      <a:avLst/>
                    </a:prstGeom>
                  </pic:spPr>
                </pic:pic>
              </a:graphicData>
            </a:graphic>
            <wp14:sizeRelH relativeFrom="page">
              <wp14:pctWidth>0</wp14:pctWidth>
            </wp14:sizeRelH>
            <wp14:sizeRelV relativeFrom="page">
              <wp14:pctHeight>0</wp14:pctHeight>
            </wp14:sizeRelV>
          </wp:anchor>
        </w:drawing>
      </w:r>
    </w:p>
    <w:p w:rsidR="002340A8" w:rsidRPr="00A67C51" w:rsidRDefault="002340A8" w:rsidP="002340A8">
      <w:pPr>
        <w:pStyle w:val="ListParagraph"/>
        <w:spacing w:before="4920" w:line="276" w:lineRule="auto"/>
        <w:ind w:left="357"/>
        <w:jc w:val="center"/>
        <w:rPr>
          <w:b/>
          <w:lang w:eastAsia="ja-JP"/>
        </w:rPr>
      </w:pPr>
      <w:r w:rsidRPr="00A67C51">
        <w:rPr>
          <w:b/>
          <w:lang w:eastAsia="ja-JP"/>
        </w:rPr>
        <w:t>Independent Hospital Pricing Authority</w:t>
      </w:r>
    </w:p>
    <w:p w:rsidR="002340A8" w:rsidRDefault="002340A8" w:rsidP="002340A8">
      <w:pPr>
        <w:pStyle w:val="ListParagraph"/>
        <w:spacing w:line="276" w:lineRule="auto"/>
        <w:ind w:left="360"/>
        <w:jc w:val="center"/>
        <w:rPr>
          <w:lang w:eastAsia="ja-JP"/>
        </w:rPr>
      </w:pPr>
      <w:r>
        <w:rPr>
          <w:lang w:eastAsia="ja-JP"/>
        </w:rPr>
        <w:t>Level 6, 1 Oxford Street Sydney NSW 2000   PO Box 483 Darlinghurst NSW 1300</w:t>
      </w:r>
    </w:p>
    <w:p w:rsidR="002340A8" w:rsidRPr="001D1742" w:rsidRDefault="002340A8" w:rsidP="002340A8">
      <w:pPr>
        <w:pStyle w:val="ListParagraph"/>
        <w:spacing w:line="276" w:lineRule="auto"/>
        <w:ind w:left="360"/>
        <w:jc w:val="center"/>
        <w:rPr>
          <w:lang w:eastAsia="ja-JP"/>
        </w:rPr>
      </w:pPr>
      <w:r>
        <w:rPr>
          <w:lang w:eastAsia="ja-JP"/>
        </w:rPr>
        <w:t>P +61 2 8215 1100   F +61 2 8215 1111</w:t>
      </w:r>
    </w:p>
    <w:sectPr w:rsidR="002340A8" w:rsidRPr="001D1742" w:rsidSect="002340A8">
      <w:headerReference w:type="default" r:id="rId44"/>
      <w:footerReference w:type="default" r:id="rId45"/>
      <w:pgSz w:w="11906" w:h="16838"/>
      <w:pgMar w:top="1247" w:right="1440" w:bottom="1440" w:left="851"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88C" w:rsidRDefault="00FE788C" w:rsidP="006A55E0">
      <w:pPr>
        <w:spacing w:after="0"/>
      </w:pPr>
      <w:r>
        <w:separator/>
      </w:r>
    </w:p>
  </w:endnote>
  <w:endnote w:type="continuationSeparator" w:id="0">
    <w:p w:rsidR="00FE788C" w:rsidRDefault="00FE788C" w:rsidP="006A5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Default="00FE7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Default="00FE788C" w:rsidP="004C15AD">
    <w:pPr>
      <w:pStyle w:val="Footer"/>
      <w:jc w:val="right"/>
    </w:pPr>
    <w:r>
      <w:t xml:space="preserve">Page </w:t>
    </w:r>
    <w:r>
      <w:fldChar w:fldCharType="begin"/>
    </w:r>
    <w:r>
      <w:instrText xml:space="preserve"> PAGE   \* MERGEFORMAT </w:instrText>
    </w:r>
    <w:r>
      <w:fldChar w:fldCharType="separate"/>
    </w:r>
    <w:r>
      <w:rPr>
        <w:noProof/>
      </w:rPr>
      <w:t>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7530C">
      <w:rPr>
        <w:noProof/>
      </w:rPr>
      <w:t>72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Default="00FE78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Default="00FE788C" w:rsidP="002049EC">
    <w:pPr>
      <w:pStyle w:val="Footer"/>
      <w:tabs>
        <w:tab w:val="left" w:pos="6765"/>
      </w:tabs>
    </w:pPr>
    <w:r>
      <w:rPr>
        <w:color w:val="808080" w:themeColor="background1" w:themeShade="80"/>
        <w:spacing w:val="60"/>
      </w:rPr>
      <w:t>Page</w:t>
    </w:r>
    <w:r>
      <w:t xml:space="preserve"> | </w:t>
    </w:r>
    <w:r>
      <w:fldChar w:fldCharType="begin"/>
    </w:r>
    <w:r>
      <w:instrText xml:space="preserve"> PAGE   \* MERGEFORMAT </w:instrText>
    </w:r>
    <w:r>
      <w:fldChar w:fldCharType="separate"/>
    </w:r>
    <w:r w:rsidRPr="003A077A">
      <w:rPr>
        <w:b/>
        <w:bCs/>
        <w:noProof/>
      </w:rPr>
      <w:t>2</w:t>
    </w:r>
    <w:r>
      <w:rPr>
        <w:b/>
        <w:bCs/>
        <w:noProof/>
      </w:rPr>
      <w:fldChar w:fldCharType="end"/>
    </w:r>
    <w:r>
      <w:rPr>
        <w:b/>
        <w:bCs/>
        <w:noProof/>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76693"/>
      <w:docPartObj>
        <w:docPartGallery w:val="Page Numbers (Bottom of Page)"/>
        <w:docPartUnique/>
      </w:docPartObj>
    </w:sdtPr>
    <w:sdtEndPr>
      <w:rPr>
        <w:color w:val="808080" w:themeColor="background1" w:themeShade="80"/>
        <w:spacing w:val="60"/>
      </w:rPr>
    </w:sdtEndPr>
    <w:sdtContent>
      <w:p w:rsidR="00FE788C" w:rsidRDefault="00FE788C">
        <w:pPr>
          <w:pStyle w:val="Footer"/>
          <w:pBdr>
            <w:top w:val="single" w:sz="4" w:space="1" w:color="D9D9D9" w:themeColor="background1" w:themeShade="D9"/>
          </w:pBdr>
          <w:rPr>
            <w:b/>
            <w:bCs/>
          </w:rPr>
        </w:pPr>
        <w:r>
          <w:t>Independent Hospital Pricing Authority</w:t>
        </w:r>
        <w:r>
          <w:tab/>
        </w:r>
        <w:r>
          <w:tab/>
        </w:r>
        <w:r>
          <w:fldChar w:fldCharType="begin"/>
        </w:r>
        <w:r>
          <w:instrText xml:space="preserve"> PAGE   \* MERGEFORMAT </w:instrText>
        </w:r>
        <w:r>
          <w:fldChar w:fldCharType="separate"/>
        </w:r>
        <w:r w:rsidR="0027530C" w:rsidRPr="0027530C">
          <w:rPr>
            <w:b/>
            <w:bCs/>
            <w:noProof/>
          </w:rPr>
          <w:t>19</w:t>
        </w:r>
        <w:r>
          <w:rPr>
            <w:b/>
            <w:bCs/>
            <w:noProof/>
          </w:rPr>
          <w:fldChar w:fldCharType="end"/>
        </w:r>
        <w:r>
          <w:rPr>
            <w:b/>
            <w:bCs/>
          </w:rPr>
          <w:t xml:space="preserve"> | </w:t>
        </w:r>
        <w:r>
          <w:rPr>
            <w:color w:val="808080" w:themeColor="background1" w:themeShade="80"/>
            <w:spacing w:val="60"/>
          </w:rPr>
          <w:t>Page</w:t>
        </w:r>
      </w:p>
    </w:sdtContent>
  </w:sdt>
  <w:p w:rsidR="00FE788C" w:rsidRDefault="00FE78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119796"/>
      <w:docPartObj>
        <w:docPartGallery w:val="Page Numbers (Bottom of Page)"/>
        <w:docPartUnique/>
      </w:docPartObj>
    </w:sdtPr>
    <w:sdtEndPr>
      <w:rPr>
        <w:color w:val="808080" w:themeColor="background1" w:themeShade="80"/>
        <w:spacing w:val="60"/>
      </w:rPr>
    </w:sdtEndPr>
    <w:sdtContent>
      <w:p w:rsidR="00FE788C" w:rsidRDefault="00FE788C" w:rsidP="0079353C">
        <w:pPr>
          <w:pStyle w:val="Footer"/>
          <w:pBdr>
            <w:top w:val="single" w:sz="4" w:space="1" w:color="D9D9D9" w:themeColor="background1" w:themeShade="D9"/>
          </w:pBdr>
          <w:rPr>
            <w:b/>
            <w:bCs/>
          </w:rPr>
        </w:pPr>
        <w:r>
          <w:t>Independent Hospital Pricing Authority</w:t>
        </w:r>
        <w:r>
          <w:tab/>
        </w:r>
        <w:r>
          <w:tab/>
        </w:r>
        <w:r>
          <w:fldChar w:fldCharType="begin"/>
        </w:r>
        <w:r>
          <w:instrText xml:space="preserve"> PAGE   \* MERGEFORMAT </w:instrText>
        </w:r>
        <w:r>
          <w:fldChar w:fldCharType="separate"/>
        </w:r>
        <w:r w:rsidR="0027530C" w:rsidRPr="0027530C">
          <w:rPr>
            <w:b/>
            <w:bCs/>
            <w:noProof/>
          </w:rPr>
          <w:t>1</w:t>
        </w:r>
        <w:r>
          <w:rPr>
            <w:b/>
            <w:bCs/>
            <w:noProof/>
          </w:rPr>
          <w:fldChar w:fldCharType="end"/>
        </w:r>
        <w:r>
          <w:rPr>
            <w:b/>
            <w:bCs/>
          </w:rPr>
          <w:t xml:space="preserve"> | </w:t>
        </w:r>
        <w:r>
          <w:rPr>
            <w:color w:val="808080" w:themeColor="background1" w:themeShade="80"/>
            <w:spacing w:val="60"/>
          </w:rPr>
          <w:t>Page</w:t>
        </w:r>
      </w:p>
    </w:sdtContent>
  </w:sdt>
  <w:p w:rsidR="00FE788C" w:rsidRDefault="00FE78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Pr="005571FF" w:rsidRDefault="00FE788C" w:rsidP="002049EC">
    <w:pPr>
      <w:pStyle w:val="Footer"/>
      <w:pBdr>
        <w:top w:val="single" w:sz="4" w:space="1" w:color="auto"/>
      </w:pBdr>
      <w:jc w:val="center"/>
      <w:rPr>
        <w:b/>
        <w:color w:val="808080"/>
        <w:szCs w:val="20"/>
      </w:rPr>
    </w:pPr>
    <w:r w:rsidRPr="005571FF">
      <w:rPr>
        <w:b/>
        <w:color w:val="7F7F7F"/>
        <w:spacing w:val="60"/>
        <w:szCs w:val="20"/>
      </w:rPr>
      <w:tab/>
    </w:r>
    <w:r w:rsidRPr="005571FF">
      <w:rPr>
        <w:b/>
        <w:color w:val="7F7F7F"/>
        <w:spacing w:val="60"/>
        <w:szCs w:val="20"/>
      </w:rPr>
      <w:tab/>
      <w:t>Page</w:t>
    </w:r>
    <w:r w:rsidRPr="005571FF">
      <w:rPr>
        <w:b/>
        <w:color w:val="808080"/>
        <w:szCs w:val="20"/>
      </w:rPr>
      <w:t xml:space="preserve"> | </w:t>
    </w:r>
    <w:r w:rsidRPr="005571FF">
      <w:rPr>
        <w:b/>
        <w:color w:val="808080"/>
        <w:szCs w:val="20"/>
      </w:rPr>
      <w:fldChar w:fldCharType="begin"/>
    </w:r>
    <w:r w:rsidRPr="005571FF">
      <w:rPr>
        <w:b/>
        <w:color w:val="808080"/>
        <w:szCs w:val="20"/>
      </w:rPr>
      <w:instrText xml:space="preserve"> PAGE   \* MERGEFORMAT </w:instrText>
    </w:r>
    <w:r w:rsidRPr="005571FF">
      <w:rPr>
        <w:b/>
        <w:color w:val="808080"/>
        <w:szCs w:val="20"/>
      </w:rPr>
      <w:fldChar w:fldCharType="separate"/>
    </w:r>
    <w:r w:rsidR="0027530C">
      <w:rPr>
        <w:b/>
        <w:noProof/>
        <w:color w:val="808080"/>
        <w:szCs w:val="20"/>
      </w:rPr>
      <w:t>70</w:t>
    </w:r>
    <w:r w:rsidRPr="005571FF">
      <w:rPr>
        <w:b/>
        <w:color w:val="808080"/>
        <w:szCs w:val="20"/>
      </w:rPr>
      <w:fldChar w:fldCharType="end"/>
    </w:r>
    <w:r w:rsidRPr="005571FF">
      <w:rPr>
        <w:b/>
        <w:color w:val="808080"/>
        <w:szCs w:val="20"/>
      </w:rPr>
      <w:t xml:space="preserve"> </w:t>
    </w:r>
  </w:p>
  <w:p w:rsidR="00FE788C" w:rsidRDefault="00FE788C">
    <w:pPr>
      <w:pStyle w:val="Footer"/>
    </w:pPr>
    <w:r>
      <w:t>Independent Hospital Pricing Authority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Pr="005571FF" w:rsidRDefault="00FE788C" w:rsidP="00EB1CFF">
    <w:pPr>
      <w:pStyle w:val="Footer"/>
      <w:rPr>
        <w:b/>
        <w:color w:val="80808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88C" w:rsidRDefault="00FE788C" w:rsidP="006A55E0">
      <w:pPr>
        <w:spacing w:after="0"/>
      </w:pPr>
      <w:r>
        <w:separator/>
      </w:r>
    </w:p>
  </w:footnote>
  <w:footnote w:type="continuationSeparator" w:id="0">
    <w:p w:rsidR="00FE788C" w:rsidRDefault="00FE788C" w:rsidP="006A55E0">
      <w:pPr>
        <w:spacing w:after="0"/>
      </w:pPr>
      <w:r>
        <w:continuationSeparator/>
      </w:r>
    </w:p>
  </w:footnote>
  <w:footnote w:id="1">
    <w:p w:rsidR="00FE788C" w:rsidRDefault="00FE788C" w:rsidP="00077336">
      <w:pPr>
        <w:pStyle w:val="FootnoteText"/>
      </w:pPr>
      <w:r>
        <w:rPr>
          <w:rStyle w:val="FootnoteReference"/>
        </w:rPr>
        <w:footnoteRef/>
      </w:r>
      <w:r>
        <w:t xml:space="preserve"> For a list of block funded hospitals see Appendix A of the </w:t>
      </w:r>
      <w:r w:rsidRPr="009645A3">
        <w:rPr>
          <w:i/>
        </w:rPr>
        <w:t xml:space="preserve">National Efficient Cost  Determination </w:t>
      </w:r>
      <w:r>
        <w:rPr>
          <w:i/>
        </w:rPr>
        <w:t>2016-17</w:t>
      </w:r>
    </w:p>
  </w:footnote>
  <w:footnote w:id="2">
    <w:p w:rsidR="00FE788C" w:rsidRPr="003D4326" w:rsidRDefault="00FE788C" w:rsidP="00460371">
      <w:pPr>
        <w:pStyle w:val="FootnoteText"/>
        <w:rPr>
          <w:lang w:val="en-AU"/>
        </w:rPr>
      </w:pPr>
      <w:r w:rsidRPr="003D4326">
        <w:rPr>
          <w:rStyle w:val="FootnoteReference"/>
          <w:lang w:val="en-AU"/>
        </w:rPr>
        <w:footnoteRef/>
      </w:r>
      <w:r w:rsidRPr="003D4326">
        <w:rPr>
          <w:lang w:val="en-AU"/>
        </w:rPr>
        <w:t xml:space="preserve"> Details of each of the classifications are available from:</w:t>
      </w:r>
    </w:p>
    <w:p w:rsidR="00FE788C" w:rsidRPr="003D4326" w:rsidRDefault="00FE788C" w:rsidP="00460371">
      <w:pPr>
        <w:pStyle w:val="FootnoteText"/>
        <w:ind w:right="-143"/>
        <w:rPr>
          <w:lang w:val="en-AU"/>
        </w:rPr>
      </w:pPr>
      <w:r w:rsidRPr="00455EF2">
        <w:rPr>
          <w:lang w:val="en-AU"/>
        </w:rPr>
        <w:t>http://www.ihpa.gov.au/internet/ihpa/publishing.nsf/Content/Classifications</w:t>
      </w:r>
    </w:p>
  </w:footnote>
  <w:footnote w:id="3">
    <w:p w:rsidR="00FE788C" w:rsidRDefault="00FE788C" w:rsidP="00460371">
      <w:pPr>
        <w:pStyle w:val="FootnoteText"/>
      </w:pPr>
      <w:r>
        <w:rPr>
          <w:rStyle w:val="FootnoteReference"/>
        </w:rPr>
        <w:footnoteRef/>
      </w:r>
      <w:r>
        <w:t xml:space="preserve"> See Glossary Item </w:t>
      </w:r>
      <w:r w:rsidRPr="008748DF">
        <w:rPr>
          <w:i/>
        </w:rPr>
        <w:t>Newborn qualification status</w:t>
      </w:r>
      <w:r>
        <w:t xml:space="preserve"> [</w:t>
      </w:r>
      <w:proofErr w:type="spellStart"/>
      <w:r>
        <w:t>METeOR</w:t>
      </w:r>
      <w:proofErr w:type="spellEnd"/>
      <w:r>
        <w:t xml:space="preserve"> identifier: 327254] </w:t>
      </w:r>
    </w:p>
  </w:footnote>
  <w:footnote w:id="4">
    <w:p w:rsidR="00FE788C" w:rsidRPr="003D4326" w:rsidRDefault="00FE788C" w:rsidP="00460371">
      <w:pPr>
        <w:pStyle w:val="FootnoteText"/>
        <w:rPr>
          <w:lang w:val="en-AU"/>
        </w:rPr>
      </w:pPr>
      <w:r w:rsidRPr="003D4326">
        <w:rPr>
          <w:rStyle w:val="FootnoteReference"/>
          <w:lang w:val="en-AU"/>
        </w:rPr>
        <w:footnoteRef/>
      </w:r>
      <w:r w:rsidRPr="003D4326">
        <w:rPr>
          <w:lang w:val="en-AU"/>
        </w:rPr>
        <w:t xml:space="preserve"> See object class </w:t>
      </w:r>
      <w:r w:rsidRPr="003D4326">
        <w:rPr>
          <w:i/>
          <w:lang w:val="en-AU"/>
        </w:rPr>
        <w:t>Episode of admitted patient care</w:t>
      </w:r>
      <w:r w:rsidRPr="003D4326">
        <w:rPr>
          <w:lang w:val="en-AU"/>
        </w:rPr>
        <w:t xml:space="preserve"> [</w:t>
      </w:r>
      <w:proofErr w:type="spellStart"/>
      <w:r w:rsidRPr="003D4326">
        <w:rPr>
          <w:lang w:val="en-AU"/>
        </w:rPr>
        <w:t>METeOR</w:t>
      </w:r>
      <w:proofErr w:type="spellEnd"/>
      <w:r w:rsidRPr="003D4326">
        <w:rPr>
          <w:lang w:val="en-AU"/>
        </w:rPr>
        <w:t xml:space="preserve"> identifier: </w:t>
      </w:r>
      <w:r w:rsidRPr="00E33EAE">
        <w:rPr>
          <w:lang w:val="en-AU"/>
        </w:rPr>
        <w:t>268956</w:t>
      </w:r>
      <w:r>
        <w:rPr>
          <w:lang w:val="en-AU"/>
        </w:rPr>
        <w:t>]</w:t>
      </w:r>
      <w:r w:rsidRPr="00771DEF">
        <w:rPr>
          <w:lang w:val="en-AU"/>
        </w:rPr>
        <w:t>.</w:t>
      </w:r>
    </w:p>
  </w:footnote>
  <w:footnote w:id="5">
    <w:p w:rsidR="00FE788C" w:rsidRPr="003D4326" w:rsidRDefault="00FE788C" w:rsidP="00460371">
      <w:pPr>
        <w:pStyle w:val="FootnoteText"/>
        <w:spacing w:before="0"/>
        <w:rPr>
          <w:lang w:val="en-AU"/>
        </w:rPr>
      </w:pPr>
      <w:r w:rsidRPr="003D4326">
        <w:rPr>
          <w:rStyle w:val="FootnoteReference"/>
          <w:lang w:val="en-AU"/>
        </w:rPr>
        <w:footnoteRef/>
      </w:r>
      <w:r w:rsidRPr="003D4326">
        <w:rPr>
          <w:lang w:val="en-AU"/>
        </w:rPr>
        <w:t xml:space="preserve"> See data element </w:t>
      </w:r>
      <w:r w:rsidRPr="003D4326">
        <w:rPr>
          <w:i/>
          <w:lang w:val="en-AU"/>
        </w:rPr>
        <w:t>Care type</w:t>
      </w:r>
      <w:r w:rsidRPr="003D4326">
        <w:rPr>
          <w:lang w:val="en-AU"/>
        </w:rPr>
        <w:t xml:space="preserve"> </w:t>
      </w:r>
      <w:r w:rsidRPr="00DF77B4">
        <w:rPr>
          <w:lang w:val="en-AU"/>
        </w:rPr>
        <w:t>[</w:t>
      </w:r>
      <w:proofErr w:type="spellStart"/>
      <w:r w:rsidRPr="00E33EAE">
        <w:rPr>
          <w:lang w:val="en-AU"/>
        </w:rPr>
        <w:t>METeOR</w:t>
      </w:r>
      <w:proofErr w:type="spellEnd"/>
      <w:r w:rsidRPr="00E33EAE">
        <w:rPr>
          <w:lang w:val="en-AU"/>
        </w:rPr>
        <w:t xml:space="preserve"> identifier: 584408],</w:t>
      </w:r>
    </w:p>
  </w:footnote>
  <w:footnote w:id="6">
    <w:p w:rsidR="00FE788C" w:rsidRPr="003D4326" w:rsidRDefault="00FE788C" w:rsidP="00460371">
      <w:pPr>
        <w:pStyle w:val="FootnoteText"/>
        <w:rPr>
          <w:lang w:val="en-AU"/>
        </w:rPr>
      </w:pPr>
      <w:r w:rsidRPr="003D4326">
        <w:rPr>
          <w:rStyle w:val="FootnoteReference"/>
          <w:lang w:val="en-AU"/>
        </w:rPr>
        <w:footnoteRef/>
      </w:r>
      <w:r w:rsidRPr="003D4326">
        <w:rPr>
          <w:lang w:val="en-AU"/>
        </w:rPr>
        <w:t xml:space="preserve"> See data element </w:t>
      </w:r>
      <w:r w:rsidRPr="003D4326">
        <w:rPr>
          <w:i/>
          <w:lang w:val="en-AU"/>
        </w:rPr>
        <w:t>Number of qualified days for newborns</w:t>
      </w:r>
      <w:r w:rsidRPr="003D4326">
        <w:rPr>
          <w:lang w:val="en-AU"/>
        </w:rPr>
        <w:t xml:space="preserve"> [</w:t>
      </w:r>
      <w:proofErr w:type="spellStart"/>
      <w:r w:rsidRPr="003D4326">
        <w:rPr>
          <w:lang w:val="en-AU"/>
        </w:rPr>
        <w:t>METeOR</w:t>
      </w:r>
      <w:proofErr w:type="spellEnd"/>
      <w:r w:rsidRPr="003D4326">
        <w:rPr>
          <w:lang w:val="en-AU"/>
        </w:rPr>
        <w:t xml:space="preserve"> identifier: 270033]</w:t>
      </w:r>
      <w:r>
        <w:rPr>
          <w:lang w:val="en-AU"/>
        </w:rPr>
        <w:t>.</w:t>
      </w:r>
    </w:p>
  </w:footnote>
  <w:footnote w:id="7">
    <w:p w:rsidR="00FE788C" w:rsidRPr="003D4326" w:rsidRDefault="00FE788C" w:rsidP="00460371">
      <w:pPr>
        <w:pStyle w:val="FootnoteText"/>
        <w:rPr>
          <w:lang w:val="en-AU"/>
        </w:rPr>
      </w:pPr>
      <w:r w:rsidRPr="003D4326">
        <w:rPr>
          <w:rStyle w:val="FootnoteReference"/>
          <w:lang w:val="en-AU"/>
        </w:rPr>
        <w:footnoteRef/>
      </w:r>
      <w:r w:rsidRPr="003D4326">
        <w:rPr>
          <w:lang w:val="en-AU"/>
        </w:rPr>
        <w:t xml:space="preserve"> See data element </w:t>
      </w:r>
      <w:proofErr w:type="gramStart"/>
      <w:r w:rsidRPr="003D4326">
        <w:rPr>
          <w:i/>
          <w:lang w:val="en-AU"/>
        </w:rPr>
        <w:t>Funding</w:t>
      </w:r>
      <w:proofErr w:type="gramEnd"/>
      <w:r w:rsidRPr="003D4326">
        <w:rPr>
          <w:i/>
          <w:lang w:val="en-AU"/>
        </w:rPr>
        <w:t xml:space="preserve"> source for hospital patient </w:t>
      </w:r>
      <w:r w:rsidRPr="003D4326">
        <w:rPr>
          <w:lang w:val="en-AU"/>
        </w:rPr>
        <w:t>[</w:t>
      </w:r>
      <w:proofErr w:type="spellStart"/>
      <w:r w:rsidRPr="003D4326">
        <w:rPr>
          <w:lang w:val="en-AU"/>
        </w:rPr>
        <w:t>METeOR</w:t>
      </w:r>
      <w:proofErr w:type="spellEnd"/>
      <w:r w:rsidRPr="003D4326">
        <w:rPr>
          <w:lang w:val="en-AU"/>
        </w:rPr>
        <w:t xml:space="preserve"> identifier: </w:t>
      </w:r>
      <w:r>
        <w:rPr>
          <w:lang w:val="en-AU"/>
        </w:rPr>
        <w:t>553314</w:t>
      </w:r>
      <w:r w:rsidRPr="003D4326">
        <w:rPr>
          <w:lang w:val="en-AU"/>
        </w:rPr>
        <w:t>]</w:t>
      </w:r>
      <w:r>
        <w:rPr>
          <w:lang w:val="en-AU"/>
        </w:rPr>
        <w:t>.</w:t>
      </w:r>
    </w:p>
  </w:footnote>
  <w:footnote w:id="8">
    <w:p w:rsidR="00FE788C" w:rsidRPr="003D4326" w:rsidRDefault="00FE788C" w:rsidP="00460371">
      <w:pPr>
        <w:pStyle w:val="FootnoteText"/>
        <w:rPr>
          <w:lang w:val="en-AU"/>
        </w:rPr>
      </w:pPr>
      <w:r w:rsidRPr="003D4326">
        <w:rPr>
          <w:rStyle w:val="FootnoteReference"/>
          <w:lang w:val="en-AU"/>
        </w:rPr>
        <w:footnoteRef/>
      </w:r>
      <w:r w:rsidRPr="003D4326">
        <w:rPr>
          <w:lang w:val="en-AU"/>
        </w:rPr>
        <w:t xml:space="preserve"> See data element </w:t>
      </w:r>
      <w:r w:rsidRPr="003D4326">
        <w:rPr>
          <w:i/>
          <w:lang w:val="en-AU"/>
        </w:rPr>
        <w:t>Indigenous status</w:t>
      </w:r>
      <w:r w:rsidRPr="003D4326">
        <w:rPr>
          <w:lang w:val="en-AU"/>
        </w:rPr>
        <w:t xml:space="preserve"> [</w:t>
      </w:r>
      <w:proofErr w:type="spellStart"/>
      <w:r w:rsidRPr="003D4326">
        <w:rPr>
          <w:lang w:val="en-AU"/>
        </w:rPr>
        <w:t>METeOR</w:t>
      </w:r>
      <w:proofErr w:type="spellEnd"/>
      <w:r w:rsidRPr="003D4326">
        <w:rPr>
          <w:lang w:val="en-AU"/>
        </w:rPr>
        <w:t xml:space="preserve"> identifier: 291036].</w:t>
      </w:r>
    </w:p>
  </w:footnote>
  <w:footnote w:id="9">
    <w:p w:rsidR="00FE788C" w:rsidRPr="003D4326" w:rsidRDefault="00FE788C" w:rsidP="00460371">
      <w:pPr>
        <w:pStyle w:val="FootnoteText"/>
        <w:rPr>
          <w:lang w:val="en-AU"/>
        </w:rPr>
      </w:pPr>
      <w:r w:rsidRPr="003D4326">
        <w:rPr>
          <w:rStyle w:val="FootnoteReference"/>
          <w:lang w:val="en-AU"/>
        </w:rPr>
        <w:footnoteRef/>
      </w:r>
      <w:r w:rsidRPr="003D4326">
        <w:rPr>
          <w:lang w:val="en-AU"/>
        </w:rPr>
        <w:t xml:space="preserve"> Remoteness areas are defined in the </w:t>
      </w:r>
      <w:r w:rsidRPr="003D4326">
        <w:rPr>
          <w:i/>
          <w:lang w:val="en-AU"/>
        </w:rPr>
        <w:t xml:space="preserve">Australian Standard Geographic </w:t>
      </w:r>
      <w:r>
        <w:rPr>
          <w:i/>
          <w:lang w:val="en-AU"/>
        </w:rPr>
        <w:t>Standard</w:t>
      </w:r>
      <w:r w:rsidRPr="003D4326">
        <w:rPr>
          <w:i/>
          <w:lang w:val="en-AU"/>
        </w:rPr>
        <w:t xml:space="preserve"> (ASG</w:t>
      </w:r>
      <w:r>
        <w:rPr>
          <w:i/>
          <w:lang w:val="en-AU"/>
        </w:rPr>
        <w:t>S</w:t>
      </w:r>
      <w:r w:rsidRPr="003D4326">
        <w:rPr>
          <w:i/>
          <w:lang w:val="en-AU"/>
        </w:rPr>
        <w:t xml:space="preserve">), </w:t>
      </w:r>
      <w:r w:rsidRPr="003D4326">
        <w:rPr>
          <w:lang w:val="en-AU"/>
        </w:rPr>
        <w:t xml:space="preserve">which is maintained by the Australian Bureau of </w:t>
      </w:r>
      <w:r w:rsidRPr="00A00895">
        <w:rPr>
          <w:szCs w:val="16"/>
          <w:lang w:val="en-AU"/>
        </w:rPr>
        <w:t xml:space="preserve">Statistics (see: </w:t>
      </w:r>
      <w:hyperlink r:id="rId1" w:history="1">
        <w:r w:rsidRPr="00A00895">
          <w:rPr>
            <w:rStyle w:val="Hyperlink"/>
            <w:sz w:val="16"/>
            <w:szCs w:val="16"/>
            <w:lang w:val="en-AU"/>
          </w:rPr>
          <w:t>www.abs.gov.au</w:t>
        </w:r>
      </w:hyperlink>
      <w:r w:rsidRPr="00A00895">
        <w:rPr>
          <w:szCs w:val="16"/>
          <w:lang w:val="en-AU"/>
        </w:rPr>
        <w:t>).</w:t>
      </w:r>
      <w:r w:rsidRPr="003D4326">
        <w:rPr>
          <w:lang w:val="en-AU"/>
        </w:rPr>
        <w:t xml:space="preserve"> The</w:t>
      </w:r>
      <w:r>
        <w:rPr>
          <w:lang w:val="en-AU"/>
        </w:rPr>
        <w:t xml:space="preserve"> 2011</w:t>
      </w:r>
      <w:r w:rsidRPr="003D4326">
        <w:rPr>
          <w:lang w:val="en-AU"/>
        </w:rPr>
        <w:t xml:space="preserve"> ASG</w:t>
      </w:r>
      <w:r>
        <w:rPr>
          <w:lang w:val="en-AU"/>
        </w:rPr>
        <w:t>S</w:t>
      </w:r>
      <w:r w:rsidRPr="003D4326">
        <w:rPr>
          <w:lang w:val="en-AU"/>
        </w:rPr>
        <w:t xml:space="preserve"> Remoteness Area classification was used to classify patients’ place of residence and locality of hospitals.</w:t>
      </w:r>
    </w:p>
  </w:footnote>
  <w:footnote w:id="10">
    <w:p w:rsidR="00FE788C" w:rsidRPr="003D4326" w:rsidRDefault="00FE788C" w:rsidP="00460371">
      <w:pPr>
        <w:pStyle w:val="FootnoteText"/>
        <w:rPr>
          <w:lang w:val="en-AU"/>
        </w:rPr>
      </w:pPr>
      <w:r w:rsidRPr="00E33EAE">
        <w:rPr>
          <w:rStyle w:val="FootnoteReference"/>
          <w:lang w:val="en-AU"/>
        </w:rPr>
        <w:footnoteRef/>
      </w:r>
      <w:r w:rsidRPr="00E33EAE">
        <w:rPr>
          <w:lang w:val="en-AU"/>
        </w:rPr>
        <w:t xml:space="preserve"> For activity data before 2012-13 see data element </w:t>
      </w:r>
      <w:r w:rsidRPr="00E33EAE">
        <w:rPr>
          <w:i/>
          <w:lang w:val="en-AU"/>
        </w:rPr>
        <w:t xml:space="preserve">Principal source of funding (Funding source for hospital patient) </w:t>
      </w:r>
      <w:r w:rsidRPr="00E33EAE">
        <w:rPr>
          <w:lang w:val="en-AU"/>
        </w:rPr>
        <w:t>[</w:t>
      </w:r>
      <w:proofErr w:type="spellStart"/>
      <w:r w:rsidRPr="00E33EAE">
        <w:rPr>
          <w:lang w:val="en-AU"/>
        </w:rPr>
        <w:t>METeOR</w:t>
      </w:r>
      <w:proofErr w:type="spellEnd"/>
      <w:r w:rsidRPr="00E33EAE">
        <w:rPr>
          <w:lang w:val="en-AU"/>
        </w:rPr>
        <w:t xml:space="preserve"> identifier: 339080], values: 01 Australian Health Care Agreements; 02 Private health insurance; 10 Other hospital or public authority (contracted care); 11 Reciprocal health care agreements (with other countries); 12 other. See Table 3 for relevant codes in 2016-17.</w:t>
      </w:r>
      <w:r>
        <w:rPr>
          <w:lang w:val="en-AU"/>
        </w:rPr>
        <w:t xml:space="preserve"> </w:t>
      </w:r>
    </w:p>
  </w:footnote>
  <w:footnote w:id="11">
    <w:p w:rsidR="00FE788C" w:rsidRPr="003D4326" w:rsidRDefault="00FE788C" w:rsidP="00B32A11">
      <w:pPr>
        <w:pStyle w:val="FootnoteText"/>
        <w:rPr>
          <w:lang w:val="en-AU"/>
        </w:rPr>
      </w:pPr>
      <w:r w:rsidRPr="003D4326">
        <w:rPr>
          <w:rStyle w:val="FootnoteReference"/>
          <w:lang w:val="en-AU"/>
        </w:rPr>
        <w:footnoteRef/>
      </w:r>
      <w:r w:rsidRPr="003D4326">
        <w:rPr>
          <w:lang w:val="en-AU"/>
        </w:rPr>
        <w:t xml:space="preserve"> Data element </w:t>
      </w:r>
      <w:r w:rsidRPr="003D4326">
        <w:rPr>
          <w:i/>
          <w:lang w:val="en-AU"/>
        </w:rPr>
        <w:t>Funding source for hospital patient</w:t>
      </w:r>
      <w:r w:rsidRPr="003D4326">
        <w:rPr>
          <w:lang w:val="en-AU"/>
        </w:rPr>
        <w:t xml:space="preserve"> [</w:t>
      </w:r>
      <w:proofErr w:type="spellStart"/>
      <w:r w:rsidRPr="003D4326">
        <w:rPr>
          <w:lang w:val="en-AU"/>
        </w:rPr>
        <w:t>METeOR</w:t>
      </w:r>
      <w:proofErr w:type="spellEnd"/>
      <w:r w:rsidRPr="003D4326">
        <w:rPr>
          <w:lang w:val="en-AU"/>
        </w:rPr>
        <w:t xml:space="preserve"> identifier: </w:t>
      </w:r>
      <w:r>
        <w:rPr>
          <w:lang w:val="en-AU"/>
        </w:rPr>
        <w:t>553314</w:t>
      </w:r>
      <w:r w:rsidRPr="003D4326">
        <w:rPr>
          <w:lang w:val="en-AU"/>
        </w:rPr>
        <w:t>]</w:t>
      </w:r>
    </w:p>
  </w:footnote>
  <w:footnote w:id="12">
    <w:p w:rsidR="00FE788C" w:rsidRPr="00E33EAE" w:rsidRDefault="00FE788C" w:rsidP="0036490E">
      <w:pPr>
        <w:pStyle w:val="FootnoteText"/>
        <w:spacing w:before="0" w:after="0"/>
      </w:pPr>
      <w:r w:rsidRPr="00E33EAE">
        <w:rPr>
          <w:rStyle w:val="FootnoteReference"/>
        </w:rPr>
        <w:footnoteRef/>
      </w:r>
      <w:r w:rsidRPr="00E33EAE">
        <w:t xml:space="preserve"> Or 1 if Funding Source = 2 or 3 for 2011-12 data or earlier. </w:t>
      </w:r>
    </w:p>
  </w:footnote>
  <w:footnote w:id="13">
    <w:p w:rsidR="00FE788C" w:rsidRDefault="00FE788C" w:rsidP="0036490E">
      <w:pPr>
        <w:pStyle w:val="FootnoteText"/>
        <w:spacing w:before="0" w:after="0"/>
      </w:pPr>
      <w:r w:rsidRPr="00E33EAE">
        <w:rPr>
          <w:rStyle w:val="FootnoteReference"/>
        </w:rPr>
        <w:footnoteRef/>
      </w:r>
      <w:r w:rsidRPr="00E33EAE">
        <w:t xml:space="preserve"> Or 1 if Funding Source = 1, 10 or 11 for 2011-12 data or earlier.</w:t>
      </w:r>
      <w:r>
        <w:t xml:space="preserve"> </w:t>
      </w:r>
    </w:p>
  </w:footnote>
  <w:footnote w:id="14">
    <w:p w:rsidR="00FE788C" w:rsidRPr="003D4326" w:rsidRDefault="00FE788C" w:rsidP="00F51276">
      <w:pPr>
        <w:pStyle w:val="FootnoteText"/>
        <w:rPr>
          <w:lang w:val="en-AU"/>
        </w:rPr>
      </w:pPr>
      <w:r w:rsidRPr="003D4326">
        <w:rPr>
          <w:rStyle w:val="FootnoteReference"/>
          <w:lang w:val="en-AU"/>
        </w:rPr>
        <w:footnoteRef/>
      </w:r>
      <w:r w:rsidRPr="003D4326">
        <w:rPr>
          <w:lang w:val="en-AU"/>
        </w:rPr>
        <w:t xml:space="preserve"> See object class </w:t>
      </w:r>
      <w:r w:rsidRPr="003D4326">
        <w:rPr>
          <w:i/>
          <w:lang w:val="en-AU"/>
        </w:rPr>
        <w:t>Episode of admitted patient care</w:t>
      </w:r>
      <w:r w:rsidRPr="003D4326">
        <w:rPr>
          <w:lang w:val="en-AU"/>
        </w:rPr>
        <w:t xml:space="preserve"> [</w:t>
      </w:r>
      <w:proofErr w:type="spellStart"/>
      <w:r w:rsidRPr="003D4326">
        <w:rPr>
          <w:lang w:val="en-AU"/>
        </w:rPr>
        <w:t>METeOR</w:t>
      </w:r>
      <w:proofErr w:type="spellEnd"/>
      <w:r w:rsidRPr="003D4326">
        <w:rPr>
          <w:lang w:val="en-AU"/>
        </w:rPr>
        <w:t xml:space="preserve"> identifier: 268956].</w:t>
      </w:r>
    </w:p>
  </w:footnote>
  <w:footnote w:id="15">
    <w:p w:rsidR="00FE788C" w:rsidRPr="003D4326" w:rsidRDefault="00FE788C" w:rsidP="00F51276">
      <w:pPr>
        <w:pStyle w:val="FootnoteText"/>
        <w:spacing w:before="0"/>
        <w:rPr>
          <w:lang w:val="en-AU"/>
        </w:rPr>
      </w:pPr>
      <w:r w:rsidRPr="003D4326">
        <w:rPr>
          <w:rStyle w:val="FootnoteReference"/>
          <w:lang w:val="en-AU"/>
        </w:rPr>
        <w:footnoteRef/>
      </w:r>
      <w:r w:rsidRPr="003D4326">
        <w:rPr>
          <w:lang w:val="en-AU"/>
        </w:rPr>
        <w:t xml:space="preserve"> See glossary item </w:t>
      </w:r>
      <w:r w:rsidRPr="003D4326">
        <w:rPr>
          <w:i/>
          <w:lang w:val="en-AU"/>
        </w:rPr>
        <w:t>Admission</w:t>
      </w:r>
      <w:r w:rsidRPr="003D4326">
        <w:rPr>
          <w:lang w:val="en-AU"/>
        </w:rPr>
        <w:t xml:space="preserve"> [</w:t>
      </w:r>
      <w:proofErr w:type="spellStart"/>
      <w:r w:rsidRPr="003D4326">
        <w:rPr>
          <w:lang w:val="en-AU"/>
        </w:rPr>
        <w:t>METeOR</w:t>
      </w:r>
      <w:proofErr w:type="spellEnd"/>
      <w:r w:rsidRPr="003D4326">
        <w:rPr>
          <w:lang w:val="en-AU"/>
        </w:rPr>
        <w:t xml:space="preserve"> identifier: 327206].</w:t>
      </w:r>
    </w:p>
  </w:footnote>
  <w:footnote w:id="16">
    <w:p w:rsidR="00FE788C" w:rsidRPr="003D4326" w:rsidRDefault="00FE788C" w:rsidP="00F51276">
      <w:pPr>
        <w:pStyle w:val="FootnoteText"/>
        <w:rPr>
          <w:lang w:val="en-AU"/>
        </w:rPr>
      </w:pPr>
      <w:r w:rsidRPr="003D4326">
        <w:rPr>
          <w:rStyle w:val="FootnoteReference"/>
          <w:lang w:val="en-AU"/>
        </w:rPr>
        <w:footnoteRef/>
      </w:r>
      <w:r w:rsidRPr="003D4326">
        <w:rPr>
          <w:lang w:val="en-AU"/>
        </w:rPr>
        <w:t xml:space="preserve"> See object class </w:t>
      </w:r>
      <w:r w:rsidRPr="003D4326">
        <w:rPr>
          <w:i/>
          <w:lang w:val="en-AU"/>
        </w:rPr>
        <w:t>Episode of admitted patient care</w:t>
      </w:r>
      <w:r w:rsidRPr="003D4326">
        <w:rPr>
          <w:lang w:val="en-AU"/>
        </w:rPr>
        <w:t xml:space="preserve"> [</w:t>
      </w:r>
      <w:proofErr w:type="spellStart"/>
      <w:r w:rsidRPr="003D4326">
        <w:rPr>
          <w:lang w:val="en-AU"/>
        </w:rPr>
        <w:t>METeOR</w:t>
      </w:r>
      <w:proofErr w:type="spellEnd"/>
      <w:r w:rsidRPr="003D4326">
        <w:rPr>
          <w:lang w:val="en-AU"/>
        </w:rPr>
        <w:t xml:space="preserve"> identifier: 268956].</w:t>
      </w:r>
    </w:p>
  </w:footnote>
  <w:footnote w:id="17">
    <w:p w:rsidR="00FE788C" w:rsidRPr="003D4326" w:rsidRDefault="00FE788C" w:rsidP="00F51276">
      <w:pPr>
        <w:pStyle w:val="FootnoteText"/>
        <w:rPr>
          <w:lang w:val="en-AU"/>
        </w:rPr>
      </w:pPr>
      <w:r w:rsidRPr="003D4326">
        <w:rPr>
          <w:rStyle w:val="FootnoteReference"/>
          <w:lang w:val="en-AU"/>
        </w:rPr>
        <w:footnoteRef/>
      </w:r>
      <w:r w:rsidRPr="003D4326">
        <w:rPr>
          <w:lang w:val="en-AU"/>
        </w:rPr>
        <w:t xml:space="preserve"> Ibid.</w:t>
      </w:r>
    </w:p>
  </w:footnote>
  <w:footnote w:id="18">
    <w:p w:rsidR="00FE788C" w:rsidRPr="003D4326" w:rsidRDefault="00FE788C" w:rsidP="00F51276">
      <w:pPr>
        <w:pStyle w:val="FootnoteText"/>
        <w:spacing w:before="0"/>
        <w:rPr>
          <w:lang w:val="en-AU"/>
        </w:rPr>
      </w:pPr>
      <w:r w:rsidRPr="003D4326">
        <w:rPr>
          <w:rStyle w:val="FootnoteReference"/>
          <w:lang w:val="en-AU"/>
        </w:rPr>
        <w:footnoteRef/>
      </w:r>
      <w:r w:rsidRPr="003D4326">
        <w:rPr>
          <w:lang w:val="en-AU"/>
        </w:rPr>
        <w:t xml:space="preserve"> See glossary item </w:t>
      </w:r>
      <w:r w:rsidRPr="003D4326">
        <w:rPr>
          <w:i/>
          <w:lang w:val="en-AU"/>
        </w:rPr>
        <w:t>Admission</w:t>
      </w:r>
      <w:r w:rsidRPr="003D4326">
        <w:rPr>
          <w:lang w:val="en-AU"/>
        </w:rPr>
        <w:t xml:space="preserve"> [</w:t>
      </w:r>
      <w:proofErr w:type="spellStart"/>
      <w:r w:rsidRPr="003D4326">
        <w:rPr>
          <w:lang w:val="en-AU"/>
        </w:rPr>
        <w:t>METeOR</w:t>
      </w:r>
      <w:proofErr w:type="spellEnd"/>
      <w:r w:rsidRPr="003D4326">
        <w:rPr>
          <w:lang w:val="en-AU"/>
        </w:rPr>
        <w:t xml:space="preserve"> identifier: 327206].</w:t>
      </w:r>
    </w:p>
  </w:footnote>
  <w:footnote w:id="19">
    <w:p w:rsidR="00FE788C" w:rsidRPr="006E13C4" w:rsidRDefault="00FE788C" w:rsidP="00F51276">
      <w:pPr>
        <w:pStyle w:val="FootnoteText"/>
        <w:spacing w:before="0" w:after="0"/>
      </w:pPr>
      <w:r w:rsidRPr="006E13C4">
        <w:rPr>
          <w:rStyle w:val="FootnoteReference"/>
        </w:rPr>
        <w:footnoteRef/>
      </w:r>
      <w:r w:rsidRPr="006E13C4">
        <w:t xml:space="preserve"> Or 1 if Funding Source = 2 or 3 for 2011-12 data or earlier. </w:t>
      </w:r>
    </w:p>
  </w:footnote>
  <w:footnote w:id="20">
    <w:p w:rsidR="00FE788C" w:rsidRDefault="00FE788C" w:rsidP="00F51276">
      <w:pPr>
        <w:pStyle w:val="FootnoteText"/>
        <w:spacing w:before="0" w:after="0"/>
      </w:pPr>
      <w:r w:rsidRPr="006E13C4">
        <w:rPr>
          <w:rStyle w:val="FootnoteReference"/>
        </w:rPr>
        <w:footnoteRef/>
      </w:r>
      <w:r w:rsidRPr="006E13C4">
        <w:t xml:space="preserve"> Or 1 if Funding Source = 1, 10 or 11 for 2011-12 data or earlier.</w:t>
      </w:r>
      <w:r>
        <w:t xml:space="preserve"> </w:t>
      </w:r>
    </w:p>
  </w:footnote>
  <w:footnote w:id="21">
    <w:p w:rsidR="00FE788C" w:rsidRPr="003D4326" w:rsidRDefault="00FE788C" w:rsidP="00460371">
      <w:pPr>
        <w:pStyle w:val="FootnoteText"/>
        <w:rPr>
          <w:lang w:val="en-AU"/>
        </w:rPr>
      </w:pPr>
      <w:r w:rsidRPr="003D4326">
        <w:rPr>
          <w:rStyle w:val="FootnoteReference"/>
          <w:lang w:val="en-AU"/>
        </w:rPr>
        <w:footnoteRef/>
      </w:r>
      <w:r w:rsidRPr="003D4326">
        <w:rPr>
          <w:lang w:val="en-AU"/>
        </w:rPr>
        <w:t xml:space="preserve"> See </w:t>
      </w:r>
      <w:r w:rsidRPr="0047578A">
        <w:rPr>
          <w:i/>
          <w:lang w:val="en-AU"/>
        </w:rPr>
        <w:t xml:space="preserve">Emergency department </w:t>
      </w:r>
      <w:r>
        <w:rPr>
          <w:i/>
          <w:lang w:val="en-AU"/>
        </w:rPr>
        <w:t>stay – presentation date, DDMMYYYY</w:t>
      </w:r>
      <w:r>
        <w:rPr>
          <w:lang w:val="en-AU"/>
        </w:rPr>
        <w:t xml:space="preserve"> [</w:t>
      </w:r>
      <w:proofErr w:type="spellStart"/>
      <w:r>
        <w:rPr>
          <w:lang w:val="en-AU"/>
        </w:rPr>
        <w:t>METeOR</w:t>
      </w:r>
      <w:proofErr w:type="spellEnd"/>
      <w:r>
        <w:rPr>
          <w:lang w:val="en-AU"/>
        </w:rPr>
        <w:t xml:space="preserve"> identifier: 471886].</w:t>
      </w:r>
    </w:p>
  </w:footnote>
  <w:footnote w:id="22">
    <w:p w:rsidR="00FE788C" w:rsidRPr="003D4326" w:rsidRDefault="00FE788C" w:rsidP="00460371">
      <w:pPr>
        <w:pStyle w:val="FootnoteText"/>
        <w:rPr>
          <w:lang w:val="en-AU"/>
        </w:rPr>
      </w:pPr>
      <w:r w:rsidRPr="003D4326">
        <w:rPr>
          <w:rStyle w:val="FootnoteReference"/>
          <w:lang w:val="en-AU"/>
        </w:rPr>
        <w:footnoteRef/>
      </w:r>
      <w:r w:rsidRPr="003D4326">
        <w:rPr>
          <w:lang w:val="en-AU"/>
        </w:rPr>
        <w:t xml:space="preserve"> See object class </w:t>
      </w:r>
      <w:r w:rsidRPr="003D4326">
        <w:rPr>
          <w:i/>
          <w:lang w:val="en-AU"/>
        </w:rPr>
        <w:t>Non-admitted patient service event</w:t>
      </w:r>
      <w:r w:rsidRPr="003D4326">
        <w:rPr>
          <w:lang w:val="en-AU"/>
        </w:rPr>
        <w:t xml:space="preserve"> [</w:t>
      </w:r>
      <w:proofErr w:type="spellStart"/>
      <w:r w:rsidRPr="003D4326">
        <w:rPr>
          <w:lang w:val="en-AU"/>
        </w:rPr>
        <w:t>METeOR</w:t>
      </w:r>
      <w:proofErr w:type="spellEnd"/>
      <w:r w:rsidRPr="003D4326">
        <w:rPr>
          <w:lang w:val="en-AU"/>
        </w:rPr>
        <w:t xml:space="preserve"> identifier:</w:t>
      </w:r>
      <w:r>
        <w:rPr>
          <w:lang w:val="en-AU"/>
        </w:rPr>
        <w:t xml:space="preserve"> </w:t>
      </w:r>
      <w:r w:rsidRPr="00E120AF">
        <w:rPr>
          <w:lang w:val="en-AU"/>
        </w:rPr>
        <w:t>400604</w:t>
      </w:r>
      <w:r w:rsidRPr="003D4326">
        <w:rPr>
          <w:lang w:val="en-AU"/>
        </w:rPr>
        <w:t>].</w:t>
      </w:r>
    </w:p>
  </w:footnote>
  <w:footnote w:id="23">
    <w:p w:rsidR="00FE788C" w:rsidRDefault="00FE788C" w:rsidP="00460371">
      <w:pPr>
        <w:pStyle w:val="FootnoteText"/>
      </w:pPr>
      <w:r>
        <w:rPr>
          <w:rStyle w:val="FootnoteReference"/>
        </w:rPr>
        <w:footnoteRef/>
      </w:r>
      <w:r>
        <w:t xml:space="preserve"> That is, activity from patient costed sites within the National Hospital Cost Data Collection (NHCDC).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Default="00FE788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Pr="005A55DD" w:rsidRDefault="00FE788C" w:rsidP="005A5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Default="00FE78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Default="00FE78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Default="00FE78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Pr="004B071D" w:rsidRDefault="00FE788C" w:rsidP="009B622C">
    <w:pPr>
      <w:pStyle w:val="Header"/>
      <w:pBdr>
        <w:bottom w:val="single" w:sz="4" w:space="1" w:color="auto"/>
      </w:pBdr>
      <w:tabs>
        <w:tab w:val="clear" w:pos="4513"/>
        <w:tab w:val="clear" w:pos="9026"/>
        <w:tab w:val="right" w:pos="8647"/>
      </w:tabs>
      <w:spacing w:after="240"/>
      <w:ind w:right="380"/>
    </w:pPr>
    <w:r>
      <w:t>National Pricing Model Technical Specifications 2016-17</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Pr="0076228A" w:rsidRDefault="00FE788C" w:rsidP="009B622C">
    <w:pPr>
      <w:pStyle w:val="Header"/>
      <w:pBdr>
        <w:bottom w:val="single" w:sz="4" w:space="1" w:color="auto"/>
      </w:pBdr>
      <w:tabs>
        <w:tab w:val="clear" w:pos="4513"/>
        <w:tab w:val="clear" w:pos="9026"/>
        <w:tab w:val="right" w:pos="8647"/>
      </w:tabs>
      <w:spacing w:after="240"/>
      <w:ind w:right="380"/>
    </w:pPr>
    <w:r>
      <w:t>National Pricing Model Technical Specifications 2016-17</w:t>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Pr="008C7125" w:rsidRDefault="00FE788C" w:rsidP="002049E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Pr="008C7125" w:rsidRDefault="00FE788C" w:rsidP="002049E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88C" w:rsidRPr="000A7D7D" w:rsidRDefault="00FE788C" w:rsidP="009B622C">
    <w:pPr>
      <w:pStyle w:val="Header"/>
      <w:pBdr>
        <w:bottom w:val="single" w:sz="4" w:space="1" w:color="auto"/>
      </w:pBdr>
      <w:tabs>
        <w:tab w:val="clear" w:pos="4513"/>
        <w:tab w:val="clear" w:pos="9026"/>
        <w:tab w:val="right" w:pos="8647"/>
      </w:tabs>
      <w:spacing w:after="240"/>
      <w:ind w:right="380"/>
    </w:pPr>
    <w:r>
      <w:t>National Pricing Model Technical Specifications 2016-17</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6EC7D0"/>
    <w:lvl w:ilvl="0">
      <w:start w:val="1"/>
      <w:numFmt w:val="decimal"/>
      <w:pStyle w:val="Heading9"/>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772C96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E6068B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B7AAD9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E028E9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0A1F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565E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2A3174"/>
    <w:lvl w:ilvl="0">
      <w:start w:val="1"/>
      <w:numFmt w:val="decimal"/>
      <w:pStyle w:val="ListNumber"/>
      <w:lvlText w:val="%1."/>
      <w:lvlJc w:val="left"/>
      <w:pPr>
        <w:tabs>
          <w:tab w:val="num" w:pos="360"/>
        </w:tabs>
        <w:ind w:left="360" w:hanging="360"/>
      </w:pPr>
      <w:rPr>
        <w:rFonts w:cs="Times New Roman"/>
      </w:rPr>
    </w:lvl>
  </w:abstractNum>
  <w:abstractNum w:abstractNumId="8" w15:restartNumberingAfterBreak="0">
    <w:nsid w:val="FFFFFF89"/>
    <w:multiLevelType w:val="singleLevel"/>
    <w:tmpl w:val="221CE29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513E7B"/>
    <w:multiLevelType w:val="hybridMultilevel"/>
    <w:tmpl w:val="8B64E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2040BC8"/>
    <w:multiLevelType w:val="hybridMultilevel"/>
    <w:tmpl w:val="3E50036A"/>
    <w:lvl w:ilvl="0" w:tplc="7696D3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02077091"/>
    <w:multiLevelType w:val="hybridMultilevel"/>
    <w:tmpl w:val="DE20F592"/>
    <w:lvl w:ilvl="0" w:tplc="9E26B9C2">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CCFED474">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DA7FAD"/>
    <w:multiLevelType w:val="hybridMultilevel"/>
    <w:tmpl w:val="CFAA51FE"/>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3641D9"/>
    <w:multiLevelType w:val="multilevel"/>
    <w:tmpl w:val="1B12EC98"/>
    <w:styleLink w:val="Headingsv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4666FB6"/>
    <w:multiLevelType w:val="hybridMultilevel"/>
    <w:tmpl w:val="E578F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42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54C5C2C"/>
    <w:multiLevelType w:val="hybridMultilevel"/>
    <w:tmpl w:val="A5BC8C18"/>
    <w:lvl w:ilvl="0" w:tplc="E1504D4A">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1778" w:hanging="360"/>
      </w:pPr>
      <w:rPr>
        <w:rFonts w:ascii="Wingdings" w:hAnsi="Wingdings" w:hint="default"/>
      </w:rPr>
    </w:lvl>
    <w:lvl w:ilvl="3" w:tplc="A44C9CE0">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5AE17BA"/>
    <w:multiLevelType w:val="hybridMultilevel"/>
    <w:tmpl w:val="70A85ABA"/>
    <w:lvl w:ilvl="0" w:tplc="2B04B9E2">
      <w:start w:val="1"/>
      <w:numFmt w:val="lowerLetter"/>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BC83BFE"/>
    <w:multiLevelType w:val="hybridMultilevel"/>
    <w:tmpl w:val="3E50036A"/>
    <w:lvl w:ilvl="0" w:tplc="7696D3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102B7CC5"/>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624A4"/>
    <w:multiLevelType w:val="hybridMultilevel"/>
    <w:tmpl w:val="05781072"/>
    <w:lvl w:ilvl="0" w:tplc="81A628D2">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1" w15:restartNumberingAfterBreak="0">
    <w:nsid w:val="179F766B"/>
    <w:multiLevelType w:val="hybridMultilevel"/>
    <w:tmpl w:val="3E50036A"/>
    <w:lvl w:ilvl="0" w:tplc="7696D3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18650A17"/>
    <w:multiLevelType w:val="hybridMultilevel"/>
    <w:tmpl w:val="3E50036A"/>
    <w:lvl w:ilvl="0" w:tplc="7696D3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1A2074EC"/>
    <w:multiLevelType w:val="hybridMultilevel"/>
    <w:tmpl w:val="A4ACF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A684348"/>
    <w:multiLevelType w:val="hybridMultilevel"/>
    <w:tmpl w:val="F580F288"/>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E8603306">
      <w:start w:val="1"/>
      <w:numFmt w:val="decimal"/>
      <w:lvlText w:val="%3."/>
      <w:lvlJc w:val="left"/>
      <w:pPr>
        <w:ind w:left="2340" w:hanging="360"/>
      </w:pPr>
      <w:rPr>
        <w:rFonts w:hint="default"/>
        <w:b/>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AB42B07"/>
    <w:multiLevelType w:val="hybridMultilevel"/>
    <w:tmpl w:val="D5047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F5005EE"/>
    <w:multiLevelType w:val="hybridMultilevel"/>
    <w:tmpl w:val="5D5CE4F2"/>
    <w:lvl w:ilvl="0" w:tplc="0C090019">
      <w:start w:val="1"/>
      <w:numFmt w:val="lowerLetter"/>
      <w:lvlText w:val="%1."/>
      <w:lvlJc w:val="left"/>
      <w:pPr>
        <w:ind w:left="720" w:hanging="360"/>
      </w:pPr>
      <w:rPr>
        <w:rFonts w:cs="Times New Roman"/>
      </w:rPr>
    </w:lvl>
    <w:lvl w:ilvl="1" w:tplc="B82C13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0AA56FA"/>
    <w:multiLevelType w:val="hybridMultilevel"/>
    <w:tmpl w:val="0B369AF6"/>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5C406DB"/>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106419"/>
    <w:multiLevelType w:val="hybridMultilevel"/>
    <w:tmpl w:val="E2B0FB32"/>
    <w:lvl w:ilvl="0" w:tplc="56CEAE26">
      <w:start w:val="1"/>
      <w:numFmt w:val="decimal"/>
      <w:lvlText w:val="%1."/>
      <w:lvlJc w:val="left"/>
      <w:pPr>
        <w:ind w:left="360" w:hanging="360"/>
      </w:pPr>
      <w:rPr>
        <w:b w:val="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6914FE8"/>
    <w:multiLevelType w:val="hybridMultilevel"/>
    <w:tmpl w:val="982C3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6956A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2A3F6C27"/>
    <w:multiLevelType w:val="multilevel"/>
    <w:tmpl w:val="4AC00D10"/>
    <w:styleLink w:val="Style1"/>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BAA440E"/>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26626B"/>
    <w:multiLevelType w:val="hybridMultilevel"/>
    <w:tmpl w:val="DB46B9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2FF0E7E"/>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0A4987"/>
    <w:multiLevelType w:val="hybridMultilevel"/>
    <w:tmpl w:val="29142DA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9F5BE1"/>
    <w:multiLevelType w:val="hybridMultilevel"/>
    <w:tmpl w:val="0C8A4D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9827030"/>
    <w:multiLevelType w:val="hybridMultilevel"/>
    <w:tmpl w:val="517EA070"/>
    <w:lvl w:ilvl="0" w:tplc="0C090011">
      <w:start w:val="1"/>
      <w:numFmt w:val="decimal"/>
      <w:lvlText w:val="%1)"/>
      <w:lvlJc w:val="left"/>
      <w:pPr>
        <w:ind w:left="720" w:hanging="360"/>
      </w:p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7C79B7"/>
    <w:multiLevelType w:val="hybridMultilevel"/>
    <w:tmpl w:val="89E6D330"/>
    <w:lvl w:ilvl="0" w:tplc="81A628D2">
      <w:start w:val="1"/>
      <w:numFmt w:val="lowerLetter"/>
      <w:lvlText w:val="%1."/>
      <w:lvlJc w:val="left"/>
      <w:pPr>
        <w:ind w:left="735" w:hanging="360"/>
      </w:pPr>
      <w:rPr>
        <w:rFonts w:hint="default"/>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40" w15:restartNumberingAfterBreak="0">
    <w:nsid w:val="3FF96532"/>
    <w:multiLevelType w:val="multilevel"/>
    <w:tmpl w:val="53A6982C"/>
    <w:lvl w:ilvl="0">
      <w:start w:val="6"/>
      <w:numFmt w:val="none"/>
      <w:lvlText w:val="3"/>
      <w:lvlJc w:val="left"/>
      <w:pPr>
        <w:ind w:left="405" w:hanging="405"/>
      </w:pPr>
      <w:rPr>
        <w:rFonts w:hint="default"/>
      </w:rPr>
    </w:lvl>
    <w:lvl w:ilvl="1">
      <w:start w:val="1"/>
      <w:numFmt w:val="decimal"/>
      <w:lvlRestart w:val="0"/>
      <w:lvlText w:val="3.%2"/>
      <w:lvlJc w:val="left"/>
      <w:pPr>
        <w:ind w:left="720" w:hanging="720"/>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0042A6F"/>
    <w:multiLevelType w:val="multilevel"/>
    <w:tmpl w:val="42FACC40"/>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07932D3"/>
    <w:multiLevelType w:val="hybridMultilevel"/>
    <w:tmpl w:val="05781072"/>
    <w:lvl w:ilvl="0" w:tplc="81A628D2">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43" w15:restartNumberingAfterBreak="0">
    <w:nsid w:val="4434422E"/>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4AC46C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15:restartNumberingAfterBreak="0">
    <w:nsid w:val="464E6202"/>
    <w:multiLevelType w:val="hybridMultilevel"/>
    <w:tmpl w:val="517EA070"/>
    <w:lvl w:ilvl="0" w:tplc="0C090011">
      <w:start w:val="1"/>
      <w:numFmt w:val="decimal"/>
      <w:lvlText w:val="%1)"/>
      <w:lvlJc w:val="left"/>
      <w:pPr>
        <w:ind w:left="720" w:hanging="360"/>
      </w:p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652794F"/>
    <w:multiLevelType w:val="hybridMultilevel"/>
    <w:tmpl w:val="7AD814DC"/>
    <w:lvl w:ilvl="0" w:tplc="0C090013">
      <w:start w:val="1"/>
      <w:numFmt w:val="upperRoman"/>
      <w:lvlText w:val="%1."/>
      <w:lvlJc w:val="right"/>
      <w:pPr>
        <w:ind w:left="1522" w:hanging="360"/>
      </w:pPr>
    </w:lvl>
    <w:lvl w:ilvl="1" w:tplc="0C090019" w:tentative="1">
      <w:start w:val="1"/>
      <w:numFmt w:val="lowerLetter"/>
      <w:lvlText w:val="%2."/>
      <w:lvlJc w:val="left"/>
      <w:pPr>
        <w:ind w:left="2242" w:hanging="360"/>
      </w:pPr>
    </w:lvl>
    <w:lvl w:ilvl="2" w:tplc="0C09001B" w:tentative="1">
      <w:start w:val="1"/>
      <w:numFmt w:val="lowerRoman"/>
      <w:lvlText w:val="%3."/>
      <w:lvlJc w:val="right"/>
      <w:pPr>
        <w:ind w:left="2962" w:hanging="180"/>
      </w:pPr>
    </w:lvl>
    <w:lvl w:ilvl="3" w:tplc="0C09000F" w:tentative="1">
      <w:start w:val="1"/>
      <w:numFmt w:val="decimal"/>
      <w:lvlText w:val="%4."/>
      <w:lvlJc w:val="left"/>
      <w:pPr>
        <w:ind w:left="3682" w:hanging="360"/>
      </w:pPr>
    </w:lvl>
    <w:lvl w:ilvl="4" w:tplc="0C090019" w:tentative="1">
      <w:start w:val="1"/>
      <w:numFmt w:val="lowerLetter"/>
      <w:lvlText w:val="%5."/>
      <w:lvlJc w:val="left"/>
      <w:pPr>
        <w:ind w:left="4402" w:hanging="360"/>
      </w:pPr>
    </w:lvl>
    <w:lvl w:ilvl="5" w:tplc="0C09001B" w:tentative="1">
      <w:start w:val="1"/>
      <w:numFmt w:val="lowerRoman"/>
      <w:lvlText w:val="%6."/>
      <w:lvlJc w:val="right"/>
      <w:pPr>
        <w:ind w:left="5122" w:hanging="180"/>
      </w:pPr>
    </w:lvl>
    <w:lvl w:ilvl="6" w:tplc="0C09000F" w:tentative="1">
      <w:start w:val="1"/>
      <w:numFmt w:val="decimal"/>
      <w:lvlText w:val="%7."/>
      <w:lvlJc w:val="left"/>
      <w:pPr>
        <w:ind w:left="5842" w:hanging="360"/>
      </w:pPr>
    </w:lvl>
    <w:lvl w:ilvl="7" w:tplc="0C090019" w:tentative="1">
      <w:start w:val="1"/>
      <w:numFmt w:val="lowerLetter"/>
      <w:lvlText w:val="%8."/>
      <w:lvlJc w:val="left"/>
      <w:pPr>
        <w:ind w:left="6562" w:hanging="360"/>
      </w:pPr>
    </w:lvl>
    <w:lvl w:ilvl="8" w:tplc="0C09001B" w:tentative="1">
      <w:start w:val="1"/>
      <w:numFmt w:val="lowerRoman"/>
      <w:lvlText w:val="%9."/>
      <w:lvlJc w:val="right"/>
      <w:pPr>
        <w:ind w:left="7282" w:hanging="180"/>
      </w:pPr>
    </w:lvl>
  </w:abstractNum>
  <w:abstractNum w:abstractNumId="47" w15:restartNumberingAfterBreak="0">
    <w:nsid w:val="48B92E0A"/>
    <w:multiLevelType w:val="hybridMultilevel"/>
    <w:tmpl w:val="F9BC34C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8FE005D"/>
    <w:multiLevelType w:val="hybridMultilevel"/>
    <w:tmpl w:val="1CDEDE5C"/>
    <w:lvl w:ilvl="0" w:tplc="38988E6E">
      <w:start w:val="1"/>
      <w:numFmt w:val="decimal"/>
      <w:pStyle w:val="Heading2Level2"/>
      <w:lvlText w:val="2.%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15:restartNumberingAfterBreak="0">
    <w:nsid w:val="4928392A"/>
    <w:multiLevelType w:val="hybridMultilevel"/>
    <w:tmpl w:val="D9AA09C4"/>
    <w:lvl w:ilvl="0" w:tplc="0C09000F">
      <w:start w:val="1"/>
      <w:numFmt w:val="decimal"/>
      <w:lvlText w:val="%1."/>
      <w:lvlJc w:val="left"/>
      <w:pPr>
        <w:ind w:left="4680" w:hanging="360"/>
      </w:p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50" w15:restartNumberingAfterBreak="0">
    <w:nsid w:val="514E5FDF"/>
    <w:multiLevelType w:val="multilevel"/>
    <w:tmpl w:val="45263306"/>
    <w:lvl w:ilvl="0">
      <w:start w:val="1"/>
      <w:numFmt w:val="bullet"/>
      <w:pStyle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87"/>
        </w:tabs>
        <w:ind w:left="1087"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51962BC1"/>
    <w:multiLevelType w:val="hybridMultilevel"/>
    <w:tmpl w:val="6CD007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3401397"/>
    <w:multiLevelType w:val="hybridMultilevel"/>
    <w:tmpl w:val="DA766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94279E"/>
    <w:multiLevelType w:val="hybridMultilevel"/>
    <w:tmpl w:val="A5BC8C18"/>
    <w:lvl w:ilvl="0" w:tplc="E1504D4A">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1778" w:hanging="360"/>
      </w:pPr>
      <w:rPr>
        <w:rFonts w:ascii="Wingdings" w:hAnsi="Wingdings" w:hint="default"/>
      </w:rPr>
    </w:lvl>
    <w:lvl w:ilvl="3" w:tplc="A44C9CE0">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BAF1658"/>
    <w:multiLevelType w:val="hybridMultilevel"/>
    <w:tmpl w:val="A5ECD8A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CF85F50"/>
    <w:multiLevelType w:val="hybridMultilevel"/>
    <w:tmpl w:val="8AE29988"/>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D123DD3"/>
    <w:multiLevelType w:val="hybridMultilevel"/>
    <w:tmpl w:val="19B8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F022AFF"/>
    <w:multiLevelType w:val="hybridMultilevel"/>
    <w:tmpl w:val="55A63396"/>
    <w:lvl w:ilvl="0" w:tplc="0C09000F">
      <w:start w:val="1"/>
      <w:numFmt w:val="decimal"/>
      <w:lvlText w:val="%1."/>
      <w:lvlJc w:val="left"/>
      <w:pPr>
        <w:ind w:left="360" w:hanging="360"/>
      </w:pPr>
    </w:lvl>
    <w:lvl w:ilvl="1" w:tplc="0C090019">
      <w:start w:val="1"/>
      <w:numFmt w:val="lowerLetter"/>
      <w:lvlText w:val="%2."/>
      <w:lvlJc w:val="left"/>
      <w:pPr>
        <w:ind w:left="928"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FEF2B95"/>
    <w:multiLevelType w:val="hybridMultilevel"/>
    <w:tmpl w:val="3D0C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153F1A"/>
    <w:multiLevelType w:val="multilevel"/>
    <w:tmpl w:val="4842874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0" w15:restartNumberingAfterBreak="0">
    <w:nsid w:val="633532A4"/>
    <w:multiLevelType w:val="hybridMultilevel"/>
    <w:tmpl w:val="0B369AF6"/>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39F0901"/>
    <w:multiLevelType w:val="hybridMultilevel"/>
    <w:tmpl w:val="A10CBCCA"/>
    <w:lvl w:ilvl="0" w:tplc="0C090001">
      <w:start w:val="1"/>
      <w:numFmt w:val="bullet"/>
      <w:lvlText w:val=""/>
      <w:lvlJc w:val="left"/>
      <w:pPr>
        <w:ind w:left="1080" w:hanging="360"/>
      </w:pPr>
      <w:rPr>
        <w:rFonts w:ascii="Symbol" w:hAnsi="Symbol" w:hint="default"/>
      </w:r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4ED2B1A"/>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65E00199"/>
    <w:multiLevelType w:val="hybridMultilevel"/>
    <w:tmpl w:val="EA241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68007C7"/>
    <w:multiLevelType w:val="hybridMultilevel"/>
    <w:tmpl w:val="E3724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71500D"/>
    <w:multiLevelType w:val="hybridMultilevel"/>
    <w:tmpl w:val="B324DD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A8A7FCE"/>
    <w:multiLevelType w:val="multilevel"/>
    <w:tmpl w:val="E3E8E416"/>
    <w:lvl w:ilvl="0">
      <w:start w:val="6"/>
      <w:numFmt w:val="none"/>
      <w:lvlText w:val="3"/>
      <w:lvlJc w:val="left"/>
      <w:pPr>
        <w:ind w:left="405" w:hanging="405"/>
      </w:pPr>
      <w:rPr>
        <w:rFonts w:hint="default"/>
      </w:rPr>
    </w:lvl>
    <w:lvl w:ilvl="1">
      <w:start w:val="1"/>
      <w:numFmt w:val="decimal"/>
      <w:lvlText w:val="7.%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B54383C"/>
    <w:multiLevelType w:val="hybridMultilevel"/>
    <w:tmpl w:val="A5BC8C18"/>
    <w:lvl w:ilvl="0" w:tplc="E1504D4A">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1778" w:hanging="360"/>
      </w:pPr>
      <w:rPr>
        <w:rFonts w:ascii="Wingdings" w:hAnsi="Wingdings" w:hint="default"/>
      </w:rPr>
    </w:lvl>
    <w:lvl w:ilvl="3" w:tplc="A44C9CE0">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DB6293F"/>
    <w:multiLevelType w:val="hybridMultilevel"/>
    <w:tmpl w:val="FE524E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784520F"/>
    <w:multiLevelType w:val="hybridMultilevel"/>
    <w:tmpl w:val="9522AB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7A53C51"/>
    <w:multiLevelType w:val="hybridMultilevel"/>
    <w:tmpl w:val="6BAADD98"/>
    <w:lvl w:ilvl="0" w:tplc="ADDEB99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77C0453A"/>
    <w:multiLevelType w:val="hybridMultilevel"/>
    <w:tmpl w:val="55A63396"/>
    <w:lvl w:ilvl="0" w:tplc="0C09000F">
      <w:start w:val="1"/>
      <w:numFmt w:val="decimal"/>
      <w:lvlText w:val="%1."/>
      <w:lvlJc w:val="left"/>
      <w:pPr>
        <w:ind w:left="360" w:hanging="360"/>
      </w:pPr>
    </w:lvl>
    <w:lvl w:ilvl="1" w:tplc="0C090019">
      <w:start w:val="1"/>
      <w:numFmt w:val="lowerLetter"/>
      <w:lvlText w:val="%2."/>
      <w:lvlJc w:val="left"/>
      <w:pPr>
        <w:ind w:left="928"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78523185"/>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9446EFA"/>
    <w:multiLevelType w:val="hybridMultilevel"/>
    <w:tmpl w:val="BEE4A10E"/>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99F1831"/>
    <w:multiLevelType w:val="multilevel"/>
    <w:tmpl w:val="934A28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7CE821A1"/>
    <w:multiLevelType w:val="hybridMultilevel"/>
    <w:tmpl w:val="BBD22176"/>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6" w15:restartNumberingAfterBreak="0">
    <w:nsid w:val="7E7E0C6E"/>
    <w:multiLevelType w:val="hybridMultilevel"/>
    <w:tmpl w:val="2F3C9952"/>
    <w:lvl w:ilvl="0" w:tplc="653C2C3C">
      <w:start w:val="1"/>
      <w:numFmt w:val="lowerLetter"/>
      <w:lvlText w:val="%1."/>
      <w:lvlJc w:val="left"/>
      <w:pPr>
        <w:ind w:left="720" w:hanging="360"/>
      </w:pPr>
      <w:rPr>
        <w:rFonts w:cs="Times New Roman"/>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F070304"/>
    <w:multiLevelType w:val="hybridMultilevel"/>
    <w:tmpl w:val="D9866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31"/>
  </w:num>
  <w:num w:numId="4">
    <w:abstractNumId w:val="62"/>
  </w:num>
  <w:num w:numId="5">
    <w:abstractNumId w:val="44"/>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6"/>
  </w:num>
  <w:num w:numId="14">
    <w:abstractNumId w:val="50"/>
  </w:num>
  <w:num w:numId="15">
    <w:abstractNumId w:val="75"/>
  </w:num>
  <w:num w:numId="16">
    <w:abstractNumId w:val="23"/>
  </w:num>
  <w:num w:numId="17">
    <w:abstractNumId w:val="67"/>
  </w:num>
  <w:num w:numId="18">
    <w:abstractNumId w:val="11"/>
  </w:num>
  <w:num w:numId="19">
    <w:abstractNumId w:val="10"/>
  </w:num>
  <w:num w:numId="20">
    <w:abstractNumId w:val="48"/>
  </w:num>
  <w:num w:numId="21">
    <w:abstractNumId w:val="63"/>
  </w:num>
  <w:num w:numId="22">
    <w:abstractNumId w:val="32"/>
  </w:num>
  <w:num w:numId="23">
    <w:abstractNumId w:val="51"/>
  </w:num>
  <w:num w:numId="24">
    <w:abstractNumId w:val="54"/>
  </w:num>
  <w:num w:numId="25">
    <w:abstractNumId w:val="22"/>
  </w:num>
  <w:num w:numId="26">
    <w:abstractNumId w:val="58"/>
  </w:num>
  <w:num w:numId="27">
    <w:abstractNumId w:val="17"/>
  </w:num>
  <w:num w:numId="28">
    <w:abstractNumId w:val="33"/>
  </w:num>
  <w:num w:numId="29">
    <w:abstractNumId w:val="52"/>
  </w:num>
  <w:num w:numId="30">
    <w:abstractNumId w:val="28"/>
  </w:num>
  <w:num w:numId="31">
    <w:abstractNumId w:val="47"/>
  </w:num>
  <w:num w:numId="32">
    <w:abstractNumId w:val="9"/>
  </w:num>
  <w:num w:numId="33">
    <w:abstractNumId w:val="25"/>
  </w:num>
  <w:num w:numId="34">
    <w:abstractNumId w:val="30"/>
  </w:num>
  <w:num w:numId="35">
    <w:abstractNumId w:val="74"/>
  </w:num>
  <w:num w:numId="36">
    <w:abstractNumId w:val="24"/>
  </w:num>
  <w:num w:numId="37">
    <w:abstractNumId w:val="72"/>
  </w:num>
  <w:num w:numId="38">
    <w:abstractNumId w:val="35"/>
  </w:num>
  <w:num w:numId="39">
    <w:abstractNumId w:val="19"/>
  </w:num>
  <w:num w:numId="40">
    <w:abstractNumId w:val="37"/>
  </w:num>
  <w:num w:numId="41">
    <w:abstractNumId w:val="71"/>
  </w:num>
  <w:num w:numId="42">
    <w:abstractNumId w:val="59"/>
  </w:num>
  <w:num w:numId="43">
    <w:abstractNumId w:val="13"/>
  </w:num>
  <w:num w:numId="44">
    <w:abstractNumId w:val="29"/>
  </w:num>
  <w:num w:numId="45">
    <w:abstractNumId w:val="34"/>
  </w:num>
  <w:num w:numId="46">
    <w:abstractNumId w:val="14"/>
  </w:num>
  <w:num w:numId="47">
    <w:abstractNumId w:val="73"/>
  </w:num>
  <w:num w:numId="48">
    <w:abstractNumId w:val="16"/>
  </w:num>
  <w:num w:numId="49">
    <w:abstractNumId w:val="53"/>
  </w:num>
  <w:num w:numId="50">
    <w:abstractNumId w:val="21"/>
  </w:num>
  <w:num w:numId="51">
    <w:abstractNumId w:val="18"/>
  </w:num>
  <w:num w:numId="52">
    <w:abstractNumId w:val="49"/>
  </w:num>
  <w:num w:numId="53">
    <w:abstractNumId w:val="65"/>
  </w:num>
  <w:num w:numId="54">
    <w:abstractNumId w:val="26"/>
  </w:num>
  <w:num w:numId="55">
    <w:abstractNumId w:val="60"/>
  </w:num>
  <w:num w:numId="56">
    <w:abstractNumId w:val="76"/>
  </w:num>
  <w:num w:numId="57">
    <w:abstractNumId w:val="61"/>
  </w:num>
  <w:num w:numId="58">
    <w:abstractNumId w:val="43"/>
  </w:num>
  <w:num w:numId="59">
    <w:abstractNumId w:val="27"/>
  </w:num>
  <w:num w:numId="60">
    <w:abstractNumId w:val="36"/>
  </w:num>
  <w:num w:numId="61">
    <w:abstractNumId w:val="69"/>
  </w:num>
  <w:num w:numId="62">
    <w:abstractNumId w:val="68"/>
  </w:num>
  <w:num w:numId="63">
    <w:abstractNumId w:val="41"/>
  </w:num>
  <w:num w:numId="64">
    <w:abstractNumId w:val="40"/>
  </w:num>
  <w:num w:numId="65">
    <w:abstractNumId w:val="77"/>
  </w:num>
  <w:num w:numId="66">
    <w:abstractNumId w:val="56"/>
  </w:num>
  <w:num w:numId="67">
    <w:abstractNumId w:val="70"/>
  </w:num>
  <w:num w:numId="68">
    <w:abstractNumId w:val="39"/>
  </w:num>
  <w:num w:numId="69">
    <w:abstractNumId w:val="42"/>
  </w:num>
  <w:num w:numId="70">
    <w:abstractNumId w:val="20"/>
  </w:num>
  <w:num w:numId="71">
    <w:abstractNumId w:val="0"/>
  </w:num>
  <w:num w:numId="72">
    <w:abstractNumId w:val="40"/>
    <w:lvlOverride w:ilvl="0">
      <w:lvl w:ilvl="0">
        <w:start w:val="6"/>
        <w:numFmt w:val="none"/>
        <w:lvlText w:val="%17"/>
        <w:lvlJc w:val="left"/>
        <w:pPr>
          <w:ind w:left="405" w:hanging="405"/>
        </w:pPr>
        <w:rPr>
          <w:rFonts w:hint="default"/>
        </w:rPr>
      </w:lvl>
    </w:lvlOverride>
    <w:lvlOverride w:ilvl="1">
      <w:lvl w:ilvl="1">
        <w:start w:val="1"/>
        <w:numFmt w:val="decimal"/>
        <w:lvlRestart w:val="0"/>
        <w:lvlText w:val="7.%2"/>
        <w:lvlJc w:val="left"/>
        <w:pPr>
          <w:ind w:left="720" w:hanging="720"/>
        </w:pPr>
        <w:rPr>
          <w:rFonts w:hint="default"/>
        </w:rPr>
      </w:lvl>
    </w:lvlOverride>
    <w:lvlOverride w:ilvl="2">
      <w:lvl w:ilvl="2">
        <w:start w:val="1"/>
        <w:numFmt w:val="decimal"/>
        <w:lvlRestart w:val="0"/>
        <w:lvlText w:val="3.%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73">
    <w:abstractNumId w:val="66"/>
  </w:num>
  <w:num w:numId="74">
    <w:abstractNumId w:val="64"/>
  </w:num>
  <w:num w:numId="75">
    <w:abstractNumId w:val="0"/>
  </w:num>
  <w:num w:numId="76">
    <w:abstractNumId w:val="46"/>
  </w:num>
  <w:num w:numId="77">
    <w:abstractNumId w:val="57"/>
  </w:num>
  <w:num w:numId="78">
    <w:abstractNumId w:val="0"/>
  </w:num>
  <w:num w:numId="79">
    <w:abstractNumId w:val="12"/>
  </w:num>
  <w:num w:numId="80">
    <w:abstractNumId w:val="45"/>
  </w:num>
  <w:num w:numId="81">
    <w:abstractNumId w:val="38"/>
  </w:num>
  <w:num w:numId="82">
    <w:abstractNumId w:val="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71"/>
    <w:rsid w:val="00001E10"/>
    <w:rsid w:val="00002CE6"/>
    <w:rsid w:val="00002D5A"/>
    <w:rsid w:val="00010373"/>
    <w:rsid w:val="0001051D"/>
    <w:rsid w:val="00012558"/>
    <w:rsid w:val="000176B1"/>
    <w:rsid w:val="000178DC"/>
    <w:rsid w:val="00024012"/>
    <w:rsid w:val="00024A9C"/>
    <w:rsid w:val="00024ABA"/>
    <w:rsid w:val="0002613E"/>
    <w:rsid w:val="00026D27"/>
    <w:rsid w:val="00033F91"/>
    <w:rsid w:val="00034E0F"/>
    <w:rsid w:val="00035724"/>
    <w:rsid w:val="000406E0"/>
    <w:rsid w:val="00044050"/>
    <w:rsid w:val="00044755"/>
    <w:rsid w:val="00044ABC"/>
    <w:rsid w:val="00051651"/>
    <w:rsid w:val="00051B10"/>
    <w:rsid w:val="00053234"/>
    <w:rsid w:val="000539FD"/>
    <w:rsid w:val="00064D02"/>
    <w:rsid w:val="0006673C"/>
    <w:rsid w:val="000673AA"/>
    <w:rsid w:val="000674A1"/>
    <w:rsid w:val="0007116B"/>
    <w:rsid w:val="000716CC"/>
    <w:rsid w:val="00073CBF"/>
    <w:rsid w:val="00075FD9"/>
    <w:rsid w:val="00077336"/>
    <w:rsid w:val="00080175"/>
    <w:rsid w:val="000843A9"/>
    <w:rsid w:val="00090A2D"/>
    <w:rsid w:val="00090F16"/>
    <w:rsid w:val="00094308"/>
    <w:rsid w:val="00097886"/>
    <w:rsid w:val="000A1246"/>
    <w:rsid w:val="000A20CE"/>
    <w:rsid w:val="000A2BDC"/>
    <w:rsid w:val="000A513F"/>
    <w:rsid w:val="000A7D7D"/>
    <w:rsid w:val="000B05CD"/>
    <w:rsid w:val="000B14F1"/>
    <w:rsid w:val="000B18DD"/>
    <w:rsid w:val="000B1EBC"/>
    <w:rsid w:val="000B27D2"/>
    <w:rsid w:val="000B2DA3"/>
    <w:rsid w:val="000B33D2"/>
    <w:rsid w:val="000B6671"/>
    <w:rsid w:val="000B7BD6"/>
    <w:rsid w:val="000B7D62"/>
    <w:rsid w:val="000C2A5F"/>
    <w:rsid w:val="000C3724"/>
    <w:rsid w:val="000C3BDF"/>
    <w:rsid w:val="000C4AD0"/>
    <w:rsid w:val="000C4BA5"/>
    <w:rsid w:val="000C75BC"/>
    <w:rsid w:val="000C779C"/>
    <w:rsid w:val="000C78A2"/>
    <w:rsid w:val="000D1415"/>
    <w:rsid w:val="000D27EF"/>
    <w:rsid w:val="000D2FD5"/>
    <w:rsid w:val="000D32DE"/>
    <w:rsid w:val="000D34FB"/>
    <w:rsid w:val="000D3A87"/>
    <w:rsid w:val="000D6010"/>
    <w:rsid w:val="000D61FA"/>
    <w:rsid w:val="000D688A"/>
    <w:rsid w:val="000D75CE"/>
    <w:rsid w:val="000E1188"/>
    <w:rsid w:val="000E1BD6"/>
    <w:rsid w:val="000E3894"/>
    <w:rsid w:val="000E51D5"/>
    <w:rsid w:val="000E5946"/>
    <w:rsid w:val="000F29C6"/>
    <w:rsid w:val="000F4091"/>
    <w:rsid w:val="000F590C"/>
    <w:rsid w:val="000F5AAD"/>
    <w:rsid w:val="000F6308"/>
    <w:rsid w:val="000F7CC7"/>
    <w:rsid w:val="00100623"/>
    <w:rsid w:val="001016A1"/>
    <w:rsid w:val="00104D8E"/>
    <w:rsid w:val="00106F73"/>
    <w:rsid w:val="00110196"/>
    <w:rsid w:val="00110E37"/>
    <w:rsid w:val="00113031"/>
    <w:rsid w:val="001152F9"/>
    <w:rsid w:val="00115922"/>
    <w:rsid w:val="001206E7"/>
    <w:rsid w:val="001253A6"/>
    <w:rsid w:val="001259DC"/>
    <w:rsid w:val="00126926"/>
    <w:rsid w:val="001322FE"/>
    <w:rsid w:val="001329EF"/>
    <w:rsid w:val="00134368"/>
    <w:rsid w:val="001350E8"/>
    <w:rsid w:val="001379CA"/>
    <w:rsid w:val="00142170"/>
    <w:rsid w:val="0014300F"/>
    <w:rsid w:val="00146092"/>
    <w:rsid w:val="00147101"/>
    <w:rsid w:val="0015037E"/>
    <w:rsid w:val="00150D2F"/>
    <w:rsid w:val="00151D4A"/>
    <w:rsid w:val="0015219B"/>
    <w:rsid w:val="001543A4"/>
    <w:rsid w:val="00157362"/>
    <w:rsid w:val="0016218B"/>
    <w:rsid w:val="0016306B"/>
    <w:rsid w:val="00163EB6"/>
    <w:rsid w:val="00164A51"/>
    <w:rsid w:val="00165B42"/>
    <w:rsid w:val="00165FE0"/>
    <w:rsid w:val="00166194"/>
    <w:rsid w:val="00167BDF"/>
    <w:rsid w:val="00171719"/>
    <w:rsid w:val="001729CF"/>
    <w:rsid w:val="00172BCD"/>
    <w:rsid w:val="0017431A"/>
    <w:rsid w:val="00174700"/>
    <w:rsid w:val="001762C2"/>
    <w:rsid w:val="00176557"/>
    <w:rsid w:val="00176A2D"/>
    <w:rsid w:val="00181B15"/>
    <w:rsid w:val="001821F9"/>
    <w:rsid w:val="00183BCA"/>
    <w:rsid w:val="00183FC9"/>
    <w:rsid w:val="00185961"/>
    <w:rsid w:val="00185C14"/>
    <w:rsid w:val="00185EB0"/>
    <w:rsid w:val="00190B8D"/>
    <w:rsid w:val="00192921"/>
    <w:rsid w:val="00196408"/>
    <w:rsid w:val="00196C3A"/>
    <w:rsid w:val="0019724E"/>
    <w:rsid w:val="001A1738"/>
    <w:rsid w:val="001A1C94"/>
    <w:rsid w:val="001A2AD9"/>
    <w:rsid w:val="001A2F86"/>
    <w:rsid w:val="001A46F4"/>
    <w:rsid w:val="001A6C59"/>
    <w:rsid w:val="001A7406"/>
    <w:rsid w:val="001B2079"/>
    <w:rsid w:val="001B225A"/>
    <w:rsid w:val="001B30F4"/>
    <w:rsid w:val="001C16C6"/>
    <w:rsid w:val="001C1C0F"/>
    <w:rsid w:val="001C3DEB"/>
    <w:rsid w:val="001C53F8"/>
    <w:rsid w:val="001C6800"/>
    <w:rsid w:val="001C730C"/>
    <w:rsid w:val="001C7779"/>
    <w:rsid w:val="001D16F6"/>
    <w:rsid w:val="001D25A0"/>
    <w:rsid w:val="001D307B"/>
    <w:rsid w:val="001D41B7"/>
    <w:rsid w:val="001D4413"/>
    <w:rsid w:val="001D52E1"/>
    <w:rsid w:val="001D5489"/>
    <w:rsid w:val="001D650F"/>
    <w:rsid w:val="001E0627"/>
    <w:rsid w:val="001E144E"/>
    <w:rsid w:val="001E2756"/>
    <w:rsid w:val="001E29FB"/>
    <w:rsid w:val="001E371C"/>
    <w:rsid w:val="001E58E0"/>
    <w:rsid w:val="001E61C3"/>
    <w:rsid w:val="001E6A47"/>
    <w:rsid w:val="001F122B"/>
    <w:rsid w:val="001F2FA2"/>
    <w:rsid w:val="001F3194"/>
    <w:rsid w:val="001F657C"/>
    <w:rsid w:val="001F78EA"/>
    <w:rsid w:val="001F7F80"/>
    <w:rsid w:val="00200D1A"/>
    <w:rsid w:val="00202BE2"/>
    <w:rsid w:val="00203E1D"/>
    <w:rsid w:val="00204440"/>
    <w:rsid w:val="002049EC"/>
    <w:rsid w:val="002061B9"/>
    <w:rsid w:val="002074EB"/>
    <w:rsid w:val="002121A1"/>
    <w:rsid w:val="002122CC"/>
    <w:rsid w:val="0021424F"/>
    <w:rsid w:val="002202FD"/>
    <w:rsid w:val="00220545"/>
    <w:rsid w:val="00221675"/>
    <w:rsid w:val="002216A2"/>
    <w:rsid w:val="00223169"/>
    <w:rsid w:val="00223849"/>
    <w:rsid w:val="00223AF7"/>
    <w:rsid w:val="00223F52"/>
    <w:rsid w:val="0022493D"/>
    <w:rsid w:val="00224F0D"/>
    <w:rsid w:val="00225003"/>
    <w:rsid w:val="00230392"/>
    <w:rsid w:val="002340A8"/>
    <w:rsid w:val="00234D43"/>
    <w:rsid w:val="002357BC"/>
    <w:rsid w:val="00236475"/>
    <w:rsid w:val="002408C7"/>
    <w:rsid w:val="00240C61"/>
    <w:rsid w:val="0024239C"/>
    <w:rsid w:val="00244003"/>
    <w:rsid w:val="00245D8E"/>
    <w:rsid w:val="00250306"/>
    <w:rsid w:val="00251370"/>
    <w:rsid w:val="00251782"/>
    <w:rsid w:val="00251E09"/>
    <w:rsid w:val="00253913"/>
    <w:rsid w:val="00255A3C"/>
    <w:rsid w:val="0026003B"/>
    <w:rsid w:val="00261102"/>
    <w:rsid w:val="00264685"/>
    <w:rsid w:val="00264AE5"/>
    <w:rsid w:val="00265B8F"/>
    <w:rsid w:val="00266489"/>
    <w:rsid w:val="00267717"/>
    <w:rsid w:val="00270188"/>
    <w:rsid w:val="00273412"/>
    <w:rsid w:val="00273CDA"/>
    <w:rsid w:val="0027530C"/>
    <w:rsid w:val="00276370"/>
    <w:rsid w:val="00277653"/>
    <w:rsid w:val="002779ED"/>
    <w:rsid w:val="002811E5"/>
    <w:rsid w:val="00281574"/>
    <w:rsid w:val="00282F67"/>
    <w:rsid w:val="002832B9"/>
    <w:rsid w:val="00284380"/>
    <w:rsid w:val="00284A73"/>
    <w:rsid w:val="00291D05"/>
    <w:rsid w:val="00291EF8"/>
    <w:rsid w:val="00293B8D"/>
    <w:rsid w:val="0029628B"/>
    <w:rsid w:val="00297D16"/>
    <w:rsid w:val="002A1D40"/>
    <w:rsid w:val="002A1F4F"/>
    <w:rsid w:val="002A1FB4"/>
    <w:rsid w:val="002A3C7B"/>
    <w:rsid w:val="002A45FE"/>
    <w:rsid w:val="002A5184"/>
    <w:rsid w:val="002A688B"/>
    <w:rsid w:val="002A70B3"/>
    <w:rsid w:val="002B0212"/>
    <w:rsid w:val="002B07F6"/>
    <w:rsid w:val="002B0802"/>
    <w:rsid w:val="002B2048"/>
    <w:rsid w:val="002B5774"/>
    <w:rsid w:val="002C5046"/>
    <w:rsid w:val="002D101B"/>
    <w:rsid w:val="002D3D37"/>
    <w:rsid w:val="002D43E8"/>
    <w:rsid w:val="002E03ED"/>
    <w:rsid w:val="002E3933"/>
    <w:rsid w:val="002E49CC"/>
    <w:rsid w:val="002E5A99"/>
    <w:rsid w:val="002E7465"/>
    <w:rsid w:val="002E7CD4"/>
    <w:rsid w:val="002F0246"/>
    <w:rsid w:val="002F04F2"/>
    <w:rsid w:val="002F0D84"/>
    <w:rsid w:val="002F0DD1"/>
    <w:rsid w:val="002F3053"/>
    <w:rsid w:val="002F31F8"/>
    <w:rsid w:val="002F464B"/>
    <w:rsid w:val="002F481D"/>
    <w:rsid w:val="002F74FB"/>
    <w:rsid w:val="0030195A"/>
    <w:rsid w:val="003029AB"/>
    <w:rsid w:val="00310371"/>
    <w:rsid w:val="00313E18"/>
    <w:rsid w:val="003156D1"/>
    <w:rsid w:val="00317145"/>
    <w:rsid w:val="003178CF"/>
    <w:rsid w:val="00320A93"/>
    <w:rsid w:val="0032126E"/>
    <w:rsid w:val="003216D6"/>
    <w:rsid w:val="00323776"/>
    <w:rsid w:val="00325ACC"/>
    <w:rsid w:val="00327D92"/>
    <w:rsid w:val="003309BD"/>
    <w:rsid w:val="003327E0"/>
    <w:rsid w:val="00332C5A"/>
    <w:rsid w:val="00333F76"/>
    <w:rsid w:val="00335A8F"/>
    <w:rsid w:val="003360E7"/>
    <w:rsid w:val="00342BB7"/>
    <w:rsid w:val="00344429"/>
    <w:rsid w:val="003473A3"/>
    <w:rsid w:val="00347801"/>
    <w:rsid w:val="00347A1A"/>
    <w:rsid w:val="00350E98"/>
    <w:rsid w:val="00352970"/>
    <w:rsid w:val="0035399F"/>
    <w:rsid w:val="003550EF"/>
    <w:rsid w:val="0035781E"/>
    <w:rsid w:val="00357BA1"/>
    <w:rsid w:val="00360D23"/>
    <w:rsid w:val="00362794"/>
    <w:rsid w:val="0036490E"/>
    <w:rsid w:val="0036494C"/>
    <w:rsid w:val="0036552B"/>
    <w:rsid w:val="00365FF4"/>
    <w:rsid w:val="003663AC"/>
    <w:rsid w:val="003667FD"/>
    <w:rsid w:val="00372302"/>
    <w:rsid w:val="00374D3A"/>
    <w:rsid w:val="003771F7"/>
    <w:rsid w:val="003773F8"/>
    <w:rsid w:val="00377AEC"/>
    <w:rsid w:val="00377E23"/>
    <w:rsid w:val="003822FB"/>
    <w:rsid w:val="00384C96"/>
    <w:rsid w:val="00386779"/>
    <w:rsid w:val="0038755F"/>
    <w:rsid w:val="003876DC"/>
    <w:rsid w:val="00387E6D"/>
    <w:rsid w:val="00394698"/>
    <w:rsid w:val="00395DE6"/>
    <w:rsid w:val="00396A03"/>
    <w:rsid w:val="00397D4D"/>
    <w:rsid w:val="003A0AF1"/>
    <w:rsid w:val="003A5427"/>
    <w:rsid w:val="003A6F4E"/>
    <w:rsid w:val="003B1C35"/>
    <w:rsid w:val="003B3368"/>
    <w:rsid w:val="003B5CB3"/>
    <w:rsid w:val="003B72D6"/>
    <w:rsid w:val="003C2176"/>
    <w:rsid w:val="003C2513"/>
    <w:rsid w:val="003C304F"/>
    <w:rsid w:val="003C4999"/>
    <w:rsid w:val="003C4A71"/>
    <w:rsid w:val="003C6085"/>
    <w:rsid w:val="003C6C54"/>
    <w:rsid w:val="003C7100"/>
    <w:rsid w:val="003D07C9"/>
    <w:rsid w:val="003D32BD"/>
    <w:rsid w:val="003D44EB"/>
    <w:rsid w:val="003D54BE"/>
    <w:rsid w:val="003D7899"/>
    <w:rsid w:val="003D7D0F"/>
    <w:rsid w:val="003E358A"/>
    <w:rsid w:val="003E40DA"/>
    <w:rsid w:val="003E679A"/>
    <w:rsid w:val="003E69F0"/>
    <w:rsid w:val="003E6A4C"/>
    <w:rsid w:val="003F0BFC"/>
    <w:rsid w:val="003F1474"/>
    <w:rsid w:val="003F30C9"/>
    <w:rsid w:val="003F3455"/>
    <w:rsid w:val="003F5FAF"/>
    <w:rsid w:val="003F67F1"/>
    <w:rsid w:val="00400823"/>
    <w:rsid w:val="0040091A"/>
    <w:rsid w:val="0040099C"/>
    <w:rsid w:val="00401393"/>
    <w:rsid w:val="004014AC"/>
    <w:rsid w:val="00401BFD"/>
    <w:rsid w:val="004021FA"/>
    <w:rsid w:val="00403E25"/>
    <w:rsid w:val="00405586"/>
    <w:rsid w:val="00406E87"/>
    <w:rsid w:val="00407A92"/>
    <w:rsid w:val="004120AE"/>
    <w:rsid w:val="004141F4"/>
    <w:rsid w:val="004156FF"/>
    <w:rsid w:val="0041687B"/>
    <w:rsid w:val="004175F6"/>
    <w:rsid w:val="00420107"/>
    <w:rsid w:val="00420A46"/>
    <w:rsid w:val="00420AED"/>
    <w:rsid w:val="0042118B"/>
    <w:rsid w:val="00424851"/>
    <w:rsid w:val="004256F4"/>
    <w:rsid w:val="0043129A"/>
    <w:rsid w:val="0043232B"/>
    <w:rsid w:val="00432531"/>
    <w:rsid w:val="004325BA"/>
    <w:rsid w:val="00433038"/>
    <w:rsid w:val="0043335F"/>
    <w:rsid w:val="00433664"/>
    <w:rsid w:val="00437648"/>
    <w:rsid w:val="00440903"/>
    <w:rsid w:val="00440975"/>
    <w:rsid w:val="00443523"/>
    <w:rsid w:val="0044539E"/>
    <w:rsid w:val="0044716E"/>
    <w:rsid w:val="00447E09"/>
    <w:rsid w:val="00450455"/>
    <w:rsid w:val="00450DC5"/>
    <w:rsid w:val="0045143B"/>
    <w:rsid w:val="00452012"/>
    <w:rsid w:val="00452436"/>
    <w:rsid w:val="00453076"/>
    <w:rsid w:val="00454E44"/>
    <w:rsid w:val="0045546E"/>
    <w:rsid w:val="00455EF2"/>
    <w:rsid w:val="00455EFE"/>
    <w:rsid w:val="00456409"/>
    <w:rsid w:val="00460371"/>
    <w:rsid w:val="00463FF1"/>
    <w:rsid w:val="00464B74"/>
    <w:rsid w:val="004656F9"/>
    <w:rsid w:val="0046591C"/>
    <w:rsid w:val="004715A4"/>
    <w:rsid w:val="0047346C"/>
    <w:rsid w:val="00473D6D"/>
    <w:rsid w:val="00474286"/>
    <w:rsid w:val="0047578A"/>
    <w:rsid w:val="004765B2"/>
    <w:rsid w:val="00480533"/>
    <w:rsid w:val="00480692"/>
    <w:rsid w:val="004808B8"/>
    <w:rsid w:val="0048408B"/>
    <w:rsid w:val="00485085"/>
    <w:rsid w:val="00485873"/>
    <w:rsid w:val="0048742A"/>
    <w:rsid w:val="00490245"/>
    <w:rsid w:val="00490D7A"/>
    <w:rsid w:val="00491C9E"/>
    <w:rsid w:val="00493806"/>
    <w:rsid w:val="00494228"/>
    <w:rsid w:val="00494D73"/>
    <w:rsid w:val="004950A8"/>
    <w:rsid w:val="00497236"/>
    <w:rsid w:val="004A12D2"/>
    <w:rsid w:val="004A2D22"/>
    <w:rsid w:val="004A33E5"/>
    <w:rsid w:val="004A3542"/>
    <w:rsid w:val="004A39C1"/>
    <w:rsid w:val="004A68DE"/>
    <w:rsid w:val="004A7CB5"/>
    <w:rsid w:val="004B071D"/>
    <w:rsid w:val="004B1209"/>
    <w:rsid w:val="004B1378"/>
    <w:rsid w:val="004B44AC"/>
    <w:rsid w:val="004B4511"/>
    <w:rsid w:val="004C15AD"/>
    <w:rsid w:val="004C5008"/>
    <w:rsid w:val="004C7630"/>
    <w:rsid w:val="004D0B30"/>
    <w:rsid w:val="004D1764"/>
    <w:rsid w:val="004D1A0F"/>
    <w:rsid w:val="004D2E3A"/>
    <w:rsid w:val="004D490F"/>
    <w:rsid w:val="004D696A"/>
    <w:rsid w:val="004D6A99"/>
    <w:rsid w:val="004D744C"/>
    <w:rsid w:val="004D7E70"/>
    <w:rsid w:val="004E0CB6"/>
    <w:rsid w:val="004E19F0"/>
    <w:rsid w:val="004E2DFF"/>
    <w:rsid w:val="004E3C72"/>
    <w:rsid w:val="004E443D"/>
    <w:rsid w:val="004E44B4"/>
    <w:rsid w:val="004E47C0"/>
    <w:rsid w:val="004E7543"/>
    <w:rsid w:val="004E7920"/>
    <w:rsid w:val="004E7D84"/>
    <w:rsid w:val="004F078A"/>
    <w:rsid w:val="004F2AEB"/>
    <w:rsid w:val="004F51AD"/>
    <w:rsid w:val="004F5BA3"/>
    <w:rsid w:val="004F6D72"/>
    <w:rsid w:val="00500837"/>
    <w:rsid w:val="00500B5C"/>
    <w:rsid w:val="00501235"/>
    <w:rsid w:val="00501980"/>
    <w:rsid w:val="005033EC"/>
    <w:rsid w:val="00504F8D"/>
    <w:rsid w:val="00506469"/>
    <w:rsid w:val="0050729C"/>
    <w:rsid w:val="00507EB4"/>
    <w:rsid w:val="005109F1"/>
    <w:rsid w:val="00510A07"/>
    <w:rsid w:val="00513719"/>
    <w:rsid w:val="00514DF2"/>
    <w:rsid w:val="005169A3"/>
    <w:rsid w:val="005174BC"/>
    <w:rsid w:val="00521BCD"/>
    <w:rsid w:val="00521EF5"/>
    <w:rsid w:val="0052204F"/>
    <w:rsid w:val="005239E9"/>
    <w:rsid w:val="00523A6F"/>
    <w:rsid w:val="005254A3"/>
    <w:rsid w:val="005263C4"/>
    <w:rsid w:val="00526ABA"/>
    <w:rsid w:val="00531D46"/>
    <w:rsid w:val="00533B6F"/>
    <w:rsid w:val="00540384"/>
    <w:rsid w:val="00541A00"/>
    <w:rsid w:val="005435B0"/>
    <w:rsid w:val="00543968"/>
    <w:rsid w:val="005448BE"/>
    <w:rsid w:val="00547583"/>
    <w:rsid w:val="00547C69"/>
    <w:rsid w:val="005527A7"/>
    <w:rsid w:val="00552CD0"/>
    <w:rsid w:val="00555FFF"/>
    <w:rsid w:val="0056029A"/>
    <w:rsid w:val="00561236"/>
    <w:rsid w:val="00565F91"/>
    <w:rsid w:val="005666BA"/>
    <w:rsid w:val="00572F03"/>
    <w:rsid w:val="005765DA"/>
    <w:rsid w:val="005810B6"/>
    <w:rsid w:val="00581F03"/>
    <w:rsid w:val="0058202C"/>
    <w:rsid w:val="0058295B"/>
    <w:rsid w:val="00582ACC"/>
    <w:rsid w:val="00583477"/>
    <w:rsid w:val="00583542"/>
    <w:rsid w:val="0058678B"/>
    <w:rsid w:val="00587C1A"/>
    <w:rsid w:val="0059014E"/>
    <w:rsid w:val="00591754"/>
    <w:rsid w:val="005923CF"/>
    <w:rsid w:val="005933B1"/>
    <w:rsid w:val="005963E9"/>
    <w:rsid w:val="00596FBD"/>
    <w:rsid w:val="00597285"/>
    <w:rsid w:val="00597C96"/>
    <w:rsid w:val="005A10F1"/>
    <w:rsid w:val="005A3FDF"/>
    <w:rsid w:val="005A44C2"/>
    <w:rsid w:val="005A55DD"/>
    <w:rsid w:val="005A6FED"/>
    <w:rsid w:val="005A7578"/>
    <w:rsid w:val="005B1B73"/>
    <w:rsid w:val="005B40B2"/>
    <w:rsid w:val="005B6521"/>
    <w:rsid w:val="005B7D68"/>
    <w:rsid w:val="005C0F8A"/>
    <w:rsid w:val="005C11DF"/>
    <w:rsid w:val="005C2AB6"/>
    <w:rsid w:val="005C3E02"/>
    <w:rsid w:val="005C46B9"/>
    <w:rsid w:val="005C523F"/>
    <w:rsid w:val="005C5C3C"/>
    <w:rsid w:val="005C7D5B"/>
    <w:rsid w:val="005D02A7"/>
    <w:rsid w:val="005D1F2D"/>
    <w:rsid w:val="005D6C78"/>
    <w:rsid w:val="005D715B"/>
    <w:rsid w:val="005E2993"/>
    <w:rsid w:val="005E309F"/>
    <w:rsid w:val="005E48E2"/>
    <w:rsid w:val="005F173B"/>
    <w:rsid w:val="005F29E7"/>
    <w:rsid w:val="005F39C4"/>
    <w:rsid w:val="005F39F9"/>
    <w:rsid w:val="005F4230"/>
    <w:rsid w:val="005F53D8"/>
    <w:rsid w:val="005F6229"/>
    <w:rsid w:val="00600132"/>
    <w:rsid w:val="00601A6A"/>
    <w:rsid w:val="006044ED"/>
    <w:rsid w:val="006048E5"/>
    <w:rsid w:val="00605B3B"/>
    <w:rsid w:val="00606C27"/>
    <w:rsid w:val="006073EE"/>
    <w:rsid w:val="00607EED"/>
    <w:rsid w:val="0061013E"/>
    <w:rsid w:val="0061028D"/>
    <w:rsid w:val="00611772"/>
    <w:rsid w:val="00614E8A"/>
    <w:rsid w:val="006176C9"/>
    <w:rsid w:val="006200DE"/>
    <w:rsid w:val="006216CA"/>
    <w:rsid w:val="006233BB"/>
    <w:rsid w:val="00623B3A"/>
    <w:rsid w:val="00624E35"/>
    <w:rsid w:val="00625D16"/>
    <w:rsid w:val="00627259"/>
    <w:rsid w:val="00627DFC"/>
    <w:rsid w:val="00630001"/>
    <w:rsid w:val="00630DD2"/>
    <w:rsid w:val="00632055"/>
    <w:rsid w:val="0063254E"/>
    <w:rsid w:val="00633B0A"/>
    <w:rsid w:val="00634446"/>
    <w:rsid w:val="00635E07"/>
    <w:rsid w:val="00637219"/>
    <w:rsid w:val="006407E3"/>
    <w:rsid w:val="00643BA3"/>
    <w:rsid w:val="00644AA4"/>
    <w:rsid w:val="00644CE9"/>
    <w:rsid w:val="006472C0"/>
    <w:rsid w:val="00647634"/>
    <w:rsid w:val="00653276"/>
    <w:rsid w:val="00653E22"/>
    <w:rsid w:val="00657387"/>
    <w:rsid w:val="006573B7"/>
    <w:rsid w:val="006615B5"/>
    <w:rsid w:val="00663114"/>
    <w:rsid w:val="0066392E"/>
    <w:rsid w:val="00663B4B"/>
    <w:rsid w:val="00664156"/>
    <w:rsid w:val="00665F40"/>
    <w:rsid w:val="00667796"/>
    <w:rsid w:val="00667F5B"/>
    <w:rsid w:val="00673486"/>
    <w:rsid w:val="006768C7"/>
    <w:rsid w:val="006823F9"/>
    <w:rsid w:val="006833A7"/>
    <w:rsid w:val="006843A3"/>
    <w:rsid w:val="00686BF5"/>
    <w:rsid w:val="00693CC5"/>
    <w:rsid w:val="006958AA"/>
    <w:rsid w:val="00696A31"/>
    <w:rsid w:val="00697801"/>
    <w:rsid w:val="00697EB2"/>
    <w:rsid w:val="006A1722"/>
    <w:rsid w:val="006A1952"/>
    <w:rsid w:val="006A1C29"/>
    <w:rsid w:val="006A55E0"/>
    <w:rsid w:val="006A5986"/>
    <w:rsid w:val="006A70EC"/>
    <w:rsid w:val="006A71F3"/>
    <w:rsid w:val="006B072D"/>
    <w:rsid w:val="006B0A70"/>
    <w:rsid w:val="006B5B7E"/>
    <w:rsid w:val="006B6F0B"/>
    <w:rsid w:val="006B733A"/>
    <w:rsid w:val="006C1129"/>
    <w:rsid w:val="006C25A9"/>
    <w:rsid w:val="006C33E8"/>
    <w:rsid w:val="006C4AF4"/>
    <w:rsid w:val="006C59D6"/>
    <w:rsid w:val="006C7169"/>
    <w:rsid w:val="006C773E"/>
    <w:rsid w:val="006C7A18"/>
    <w:rsid w:val="006D2949"/>
    <w:rsid w:val="006D296D"/>
    <w:rsid w:val="006D780C"/>
    <w:rsid w:val="006D7C24"/>
    <w:rsid w:val="006D7F4A"/>
    <w:rsid w:val="006E105F"/>
    <w:rsid w:val="006E13C4"/>
    <w:rsid w:val="006E21CA"/>
    <w:rsid w:val="006E3DAD"/>
    <w:rsid w:val="006E558B"/>
    <w:rsid w:val="006F0A93"/>
    <w:rsid w:val="006F310A"/>
    <w:rsid w:val="006F396B"/>
    <w:rsid w:val="006F480F"/>
    <w:rsid w:val="006F59BD"/>
    <w:rsid w:val="006F63E0"/>
    <w:rsid w:val="006F6CFA"/>
    <w:rsid w:val="0070055C"/>
    <w:rsid w:val="00701984"/>
    <w:rsid w:val="0070231B"/>
    <w:rsid w:val="0070340E"/>
    <w:rsid w:val="00704036"/>
    <w:rsid w:val="007077F8"/>
    <w:rsid w:val="007105FA"/>
    <w:rsid w:val="00711535"/>
    <w:rsid w:val="00712DD7"/>
    <w:rsid w:val="00714876"/>
    <w:rsid w:val="0071722F"/>
    <w:rsid w:val="00717DB3"/>
    <w:rsid w:val="00717F2C"/>
    <w:rsid w:val="007204B0"/>
    <w:rsid w:val="00721D30"/>
    <w:rsid w:val="00721E28"/>
    <w:rsid w:val="0072340D"/>
    <w:rsid w:val="00724136"/>
    <w:rsid w:val="00727DC1"/>
    <w:rsid w:val="00731E6E"/>
    <w:rsid w:val="00734040"/>
    <w:rsid w:val="0073435B"/>
    <w:rsid w:val="007345CD"/>
    <w:rsid w:val="0073705F"/>
    <w:rsid w:val="00740410"/>
    <w:rsid w:val="00741A3F"/>
    <w:rsid w:val="00742565"/>
    <w:rsid w:val="00743DB7"/>
    <w:rsid w:val="00744721"/>
    <w:rsid w:val="0074518B"/>
    <w:rsid w:val="0074645A"/>
    <w:rsid w:val="007475C7"/>
    <w:rsid w:val="00747680"/>
    <w:rsid w:val="007479A9"/>
    <w:rsid w:val="00750177"/>
    <w:rsid w:val="007501FE"/>
    <w:rsid w:val="00750B8E"/>
    <w:rsid w:val="00752214"/>
    <w:rsid w:val="007528DE"/>
    <w:rsid w:val="00752CA5"/>
    <w:rsid w:val="007541F2"/>
    <w:rsid w:val="00755B7E"/>
    <w:rsid w:val="00755B93"/>
    <w:rsid w:val="00755DBD"/>
    <w:rsid w:val="007579BB"/>
    <w:rsid w:val="0076228A"/>
    <w:rsid w:val="00765C62"/>
    <w:rsid w:val="00766E40"/>
    <w:rsid w:val="0076725D"/>
    <w:rsid w:val="00770EA2"/>
    <w:rsid w:val="00771BEE"/>
    <w:rsid w:val="00771DEF"/>
    <w:rsid w:val="00773F70"/>
    <w:rsid w:val="00773F87"/>
    <w:rsid w:val="00775A6C"/>
    <w:rsid w:val="00777CAE"/>
    <w:rsid w:val="007820F6"/>
    <w:rsid w:val="00782725"/>
    <w:rsid w:val="00783E48"/>
    <w:rsid w:val="00784DCC"/>
    <w:rsid w:val="00784E6B"/>
    <w:rsid w:val="0078562E"/>
    <w:rsid w:val="00786CF1"/>
    <w:rsid w:val="00790319"/>
    <w:rsid w:val="00790998"/>
    <w:rsid w:val="00791929"/>
    <w:rsid w:val="00791B3C"/>
    <w:rsid w:val="00792E0C"/>
    <w:rsid w:val="00792F11"/>
    <w:rsid w:val="0079353C"/>
    <w:rsid w:val="007935B6"/>
    <w:rsid w:val="00796152"/>
    <w:rsid w:val="007A099D"/>
    <w:rsid w:val="007A0ACB"/>
    <w:rsid w:val="007A0E5B"/>
    <w:rsid w:val="007A2FE5"/>
    <w:rsid w:val="007A54D2"/>
    <w:rsid w:val="007A6284"/>
    <w:rsid w:val="007A65F2"/>
    <w:rsid w:val="007B0C5C"/>
    <w:rsid w:val="007B1257"/>
    <w:rsid w:val="007B3797"/>
    <w:rsid w:val="007B4384"/>
    <w:rsid w:val="007B68F3"/>
    <w:rsid w:val="007B69C6"/>
    <w:rsid w:val="007C1FEE"/>
    <w:rsid w:val="007C2D09"/>
    <w:rsid w:val="007C4116"/>
    <w:rsid w:val="007C4F02"/>
    <w:rsid w:val="007C57DE"/>
    <w:rsid w:val="007C6DAC"/>
    <w:rsid w:val="007C7689"/>
    <w:rsid w:val="007D16DD"/>
    <w:rsid w:val="007D7291"/>
    <w:rsid w:val="007E0111"/>
    <w:rsid w:val="007E0FA9"/>
    <w:rsid w:val="007E1382"/>
    <w:rsid w:val="007E2E2A"/>
    <w:rsid w:val="007E4CBB"/>
    <w:rsid w:val="007F1490"/>
    <w:rsid w:val="007F2F65"/>
    <w:rsid w:val="007F5FD5"/>
    <w:rsid w:val="007F7303"/>
    <w:rsid w:val="007F7B5C"/>
    <w:rsid w:val="00800979"/>
    <w:rsid w:val="00800E03"/>
    <w:rsid w:val="0080117D"/>
    <w:rsid w:val="008037B8"/>
    <w:rsid w:val="0080614E"/>
    <w:rsid w:val="00806318"/>
    <w:rsid w:val="008073EB"/>
    <w:rsid w:val="008101BB"/>
    <w:rsid w:val="00815635"/>
    <w:rsid w:val="00815C58"/>
    <w:rsid w:val="00817D26"/>
    <w:rsid w:val="00822178"/>
    <w:rsid w:val="00822CBA"/>
    <w:rsid w:val="00823240"/>
    <w:rsid w:val="0082610F"/>
    <w:rsid w:val="008277F1"/>
    <w:rsid w:val="00832632"/>
    <w:rsid w:val="0083323A"/>
    <w:rsid w:val="008340AC"/>
    <w:rsid w:val="008342E9"/>
    <w:rsid w:val="00837081"/>
    <w:rsid w:val="00841934"/>
    <w:rsid w:val="00842C34"/>
    <w:rsid w:val="008438BF"/>
    <w:rsid w:val="00843C0C"/>
    <w:rsid w:val="00844853"/>
    <w:rsid w:val="00844909"/>
    <w:rsid w:val="00846DE4"/>
    <w:rsid w:val="00847BD4"/>
    <w:rsid w:val="00850229"/>
    <w:rsid w:val="00850237"/>
    <w:rsid w:val="00850FB7"/>
    <w:rsid w:val="00852845"/>
    <w:rsid w:val="00853C26"/>
    <w:rsid w:val="00853F8A"/>
    <w:rsid w:val="0085506F"/>
    <w:rsid w:val="00856A3C"/>
    <w:rsid w:val="00863890"/>
    <w:rsid w:val="00865674"/>
    <w:rsid w:val="00867A9E"/>
    <w:rsid w:val="00867EEA"/>
    <w:rsid w:val="00870D84"/>
    <w:rsid w:val="00870FD9"/>
    <w:rsid w:val="0087188A"/>
    <w:rsid w:val="00872475"/>
    <w:rsid w:val="0087742B"/>
    <w:rsid w:val="00877BD5"/>
    <w:rsid w:val="00880282"/>
    <w:rsid w:val="00881D94"/>
    <w:rsid w:val="0088235C"/>
    <w:rsid w:val="0088756B"/>
    <w:rsid w:val="0089091F"/>
    <w:rsid w:val="00890B58"/>
    <w:rsid w:val="00890C16"/>
    <w:rsid w:val="00890D66"/>
    <w:rsid w:val="00890E17"/>
    <w:rsid w:val="008916CD"/>
    <w:rsid w:val="008949CE"/>
    <w:rsid w:val="00894F71"/>
    <w:rsid w:val="008969E1"/>
    <w:rsid w:val="00896E57"/>
    <w:rsid w:val="008B0084"/>
    <w:rsid w:val="008B0F65"/>
    <w:rsid w:val="008B29CF"/>
    <w:rsid w:val="008B4D17"/>
    <w:rsid w:val="008B4D5E"/>
    <w:rsid w:val="008B5E5C"/>
    <w:rsid w:val="008B6C98"/>
    <w:rsid w:val="008B7C11"/>
    <w:rsid w:val="008C551F"/>
    <w:rsid w:val="008C57A6"/>
    <w:rsid w:val="008C745F"/>
    <w:rsid w:val="008D4300"/>
    <w:rsid w:val="008D4B5F"/>
    <w:rsid w:val="008D4C15"/>
    <w:rsid w:val="008D4CFF"/>
    <w:rsid w:val="008D71C8"/>
    <w:rsid w:val="008E0156"/>
    <w:rsid w:val="008E24B0"/>
    <w:rsid w:val="008E4B0D"/>
    <w:rsid w:val="008E5315"/>
    <w:rsid w:val="008E73B4"/>
    <w:rsid w:val="008F16BA"/>
    <w:rsid w:val="008F31A1"/>
    <w:rsid w:val="008F5E43"/>
    <w:rsid w:val="008F7FF1"/>
    <w:rsid w:val="009000E7"/>
    <w:rsid w:val="00901971"/>
    <w:rsid w:val="00902188"/>
    <w:rsid w:val="00902C4B"/>
    <w:rsid w:val="00903AF3"/>
    <w:rsid w:val="009070AB"/>
    <w:rsid w:val="00911B8A"/>
    <w:rsid w:val="00913D0D"/>
    <w:rsid w:val="00915776"/>
    <w:rsid w:val="009201CC"/>
    <w:rsid w:val="00920356"/>
    <w:rsid w:val="00921C18"/>
    <w:rsid w:val="009224FD"/>
    <w:rsid w:val="009239D0"/>
    <w:rsid w:val="0092591B"/>
    <w:rsid w:val="00925DAB"/>
    <w:rsid w:val="00931A63"/>
    <w:rsid w:val="009330A3"/>
    <w:rsid w:val="0093328C"/>
    <w:rsid w:val="00933A1C"/>
    <w:rsid w:val="00933C77"/>
    <w:rsid w:val="009347E2"/>
    <w:rsid w:val="00935FD4"/>
    <w:rsid w:val="0093716E"/>
    <w:rsid w:val="009419AC"/>
    <w:rsid w:val="00947B42"/>
    <w:rsid w:val="00947D73"/>
    <w:rsid w:val="00951760"/>
    <w:rsid w:val="00951F3D"/>
    <w:rsid w:val="0095259F"/>
    <w:rsid w:val="00953CE0"/>
    <w:rsid w:val="0095521F"/>
    <w:rsid w:val="00955784"/>
    <w:rsid w:val="00955B37"/>
    <w:rsid w:val="00956FE6"/>
    <w:rsid w:val="00961766"/>
    <w:rsid w:val="009638CB"/>
    <w:rsid w:val="009645A3"/>
    <w:rsid w:val="009649C6"/>
    <w:rsid w:val="00965633"/>
    <w:rsid w:val="00967419"/>
    <w:rsid w:val="009677AB"/>
    <w:rsid w:val="009704D5"/>
    <w:rsid w:val="00971BFA"/>
    <w:rsid w:val="00977133"/>
    <w:rsid w:val="00982A0C"/>
    <w:rsid w:val="00983D1A"/>
    <w:rsid w:val="00984DC9"/>
    <w:rsid w:val="00987043"/>
    <w:rsid w:val="00987844"/>
    <w:rsid w:val="0099182F"/>
    <w:rsid w:val="00992736"/>
    <w:rsid w:val="00992B3C"/>
    <w:rsid w:val="00992BC4"/>
    <w:rsid w:val="00995BAA"/>
    <w:rsid w:val="00997AA1"/>
    <w:rsid w:val="00997AAB"/>
    <w:rsid w:val="00997B95"/>
    <w:rsid w:val="009A17A5"/>
    <w:rsid w:val="009A55C9"/>
    <w:rsid w:val="009A5828"/>
    <w:rsid w:val="009A5F0F"/>
    <w:rsid w:val="009A6166"/>
    <w:rsid w:val="009B0E2A"/>
    <w:rsid w:val="009B2BFB"/>
    <w:rsid w:val="009B4A55"/>
    <w:rsid w:val="009B5644"/>
    <w:rsid w:val="009B622C"/>
    <w:rsid w:val="009B6838"/>
    <w:rsid w:val="009B707F"/>
    <w:rsid w:val="009B7AE3"/>
    <w:rsid w:val="009C049B"/>
    <w:rsid w:val="009C20EF"/>
    <w:rsid w:val="009C368D"/>
    <w:rsid w:val="009D121C"/>
    <w:rsid w:val="009D1835"/>
    <w:rsid w:val="009D2F3E"/>
    <w:rsid w:val="009D5151"/>
    <w:rsid w:val="009D765C"/>
    <w:rsid w:val="009D79AF"/>
    <w:rsid w:val="009E33A4"/>
    <w:rsid w:val="009E4230"/>
    <w:rsid w:val="009E43F1"/>
    <w:rsid w:val="009E50B5"/>
    <w:rsid w:val="009E60AB"/>
    <w:rsid w:val="009E62A3"/>
    <w:rsid w:val="009E755B"/>
    <w:rsid w:val="009E7F6E"/>
    <w:rsid w:val="009F2C70"/>
    <w:rsid w:val="009F697A"/>
    <w:rsid w:val="009F79EC"/>
    <w:rsid w:val="00A005F5"/>
    <w:rsid w:val="00A00895"/>
    <w:rsid w:val="00A019D4"/>
    <w:rsid w:val="00A03408"/>
    <w:rsid w:val="00A038D0"/>
    <w:rsid w:val="00A06BE0"/>
    <w:rsid w:val="00A06EC3"/>
    <w:rsid w:val="00A07DFA"/>
    <w:rsid w:val="00A1237E"/>
    <w:rsid w:val="00A13044"/>
    <w:rsid w:val="00A13CE2"/>
    <w:rsid w:val="00A15A56"/>
    <w:rsid w:val="00A17BAB"/>
    <w:rsid w:val="00A212A3"/>
    <w:rsid w:val="00A246E6"/>
    <w:rsid w:val="00A24E5A"/>
    <w:rsid w:val="00A2557D"/>
    <w:rsid w:val="00A2740B"/>
    <w:rsid w:val="00A3141C"/>
    <w:rsid w:val="00A331DA"/>
    <w:rsid w:val="00A358DD"/>
    <w:rsid w:val="00A36BD0"/>
    <w:rsid w:val="00A417BC"/>
    <w:rsid w:val="00A422BF"/>
    <w:rsid w:val="00A43FCA"/>
    <w:rsid w:val="00A44445"/>
    <w:rsid w:val="00A471D4"/>
    <w:rsid w:val="00A47A88"/>
    <w:rsid w:val="00A54AF0"/>
    <w:rsid w:val="00A6317D"/>
    <w:rsid w:val="00A63B7C"/>
    <w:rsid w:val="00A64082"/>
    <w:rsid w:val="00A64DA2"/>
    <w:rsid w:val="00A65247"/>
    <w:rsid w:val="00A65D7A"/>
    <w:rsid w:val="00A67739"/>
    <w:rsid w:val="00A71212"/>
    <w:rsid w:val="00A773B5"/>
    <w:rsid w:val="00A82EF1"/>
    <w:rsid w:val="00A83B8E"/>
    <w:rsid w:val="00A84C40"/>
    <w:rsid w:val="00A84C4C"/>
    <w:rsid w:val="00A86B09"/>
    <w:rsid w:val="00A86D57"/>
    <w:rsid w:val="00A936B0"/>
    <w:rsid w:val="00A94BC9"/>
    <w:rsid w:val="00A94EA3"/>
    <w:rsid w:val="00A95010"/>
    <w:rsid w:val="00A95C8E"/>
    <w:rsid w:val="00A95FF2"/>
    <w:rsid w:val="00A96867"/>
    <w:rsid w:val="00AA1AB8"/>
    <w:rsid w:val="00AA2547"/>
    <w:rsid w:val="00AA349E"/>
    <w:rsid w:val="00AA35ED"/>
    <w:rsid w:val="00AA5D06"/>
    <w:rsid w:val="00AA7956"/>
    <w:rsid w:val="00AB18E6"/>
    <w:rsid w:val="00AB1A29"/>
    <w:rsid w:val="00AB2DC9"/>
    <w:rsid w:val="00AB4342"/>
    <w:rsid w:val="00AB44CD"/>
    <w:rsid w:val="00AB63CE"/>
    <w:rsid w:val="00AC03BB"/>
    <w:rsid w:val="00AC2C2F"/>
    <w:rsid w:val="00AC3BCF"/>
    <w:rsid w:val="00AC466B"/>
    <w:rsid w:val="00AC6330"/>
    <w:rsid w:val="00AC715C"/>
    <w:rsid w:val="00AC75E6"/>
    <w:rsid w:val="00AD1933"/>
    <w:rsid w:val="00AD250A"/>
    <w:rsid w:val="00AD3181"/>
    <w:rsid w:val="00AD4FFC"/>
    <w:rsid w:val="00AD5B91"/>
    <w:rsid w:val="00AD6931"/>
    <w:rsid w:val="00AE0449"/>
    <w:rsid w:val="00AE054F"/>
    <w:rsid w:val="00AE0921"/>
    <w:rsid w:val="00AE0EC3"/>
    <w:rsid w:val="00AE3B9F"/>
    <w:rsid w:val="00AE4F70"/>
    <w:rsid w:val="00AE53A9"/>
    <w:rsid w:val="00AE5456"/>
    <w:rsid w:val="00AE7107"/>
    <w:rsid w:val="00AF08A0"/>
    <w:rsid w:val="00AF1A68"/>
    <w:rsid w:val="00AF1C1D"/>
    <w:rsid w:val="00AF1DB3"/>
    <w:rsid w:val="00AF244D"/>
    <w:rsid w:val="00AF256B"/>
    <w:rsid w:val="00AF3225"/>
    <w:rsid w:val="00AF74E4"/>
    <w:rsid w:val="00B005A5"/>
    <w:rsid w:val="00B03639"/>
    <w:rsid w:val="00B03D9A"/>
    <w:rsid w:val="00B050EE"/>
    <w:rsid w:val="00B0652A"/>
    <w:rsid w:val="00B11403"/>
    <w:rsid w:val="00B133EE"/>
    <w:rsid w:val="00B15521"/>
    <w:rsid w:val="00B15BC5"/>
    <w:rsid w:val="00B16A61"/>
    <w:rsid w:val="00B20EBB"/>
    <w:rsid w:val="00B238EA"/>
    <w:rsid w:val="00B2412D"/>
    <w:rsid w:val="00B24A2D"/>
    <w:rsid w:val="00B30775"/>
    <w:rsid w:val="00B31B98"/>
    <w:rsid w:val="00B32A11"/>
    <w:rsid w:val="00B3331F"/>
    <w:rsid w:val="00B34A0D"/>
    <w:rsid w:val="00B35287"/>
    <w:rsid w:val="00B3571F"/>
    <w:rsid w:val="00B359BF"/>
    <w:rsid w:val="00B359E8"/>
    <w:rsid w:val="00B36606"/>
    <w:rsid w:val="00B36EB3"/>
    <w:rsid w:val="00B37DF6"/>
    <w:rsid w:val="00B4049D"/>
    <w:rsid w:val="00B406DD"/>
    <w:rsid w:val="00B41558"/>
    <w:rsid w:val="00B42664"/>
    <w:rsid w:val="00B437EE"/>
    <w:rsid w:val="00B441F4"/>
    <w:rsid w:val="00B4711D"/>
    <w:rsid w:val="00B474C8"/>
    <w:rsid w:val="00B54134"/>
    <w:rsid w:val="00B542E6"/>
    <w:rsid w:val="00B55A7A"/>
    <w:rsid w:val="00B56FE9"/>
    <w:rsid w:val="00B608FC"/>
    <w:rsid w:val="00B62926"/>
    <w:rsid w:val="00B661B9"/>
    <w:rsid w:val="00B70066"/>
    <w:rsid w:val="00B70359"/>
    <w:rsid w:val="00B71156"/>
    <w:rsid w:val="00B71E3D"/>
    <w:rsid w:val="00B74909"/>
    <w:rsid w:val="00B76883"/>
    <w:rsid w:val="00B778AA"/>
    <w:rsid w:val="00B809B2"/>
    <w:rsid w:val="00B8290B"/>
    <w:rsid w:val="00B845A9"/>
    <w:rsid w:val="00B84D83"/>
    <w:rsid w:val="00B8751E"/>
    <w:rsid w:val="00B903EF"/>
    <w:rsid w:val="00B92A47"/>
    <w:rsid w:val="00B931E4"/>
    <w:rsid w:val="00B9443A"/>
    <w:rsid w:val="00B94FB5"/>
    <w:rsid w:val="00B95032"/>
    <w:rsid w:val="00B97568"/>
    <w:rsid w:val="00B97A47"/>
    <w:rsid w:val="00BA0D49"/>
    <w:rsid w:val="00BA1DF7"/>
    <w:rsid w:val="00BA4ABC"/>
    <w:rsid w:val="00BA4BD4"/>
    <w:rsid w:val="00BA4C38"/>
    <w:rsid w:val="00BA5716"/>
    <w:rsid w:val="00BA6F9F"/>
    <w:rsid w:val="00BA74D3"/>
    <w:rsid w:val="00BB0302"/>
    <w:rsid w:val="00BB0D55"/>
    <w:rsid w:val="00BB11C1"/>
    <w:rsid w:val="00BB2255"/>
    <w:rsid w:val="00BB23A1"/>
    <w:rsid w:val="00BB256D"/>
    <w:rsid w:val="00BB29D0"/>
    <w:rsid w:val="00BB5EA9"/>
    <w:rsid w:val="00BB5FE5"/>
    <w:rsid w:val="00BC0B1C"/>
    <w:rsid w:val="00BC272E"/>
    <w:rsid w:val="00BC3AB1"/>
    <w:rsid w:val="00BC472B"/>
    <w:rsid w:val="00BC61D9"/>
    <w:rsid w:val="00BC6750"/>
    <w:rsid w:val="00BC68AC"/>
    <w:rsid w:val="00BC6A29"/>
    <w:rsid w:val="00BC7ADA"/>
    <w:rsid w:val="00BD427D"/>
    <w:rsid w:val="00BD63B9"/>
    <w:rsid w:val="00BD7D3A"/>
    <w:rsid w:val="00BE0C35"/>
    <w:rsid w:val="00BE1344"/>
    <w:rsid w:val="00BE27CF"/>
    <w:rsid w:val="00BE378A"/>
    <w:rsid w:val="00BE568B"/>
    <w:rsid w:val="00BE570D"/>
    <w:rsid w:val="00BE7FC3"/>
    <w:rsid w:val="00BF0679"/>
    <w:rsid w:val="00BF1235"/>
    <w:rsid w:val="00BF2640"/>
    <w:rsid w:val="00BF4B2B"/>
    <w:rsid w:val="00BF75C1"/>
    <w:rsid w:val="00C006FF"/>
    <w:rsid w:val="00C01A77"/>
    <w:rsid w:val="00C01DA0"/>
    <w:rsid w:val="00C034B3"/>
    <w:rsid w:val="00C046DC"/>
    <w:rsid w:val="00C059C2"/>
    <w:rsid w:val="00C0624E"/>
    <w:rsid w:val="00C10C03"/>
    <w:rsid w:val="00C121AF"/>
    <w:rsid w:val="00C121BC"/>
    <w:rsid w:val="00C12A66"/>
    <w:rsid w:val="00C136F9"/>
    <w:rsid w:val="00C145C4"/>
    <w:rsid w:val="00C15766"/>
    <w:rsid w:val="00C17FFA"/>
    <w:rsid w:val="00C21650"/>
    <w:rsid w:val="00C23636"/>
    <w:rsid w:val="00C23ECB"/>
    <w:rsid w:val="00C245E0"/>
    <w:rsid w:val="00C26186"/>
    <w:rsid w:val="00C268C8"/>
    <w:rsid w:val="00C269E5"/>
    <w:rsid w:val="00C3116E"/>
    <w:rsid w:val="00C31FC2"/>
    <w:rsid w:val="00C32419"/>
    <w:rsid w:val="00C32D1A"/>
    <w:rsid w:val="00C332C5"/>
    <w:rsid w:val="00C34429"/>
    <w:rsid w:val="00C352F3"/>
    <w:rsid w:val="00C35A0D"/>
    <w:rsid w:val="00C37BCD"/>
    <w:rsid w:val="00C4098E"/>
    <w:rsid w:val="00C41416"/>
    <w:rsid w:val="00C415C5"/>
    <w:rsid w:val="00C41C93"/>
    <w:rsid w:val="00C4334F"/>
    <w:rsid w:val="00C450AD"/>
    <w:rsid w:val="00C46AF8"/>
    <w:rsid w:val="00C46E0C"/>
    <w:rsid w:val="00C46EB2"/>
    <w:rsid w:val="00C50773"/>
    <w:rsid w:val="00C517D7"/>
    <w:rsid w:val="00C51C2A"/>
    <w:rsid w:val="00C53621"/>
    <w:rsid w:val="00C56BB3"/>
    <w:rsid w:val="00C56E00"/>
    <w:rsid w:val="00C60EC5"/>
    <w:rsid w:val="00C618D0"/>
    <w:rsid w:val="00C61BF6"/>
    <w:rsid w:val="00C6208D"/>
    <w:rsid w:val="00C63AD3"/>
    <w:rsid w:val="00C63F3A"/>
    <w:rsid w:val="00C642D7"/>
    <w:rsid w:val="00C64511"/>
    <w:rsid w:val="00C661C4"/>
    <w:rsid w:val="00C677CF"/>
    <w:rsid w:val="00C67F55"/>
    <w:rsid w:val="00C7004B"/>
    <w:rsid w:val="00C700DD"/>
    <w:rsid w:val="00C704E9"/>
    <w:rsid w:val="00C726BD"/>
    <w:rsid w:val="00C74612"/>
    <w:rsid w:val="00C76AEC"/>
    <w:rsid w:val="00C82274"/>
    <w:rsid w:val="00C83F6F"/>
    <w:rsid w:val="00C864ED"/>
    <w:rsid w:val="00C87030"/>
    <w:rsid w:val="00C87276"/>
    <w:rsid w:val="00C91814"/>
    <w:rsid w:val="00C92D56"/>
    <w:rsid w:val="00C935CB"/>
    <w:rsid w:val="00C94130"/>
    <w:rsid w:val="00C951CF"/>
    <w:rsid w:val="00C966B1"/>
    <w:rsid w:val="00C969D9"/>
    <w:rsid w:val="00C97E1B"/>
    <w:rsid w:val="00CA1B38"/>
    <w:rsid w:val="00CA427D"/>
    <w:rsid w:val="00CA5862"/>
    <w:rsid w:val="00CA70E9"/>
    <w:rsid w:val="00CA7D98"/>
    <w:rsid w:val="00CA7E14"/>
    <w:rsid w:val="00CB18AC"/>
    <w:rsid w:val="00CB1FFB"/>
    <w:rsid w:val="00CB2899"/>
    <w:rsid w:val="00CB541A"/>
    <w:rsid w:val="00CB6085"/>
    <w:rsid w:val="00CB6F97"/>
    <w:rsid w:val="00CC088E"/>
    <w:rsid w:val="00CC0BA2"/>
    <w:rsid w:val="00CC0D2A"/>
    <w:rsid w:val="00CC1A53"/>
    <w:rsid w:val="00CC3BE4"/>
    <w:rsid w:val="00CC3D06"/>
    <w:rsid w:val="00CC4815"/>
    <w:rsid w:val="00CC4C4A"/>
    <w:rsid w:val="00CC517F"/>
    <w:rsid w:val="00CC7696"/>
    <w:rsid w:val="00CC78DB"/>
    <w:rsid w:val="00CC7AEF"/>
    <w:rsid w:val="00CD0657"/>
    <w:rsid w:val="00CD06B8"/>
    <w:rsid w:val="00CD1109"/>
    <w:rsid w:val="00CD1994"/>
    <w:rsid w:val="00CD4FCF"/>
    <w:rsid w:val="00CD64AC"/>
    <w:rsid w:val="00CD72F6"/>
    <w:rsid w:val="00CE00EF"/>
    <w:rsid w:val="00CE1B86"/>
    <w:rsid w:val="00CE2D88"/>
    <w:rsid w:val="00CE3E37"/>
    <w:rsid w:val="00CE4039"/>
    <w:rsid w:val="00CE47FF"/>
    <w:rsid w:val="00CE5F8C"/>
    <w:rsid w:val="00CE6542"/>
    <w:rsid w:val="00CF0006"/>
    <w:rsid w:val="00CF143B"/>
    <w:rsid w:val="00CF2043"/>
    <w:rsid w:val="00CF317B"/>
    <w:rsid w:val="00CF39AD"/>
    <w:rsid w:val="00CF3AF4"/>
    <w:rsid w:val="00CF3B74"/>
    <w:rsid w:val="00CF4720"/>
    <w:rsid w:val="00CF47B1"/>
    <w:rsid w:val="00CF4982"/>
    <w:rsid w:val="00CF6CDC"/>
    <w:rsid w:val="00CF75B0"/>
    <w:rsid w:val="00D00FC3"/>
    <w:rsid w:val="00D012CF"/>
    <w:rsid w:val="00D01C1C"/>
    <w:rsid w:val="00D01EB4"/>
    <w:rsid w:val="00D028D9"/>
    <w:rsid w:val="00D02F5D"/>
    <w:rsid w:val="00D03C89"/>
    <w:rsid w:val="00D04AF0"/>
    <w:rsid w:val="00D07729"/>
    <w:rsid w:val="00D10F94"/>
    <w:rsid w:val="00D11252"/>
    <w:rsid w:val="00D12D4B"/>
    <w:rsid w:val="00D14FC2"/>
    <w:rsid w:val="00D16B75"/>
    <w:rsid w:val="00D17038"/>
    <w:rsid w:val="00D20E48"/>
    <w:rsid w:val="00D21AC0"/>
    <w:rsid w:val="00D22B50"/>
    <w:rsid w:val="00D22B6B"/>
    <w:rsid w:val="00D23C0A"/>
    <w:rsid w:val="00D2580D"/>
    <w:rsid w:val="00D26935"/>
    <w:rsid w:val="00D3315E"/>
    <w:rsid w:val="00D34DE3"/>
    <w:rsid w:val="00D356DD"/>
    <w:rsid w:val="00D363ED"/>
    <w:rsid w:val="00D379D9"/>
    <w:rsid w:val="00D37B89"/>
    <w:rsid w:val="00D414EC"/>
    <w:rsid w:val="00D41F01"/>
    <w:rsid w:val="00D424DE"/>
    <w:rsid w:val="00D42FD5"/>
    <w:rsid w:val="00D44FB4"/>
    <w:rsid w:val="00D457A9"/>
    <w:rsid w:val="00D46163"/>
    <w:rsid w:val="00D4695E"/>
    <w:rsid w:val="00D46C37"/>
    <w:rsid w:val="00D478E8"/>
    <w:rsid w:val="00D50577"/>
    <w:rsid w:val="00D52AF9"/>
    <w:rsid w:val="00D5385A"/>
    <w:rsid w:val="00D54A81"/>
    <w:rsid w:val="00D54BD3"/>
    <w:rsid w:val="00D56707"/>
    <w:rsid w:val="00D56CB3"/>
    <w:rsid w:val="00D57A5D"/>
    <w:rsid w:val="00D62612"/>
    <w:rsid w:val="00D648E8"/>
    <w:rsid w:val="00D64AD6"/>
    <w:rsid w:val="00D7106F"/>
    <w:rsid w:val="00D7136A"/>
    <w:rsid w:val="00D75081"/>
    <w:rsid w:val="00D761CE"/>
    <w:rsid w:val="00D765D5"/>
    <w:rsid w:val="00D76ABF"/>
    <w:rsid w:val="00D81721"/>
    <w:rsid w:val="00D8256E"/>
    <w:rsid w:val="00D83A25"/>
    <w:rsid w:val="00D84352"/>
    <w:rsid w:val="00D844F5"/>
    <w:rsid w:val="00D84BEB"/>
    <w:rsid w:val="00D873B6"/>
    <w:rsid w:val="00D873DE"/>
    <w:rsid w:val="00D87DCA"/>
    <w:rsid w:val="00D87F12"/>
    <w:rsid w:val="00D91222"/>
    <w:rsid w:val="00D92192"/>
    <w:rsid w:val="00D9271F"/>
    <w:rsid w:val="00D94747"/>
    <w:rsid w:val="00D954B7"/>
    <w:rsid w:val="00D95B3A"/>
    <w:rsid w:val="00D96BA5"/>
    <w:rsid w:val="00DA0219"/>
    <w:rsid w:val="00DA0BD6"/>
    <w:rsid w:val="00DA2A08"/>
    <w:rsid w:val="00DA3338"/>
    <w:rsid w:val="00DA4C99"/>
    <w:rsid w:val="00DA5BF2"/>
    <w:rsid w:val="00DA73AF"/>
    <w:rsid w:val="00DB1BD5"/>
    <w:rsid w:val="00DB2A7C"/>
    <w:rsid w:val="00DB2EEF"/>
    <w:rsid w:val="00DB4BA9"/>
    <w:rsid w:val="00DC0063"/>
    <w:rsid w:val="00DC1BB2"/>
    <w:rsid w:val="00DC3097"/>
    <w:rsid w:val="00DC3D0D"/>
    <w:rsid w:val="00DC42AD"/>
    <w:rsid w:val="00DC4EED"/>
    <w:rsid w:val="00DC550F"/>
    <w:rsid w:val="00DC5B28"/>
    <w:rsid w:val="00DC6A18"/>
    <w:rsid w:val="00DC7ED9"/>
    <w:rsid w:val="00DD2A00"/>
    <w:rsid w:val="00DD3660"/>
    <w:rsid w:val="00DD399E"/>
    <w:rsid w:val="00DD45AC"/>
    <w:rsid w:val="00DD61B9"/>
    <w:rsid w:val="00DD7D45"/>
    <w:rsid w:val="00DE022B"/>
    <w:rsid w:val="00DE1EA4"/>
    <w:rsid w:val="00DE2083"/>
    <w:rsid w:val="00DE429C"/>
    <w:rsid w:val="00DF26B3"/>
    <w:rsid w:val="00DF31C8"/>
    <w:rsid w:val="00DF43F5"/>
    <w:rsid w:val="00DF57A4"/>
    <w:rsid w:val="00DF61EF"/>
    <w:rsid w:val="00DF6231"/>
    <w:rsid w:val="00DF65AB"/>
    <w:rsid w:val="00DF77B4"/>
    <w:rsid w:val="00E045B9"/>
    <w:rsid w:val="00E05DB3"/>
    <w:rsid w:val="00E10634"/>
    <w:rsid w:val="00E1074D"/>
    <w:rsid w:val="00E1124C"/>
    <w:rsid w:val="00E11584"/>
    <w:rsid w:val="00E120AF"/>
    <w:rsid w:val="00E14314"/>
    <w:rsid w:val="00E15776"/>
    <w:rsid w:val="00E22117"/>
    <w:rsid w:val="00E23681"/>
    <w:rsid w:val="00E27673"/>
    <w:rsid w:val="00E2794F"/>
    <w:rsid w:val="00E279FC"/>
    <w:rsid w:val="00E27E6C"/>
    <w:rsid w:val="00E312B3"/>
    <w:rsid w:val="00E315C3"/>
    <w:rsid w:val="00E31DFC"/>
    <w:rsid w:val="00E33065"/>
    <w:rsid w:val="00E33EAE"/>
    <w:rsid w:val="00E36086"/>
    <w:rsid w:val="00E4094C"/>
    <w:rsid w:val="00E417D3"/>
    <w:rsid w:val="00E43D63"/>
    <w:rsid w:val="00E47B04"/>
    <w:rsid w:val="00E47C0C"/>
    <w:rsid w:val="00E47D3C"/>
    <w:rsid w:val="00E51593"/>
    <w:rsid w:val="00E53702"/>
    <w:rsid w:val="00E53B60"/>
    <w:rsid w:val="00E557BE"/>
    <w:rsid w:val="00E56054"/>
    <w:rsid w:val="00E621CE"/>
    <w:rsid w:val="00E62BCF"/>
    <w:rsid w:val="00E65FCC"/>
    <w:rsid w:val="00E67366"/>
    <w:rsid w:val="00E70624"/>
    <w:rsid w:val="00E71426"/>
    <w:rsid w:val="00E71E99"/>
    <w:rsid w:val="00E722DC"/>
    <w:rsid w:val="00E73903"/>
    <w:rsid w:val="00E74059"/>
    <w:rsid w:val="00E74C89"/>
    <w:rsid w:val="00E76321"/>
    <w:rsid w:val="00E76384"/>
    <w:rsid w:val="00E76D13"/>
    <w:rsid w:val="00E77539"/>
    <w:rsid w:val="00E82DB4"/>
    <w:rsid w:val="00E83053"/>
    <w:rsid w:val="00E83E82"/>
    <w:rsid w:val="00E8497E"/>
    <w:rsid w:val="00E8546E"/>
    <w:rsid w:val="00E85B8C"/>
    <w:rsid w:val="00E8636B"/>
    <w:rsid w:val="00E86731"/>
    <w:rsid w:val="00E90F0A"/>
    <w:rsid w:val="00E9132D"/>
    <w:rsid w:val="00E91976"/>
    <w:rsid w:val="00E92BB3"/>
    <w:rsid w:val="00E95D33"/>
    <w:rsid w:val="00E9769E"/>
    <w:rsid w:val="00E97A71"/>
    <w:rsid w:val="00EA01EB"/>
    <w:rsid w:val="00EA0636"/>
    <w:rsid w:val="00EA2174"/>
    <w:rsid w:val="00EA5AA1"/>
    <w:rsid w:val="00EA6015"/>
    <w:rsid w:val="00EB0845"/>
    <w:rsid w:val="00EB0873"/>
    <w:rsid w:val="00EB183E"/>
    <w:rsid w:val="00EB1998"/>
    <w:rsid w:val="00EB1CFF"/>
    <w:rsid w:val="00EB2D3D"/>
    <w:rsid w:val="00EB4702"/>
    <w:rsid w:val="00EB4E99"/>
    <w:rsid w:val="00EB5449"/>
    <w:rsid w:val="00EB5F5E"/>
    <w:rsid w:val="00EC2EA2"/>
    <w:rsid w:val="00EC2F43"/>
    <w:rsid w:val="00EC3E40"/>
    <w:rsid w:val="00EC621F"/>
    <w:rsid w:val="00EC68AC"/>
    <w:rsid w:val="00ED280E"/>
    <w:rsid w:val="00ED4021"/>
    <w:rsid w:val="00ED50A5"/>
    <w:rsid w:val="00ED5DBA"/>
    <w:rsid w:val="00ED680E"/>
    <w:rsid w:val="00ED6865"/>
    <w:rsid w:val="00ED6AF6"/>
    <w:rsid w:val="00ED6E3D"/>
    <w:rsid w:val="00ED7BE0"/>
    <w:rsid w:val="00EE187D"/>
    <w:rsid w:val="00EE1FB8"/>
    <w:rsid w:val="00EE30C1"/>
    <w:rsid w:val="00EE6865"/>
    <w:rsid w:val="00EF092F"/>
    <w:rsid w:val="00EF2711"/>
    <w:rsid w:val="00EF40B9"/>
    <w:rsid w:val="00EF412A"/>
    <w:rsid w:val="00EF5610"/>
    <w:rsid w:val="00F00F3D"/>
    <w:rsid w:val="00F02D12"/>
    <w:rsid w:val="00F06398"/>
    <w:rsid w:val="00F1090E"/>
    <w:rsid w:val="00F10B79"/>
    <w:rsid w:val="00F11C31"/>
    <w:rsid w:val="00F11D80"/>
    <w:rsid w:val="00F120B9"/>
    <w:rsid w:val="00F12589"/>
    <w:rsid w:val="00F127CD"/>
    <w:rsid w:val="00F13CED"/>
    <w:rsid w:val="00F14BA6"/>
    <w:rsid w:val="00F160D3"/>
    <w:rsid w:val="00F16720"/>
    <w:rsid w:val="00F175DC"/>
    <w:rsid w:val="00F21F5B"/>
    <w:rsid w:val="00F22934"/>
    <w:rsid w:val="00F30AC0"/>
    <w:rsid w:val="00F321F6"/>
    <w:rsid w:val="00F328C2"/>
    <w:rsid w:val="00F332C9"/>
    <w:rsid w:val="00F35E32"/>
    <w:rsid w:val="00F37DB6"/>
    <w:rsid w:val="00F43EA9"/>
    <w:rsid w:val="00F44E40"/>
    <w:rsid w:val="00F4504C"/>
    <w:rsid w:val="00F46BD4"/>
    <w:rsid w:val="00F51276"/>
    <w:rsid w:val="00F526FF"/>
    <w:rsid w:val="00F531A7"/>
    <w:rsid w:val="00F5456B"/>
    <w:rsid w:val="00F56438"/>
    <w:rsid w:val="00F5783E"/>
    <w:rsid w:val="00F62D5B"/>
    <w:rsid w:val="00F63A3B"/>
    <w:rsid w:val="00F65353"/>
    <w:rsid w:val="00F6771D"/>
    <w:rsid w:val="00F70E1A"/>
    <w:rsid w:val="00F70F23"/>
    <w:rsid w:val="00F714D0"/>
    <w:rsid w:val="00F73088"/>
    <w:rsid w:val="00F731FB"/>
    <w:rsid w:val="00F74576"/>
    <w:rsid w:val="00F76672"/>
    <w:rsid w:val="00F82FDB"/>
    <w:rsid w:val="00F831B2"/>
    <w:rsid w:val="00F83729"/>
    <w:rsid w:val="00F839E8"/>
    <w:rsid w:val="00F85E47"/>
    <w:rsid w:val="00F902F6"/>
    <w:rsid w:val="00F91173"/>
    <w:rsid w:val="00F919F3"/>
    <w:rsid w:val="00F92BE4"/>
    <w:rsid w:val="00F93F5E"/>
    <w:rsid w:val="00F9475E"/>
    <w:rsid w:val="00F952B9"/>
    <w:rsid w:val="00F9621D"/>
    <w:rsid w:val="00FA03BF"/>
    <w:rsid w:val="00FA05F9"/>
    <w:rsid w:val="00FA0D4B"/>
    <w:rsid w:val="00FA2E9B"/>
    <w:rsid w:val="00FA41FE"/>
    <w:rsid w:val="00FA4461"/>
    <w:rsid w:val="00FB39C2"/>
    <w:rsid w:val="00FB6288"/>
    <w:rsid w:val="00FC4351"/>
    <w:rsid w:val="00FC4AC1"/>
    <w:rsid w:val="00FC62D9"/>
    <w:rsid w:val="00FD0B57"/>
    <w:rsid w:val="00FD1874"/>
    <w:rsid w:val="00FD1DA3"/>
    <w:rsid w:val="00FD485A"/>
    <w:rsid w:val="00FD4D63"/>
    <w:rsid w:val="00FD6266"/>
    <w:rsid w:val="00FD6311"/>
    <w:rsid w:val="00FD7679"/>
    <w:rsid w:val="00FE101E"/>
    <w:rsid w:val="00FE17AF"/>
    <w:rsid w:val="00FE181D"/>
    <w:rsid w:val="00FE1B33"/>
    <w:rsid w:val="00FE1C0C"/>
    <w:rsid w:val="00FE2312"/>
    <w:rsid w:val="00FE7253"/>
    <w:rsid w:val="00FE788C"/>
    <w:rsid w:val="00FE7F56"/>
    <w:rsid w:val="00FF0F9E"/>
    <w:rsid w:val="00FF26D7"/>
    <w:rsid w:val="00FF4DCF"/>
    <w:rsid w:val="00FF5432"/>
    <w:rsid w:val="00FF5841"/>
    <w:rsid w:val="00FF6DF6"/>
    <w:rsid w:val="00FF7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71E78BB-B845-4F95-98C4-D8075D3C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locked="1" w:uiPriority="60"/>
    <w:lsdException w:name="Light List" w:uiPriority="61"/>
    <w:lsdException w:name="Light Grid" w:uiPriority="62"/>
    <w:lsdException w:name="Medium Shading 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uiPriority="61"/>
    <w:lsdException w:name="Light Grid Accent 1" w:uiPriority="62"/>
    <w:lsdException w:name="Medium Shading 1 Accent 1" w:uiPriority="63"/>
    <w:lsdException w:name="Medium Shading 2 Accent 1" w:locked="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D2"/>
    <w:pPr>
      <w:spacing w:after="120" w:line="240" w:lineRule="auto"/>
    </w:pPr>
  </w:style>
  <w:style w:type="paragraph" w:styleId="Heading1">
    <w:name w:val="heading 1"/>
    <w:basedOn w:val="Normal"/>
    <w:next w:val="Normal"/>
    <w:link w:val="Heading1Char"/>
    <w:uiPriority w:val="9"/>
    <w:qFormat/>
    <w:rsid w:val="00480692"/>
    <w:pPr>
      <w:keepNext/>
      <w:keepLines/>
      <w:tabs>
        <w:tab w:val="num" w:pos="1492"/>
      </w:tabs>
      <w:spacing w:before="200" w:after="480"/>
      <w:ind w:firstLine="357"/>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uiPriority w:val="9"/>
    <w:qFormat/>
    <w:rsid w:val="001E6A47"/>
    <w:pPr>
      <w:keepNext/>
      <w:keepLines/>
      <w:spacing w:before="240" w:after="2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uiPriority w:val="9"/>
    <w:qFormat/>
    <w:rsid w:val="00F321F6"/>
    <w:pPr>
      <w:keepNext/>
      <w:keepLines/>
      <w:numPr>
        <w:ilvl w:val="2"/>
        <w:numId w:val="12"/>
      </w:numPr>
      <w:spacing w:before="480" w:after="2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181B15"/>
    <w:pPr>
      <w:keepNext/>
      <w:keepLines/>
      <w:spacing w:before="360" w:after="240"/>
      <w:outlineLvl w:val="3"/>
    </w:pPr>
    <w:rPr>
      <w:rFonts w:asciiTheme="majorHAnsi" w:eastAsiaTheme="majorEastAsia" w:hAnsiTheme="majorHAnsi" w:cstheme="majorBidi"/>
      <w:b/>
      <w:bCs/>
      <w:i/>
      <w:iCs/>
      <w:color w:val="000000" w:themeColor="accent1"/>
      <w:sz w:val="24"/>
    </w:rPr>
  </w:style>
  <w:style w:type="paragraph" w:styleId="Heading5">
    <w:name w:val="heading 5"/>
    <w:basedOn w:val="Normal"/>
    <w:next w:val="Normal"/>
    <w:link w:val="Heading5Char"/>
    <w:qFormat/>
    <w:rsid w:val="00FD485A"/>
    <w:pPr>
      <w:keepNext/>
      <w:keepLines/>
      <w:numPr>
        <w:ilvl w:val="4"/>
        <w:numId w:val="12"/>
      </w:numPr>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numPr>
        <w:ilvl w:val="5"/>
        <w:numId w:val="12"/>
      </w:numPr>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qFormat/>
    <w:rsid w:val="00223F52"/>
    <w:pPr>
      <w:keepNext/>
      <w:keepLines/>
      <w:numPr>
        <w:ilvl w:val="6"/>
        <w:numId w:val="12"/>
      </w:numPr>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nhideWhenUsed/>
    <w:qFormat/>
    <w:rsid w:val="00BC472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C472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692"/>
    <w:rPr>
      <w:rFonts w:asciiTheme="majorHAnsi" w:eastAsiaTheme="majorEastAsia" w:hAnsiTheme="majorHAnsi" w:cstheme="majorBidi"/>
      <w:b/>
      <w:bCs/>
      <w:color w:val="008A00" w:themeColor="background2"/>
      <w:sz w:val="32"/>
      <w:szCs w:val="28"/>
    </w:rPr>
  </w:style>
  <w:style w:type="paragraph" w:styleId="Header">
    <w:name w:val="header"/>
    <w:basedOn w:val="Normal"/>
    <w:link w:val="HeaderChar"/>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character" w:customStyle="1" w:styleId="Heading2Char">
    <w:name w:val="Heading 2 Char"/>
    <w:basedOn w:val="DefaultParagraphFont"/>
    <w:link w:val="Heading2"/>
    <w:uiPriority w:val="9"/>
    <w:rsid w:val="001E6A47"/>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9"/>
    <w:rsid w:val="00F321F6"/>
    <w:rPr>
      <w:rFonts w:asciiTheme="majorHAnsi" w:eastAsiaTheme="majorEastAsia" w:hAnsiTheme="majorHAnsi" w:cstheme="majorBidi"/>
      <w:b/>
      <w:bCs/>
      <w:color w:val="004200" w:themeColor="text2"/>
      <w:sz w:val="26"/>
    </w:rPr>
  </w:style>
  <w:style w:type="paragraph" w:styleId="ListParagraph">
    <w:name w:val="List Paragraph"/>
    <w:basedOn w:val="Normal"/>
    <w:link w:val="ListParagraphChar"/>
    <w:uiPriority w:val="34"/>
    <w:qFormat/>
    <w:rsid w:val="00667796"/>
    <w:pPr>
      <w:ind w:left="720"/>
    </w:pPr>
  </w:style>
  <w:style w:type="paragraph" w:styleId="Quote">
    <w:name w:val="Quote"/>
    <w:basedOn w:val="Normal"/>
    <w:next w:val="Normal"/>
    <w:link w:val="QuoteChar"/>
    <w:qFormat/>
    <w:rsid w:val="00335A8F"/>
    <w:rPr>
      <w:i/>
      <w:iCs/>
      <w:color w:val="000000" w:themeColor="text1"/>
    </w:rPr>
  </w:style>
  <w:style w:type="character" w:customStyle="1" w:styleId="QuoteChar">
    <w:name w:val="Quote Char"/>
    <w:basedOn w:val="DefaultParagraphFont"/>
    <w:link w:val="Quote"/>
    <w:rsid w:val="006D7F4A"/>
    <w:rPr>
      <w:i/>
      <w:iCs/>
      <w:color w:val="000000" w:themeColor="text1"/>
      <w:sz w:val="24"/>
    </w:rPr>
  </w:style>
  <w:style w:type="paragraph" w:customStyle="1" w:styleId="Bullet1">
    <w:name w:val="Bullet 1"/>
    <w:basedOn w:val="Normal"/>
    <w:uiPriority w:val="34"/>
    <w:semiHidden/>
    <w:rsid w:val="00800E03"/>
    <w:pPr>
      <w:numPr>
        <w:numId w:val="1"/>
      </w:numPr>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ind w:left="6804" w:right="260"/>
      <w:contextualSpacing/>
      <w:jc w:val="right"/>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aliases w:val="Title Artwork Char"/>
    <w:basedOn w:val="DefaultParagraphFont"/>
    <w:link w:val="Title"/>
    <w:uiPriority w:val="11"/>
    <w:rsid w:val="0007116B"/>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iPriority w:val="99"/>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8B0084"/>
    <w:rPr>
      <w:rFonts w:ascii="Tahoma" w:hAnsi="Tahoma" w:cs="Tahoma"/>
      <w:sz w:val="16"/>
      <w:szCs w:val="16"/>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paragraph" w:customStyle="1" w:styleId="Covernote">
    <w:name w:val="Cover note"/>
    <w:basedOn w:val="Normal"/>
    <w:next w:val="Normal"/>
    <w:uiPriority w:val="14"/>
    <w:rsid w:val="006472C0"/>
    <w:rPr>
      <w:i/>
    </w:rPr>
  </w:style>
  <w:style w:type="character" w:customStyle="1" w:styleId="Heading4Char">
    <w:name w:val="Heading 4 Char"/>
    <w:basedOn w:val="DefaultParagraphFont"/>
    <w:link w:val="Heading4"/>
    <w:rsid w:val="00181B15"/>
    <w:rPr>
      <w:rFonts w:asciiTheme="majorHAnsi" w:eastAsiaTheme="majorEastAsia" w:hAnsiTheme="majorHAnsi" w:cstheme="majorBidi"/>
      <w:b/>
      <w:bCs/>
      <w:i/>
      <w:iCs/>
      <w:color w:val="000000" w:themeColor="accent1"/>
      <w:sz w:val="24"/>
    </w:rPr>
  </w:style>
  <w:style w:type="table" w:styleId="TableGrid">
    <w:name w:val="Table Grid"/>
    <w:basedOn w:val="TableNormal"/>
    <w:uiPriority w:val="59"/>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C4098E"/>
    <w:rPr>
      <w:b w:val="0"/>
      <w:color w:val="0000FF" w:themeColor="hyperlink"/>
      <w:sz w:val="22"/>
      <w:u w:val="single"/>
    </w:rPr>
  </w:style>
  <w:style w:type="paragraph" w:styleId="ListBullet">
    <w:name w:val="List Bullet"/>
    <w:basedOn w:val="Normal"/>
    <w:qFormat/>
    <w:rsid w:val="00397D4D"/>
    <w:pPr>
      <w:numPr>
        <w:numId w:val="2"/>
      </w:numPr>
      <w:tabs>
        <w:tab w:val="clear" w:pos="360"/>
        <w:tab w:val="num" w:pos="720"/>
      </w:tabs>
      <w:ind w:left="720"/>
      <w:contextualSpacing/>
    </w:pPr>
  </w:style>
  <w:style w:type="paragraph" w:styleId="ListBullet2">
    <w:name w:val="List Bullet 2"/>
    <w:basedOn w:val="ListBullet"/>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qFormat/>
    <w:rsid w:val="00D8256E"/>
    <w:pPr>
      <w:tabs>
        <w:tab w:val="left" w:pos="709"/>
        <w:tab w:val="right" w:leader="dot" w:pos="9016"/>
      </w:tabs>
      <w:spacing w:before="360" w:after="100"/>
    </w:pPr>
    <w:rPr>
      <w:b/>
      <w:noProof/>
      <w:sz w:val="24"/>
    </w:rPr>
  </w:style>
  <w:style w:type="paragraph" w:styleId="TOC2">
    <w:name w:val="toc 2"/>
    <w:basedOn w:val="Normal"/>
    <w:next w:val="Normal"/>
    <w:autoRedefine/>
    <w:uiPriority w:val="39"/>
    <w:unhideWhenUsed/>
    <w:qFormat/>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iPriority w:val="39"/>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qFormat/>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iPriority w:val="35"/>
    <w:unhideWhenUsed/>
    <w:qFormat/>
    <w:rsid w:val="000F6308"/>
    <w:rPr>
      <w:bCs/>
      <w:color w:val="000000" w:themeColor="accent1"/>
      <w:szCs w:val="18"/>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66311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qFormat/>
    <w:rsid w:val="00D87F12"/>
    <w:pPr>
      <w:spacing w:after="0"/>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character" w:styleId="PageNumber">
    <w:name w:val="page number"/>
    <w:rsid w:val="00460371"/>
    <w:rPr>
      <w:rFonts w:cs="Times New Roman"/>
    </w:rPr>
  </w:style>
  <w:style w:type="paragraph" w:customStyle="1" w:styleId="CEITitle">
    <w:name w:val="CEI Title"/>
    <w:basedOn w:val="Heading1"/>
    <w:autoRedefine/>
    <w:rsid w:val="00460371"/>
  </w:style>
  <w:style w:type="paragraph" w:styleId="BlockText">
    <w:name w:val="Block Text"/>
    <w:basedOn w:val="Normal"/>
    <w:semiHidden/>
    <w:rsid w:val="00460371"/>
    <w:pPr>
      <w:spacing w:before="120"/>
      <w:ind w:left="1440" w:right="1440"/>
    </w:pPr>
    <w:rPr>
      <w:rFonts w:ascii="Arial" w:eastAsia="Times New Roman" w:hAnsi="Arial" w:cs="Times New Roman"/>
      <w:sz w:val="20"/>
    </w:rPr>
  </w:style>
  <w:style w:type="paragraph" w:styleId="BodyText">
    <w:name w:val="Body Text"/>
    <w:basedOn w:val="Normal"/>
    <w:link w:val="BodyTextChar"/>
    <w:autoRedefine/>
    <w:rsid w:val="00460371"/>
    <w:pPr>
      <w:spacing w:before="120"/>
    </w:pPr>
    <w:rPr>
      <w:rFonts w:ascii="Arial" w:eastAsia="Times New Roman" w:hAnsi="Arial" w:cs="Times New Roman"/>
      <w:b/>
      <w:i/>
      <w:sz w:val="20"/>
    </w:rPr>
  </w:style>
  <w:style w:type="character" w:customStyle="1" w:styleId="BodyTextChar">
    <w:name w:val="Body Text Char"/>
    <w:basedOn w:val="DefaultParagraphFont"/>
    <w:link w:val="BodyText"/>
    <w:rsid w:val="00460371"/>
    <w:rPr>
      <w:rFonts w:ascii="Arial" w:eastAsia="Times New Roman" w:hAnsi="Arial" w:cs="Times New Roman"/>
      <w:b/>
      <w:i/>
      <w:sz w:val="20"/>
    </w:rPr>
  </w:style>
  <w:style w:type="paragraph" w:styleId="BodyTextFirstIndent">
    <w:name w:val="Body Text First Indent"/>
    <w:basedOn w:val="BodyText"/>
    <w:link w:val="BodyTextFirstIndentChar"/>
    <w:semiHidden/>
    <w:rsid w:val="00460371"/>
    <w:pPr>
      <w:ind w:firstLine="210"/>
    </w:pPr>
  </w:style>
  <w:style w:type="character" w:customStyle="1" w:styleId="BodyTextFirstIndentChar">
    <w:name w:val="Body Text First Indent Char"/>
    <w:basedOn w:val="BodyTextChar"/>
    <w:link w:val="BodyTextFirstIndent"/>
    <w:semiHidden/>
    <w:rsid w:val="00460371"/>
    <w:rPr>
      <w:rFonts w:ascii="Arial" w:eastAsia="Times New Roman" w:hAnsi="Arial" w:cs="Times New Roman"/>
      <w:b/>
      <w:i/>
      <w:sz w:val="20"/>
    </w:rPr>
  </w:style>
  <w:style w:type="paragraph" w:styleId="BodyTextIndent">
    <w:name w:val="Body Text Indent"/>
    <w:basedOn w:val="Normal"/>
    <w:link w:val="BodyTextIndentChar"/>
    <w:semiHidden/>
    <w:rsid w:val="00460371"/>
    <w:pPr>
      <w:spacing w:before="120"/>
      <w:ind w:left="283"/>
    </w:pPr>
    <w:rPr>
      <w:rFonts w:ascii="Arial" w:eastAsia="Times New Roman" w:hAnsi="Arial" w:cs="Times New Roman"/>
      <w:sz w:val="20"/>
    </w:rPr>
  </w:style>
  <w:style w:type="character" w:customStyle="1" w:styleId="BodyTextIndentChar">
    <w:name w:val="Body Text Indent Char"/>
    <w:basedOn w:val="DefaultParagraphFont"/>
    <w:link w:val="BodyTextIndent"/>
    <w:semiHidden/>
    <w:rsid w:val="00460371"/>
    <w:rPr>
      <w:rFonts w:ascii="Arial" w:eastAsia="Times New Roman" w:hAnsi="Arial" w:cs="Times New Roman"/>
      <w:sz w:val="20"/>
    </w:rPr>
  </w:style>
  <w:style w:type="paragraph" w:styleId="BodyTextFirstIndent2">
    <w:name w:val="Body Text First Indent 2"/>
    <w:basedOn w:val="BodyTextIndent"/>
    <w:link w:val="BodyTextFirstIndent2Char"/>
    <w:semiHidden/>
    <w:rsid w:val="00460371"/>
    <w:pPr>
      <w:ind w:firstLine="210"/>
    </w:pPr>
  </w:style>
  <w:style w:type="character" w:customStyle="1" w:styleId="BodyTextFirstIndent2Char">
    <w:name w:val="Body Text First Indent 2 Char"/>
    <w:basedOn w:val="BodyTextIndentChar"/>
    <w:link w:val="BodyTextFirstIndent2"/>
    <w:semiHidden/>
    <w:rsid w:val="00460371"/>
    <w:rPr>
      <w:rFonts w:ascii="Arial" w:eastAsia="Times New Roman" w:hAnsi="Arial" w:cs="Times New Roman"/>
      <w:sz w:val="20"/>
    </w:rPr>
  </w:style>
  <w:style w:type="paragraph" w:styleId="BodyTextIndent2">
    <w:name w:val="Body Text Indent 2"/>
    <w:basedOn w:val="Normal"/>
    <w:link w:val="BodyTextIndent2Char"/>
    <w:semiHidden/>
    <w:rsid w:val="00460371"/>
    <w:pPr>
      <w:spacing w:before="120" w:line="480" w:lineRule="auto"/>
      <w:ind w:left="283"/>
    </w:pPr>
    <w:rPr>
      <w:rFonts w:ascii="Arial" w:eastAsia="Times New Roman" w:hAnsi="Arial" w:cs="Times New Roman"/>
      <w:sz w:val="20"/>
    </w:rPr>
  </w:style>
  <w:style w:type="character" w:customStyle="1" w:styleId="BodyTextIndent2Char">
    <w:name w:val="Body Text Indent 2 Char"/>
    <w:basedOn w:val="DefaultParagraphFont"/>
    <w:link w:val="BodyTextIndent2"/>
    <w:semiHidden/>
    <w:rsid w:val="00460371"/>
    <w:rPr>
      <w:rFonts w:ascii="Arial" w:eastAsia="Times New Roman" w:hAnsi="Arial" w:cs="Times New Roman"/>
      <w:sz w:val="20"/>
    </w:rPr>
  </w:style>
  <w:style w:type="paragraph" w:styleId="BodyTextIndent3">
    <w:name w:val="Body Text Indent 3"/>
    <w:basedOn w:val="Normal"/>
    <w:link w:val="BodyTextIndent3Char"/>
    <w:semiHidden/>
    <w:rsid w:val="00460371"/>
    <w:pPr>
      <w:spacing w:before="120"/>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semiHidden/>
    <w:rsid w:val="00460371"/>
    <w:rPr>
      <w:rFonts w:ascii="Arial" w:eastAsia="Times New Roman" w:hAnsi="Arial" w:cs="Times New Roman"/>
      <w:sz w:val="16"/>
      <w:szCs w:val="16"/>
    </w:rPr>
  </w:style>
  <w:style w:type="paragraph" w:styleId="Closing">
    <w:name w:val="Closing"/>
    <w:basedOn w:val="Normal"/>
    <w:link w:val="ClosingChar"/>
    <w:semiHidden/>
    <w:rsid w:val="00460371"/>
    <w:pPr>
      <w:spacing w:before="120"/>
      <w:ind w:left="4252"/>
    </w:pPr>
    <w:rPr>
      <w:rFonts w:ascii="Arial" w:eastAsia="Times New Roman" w:hAnsi="Arial" w:cs="Times New Roman"/>
      <w:sz w:val="20"/>
    </w:rPr>
  </w:style>
  <w:style w:type="character" w:customStyle="1" w:styleId="ClosingChar">
    <w:name w:val="Closing Char"/>
    <w:basedOn w:val="DefaultParagraphFont"/>
    <w:link w:val="Closing"/>
    <w:semiHidden/>
    <w:rsid w:val="00460371"/>
    <w:rPr>
      <w:rFonts w:ascii="Arial" w:eastAsia="Times New Roman" w:hAnsi="Arial" w:cs="Times New Roman"/>
      <w:sz w:val="20"/>
    </w:rPr>
  </w:style>
  <w:style w:type="paragraph" w:styleId="E-mailSignature">
    <w:name w:val="E-mail Signature"/>
    <w:basedOn w:val="Normal"/>
    <w:link w:val="E-mailSignatureChar"/>
    <w:semiHidden/>
    <w:rsid w:val="00460371"/>
    <w:pPr>
      <w:spacing w:before="120"/>
    </w:pPr>
    <w:rPr>
      <w:rFonts w:ascii="Arial" w:eastAsia="Times New Roman" w:hAnsi="Arial" w:cs="Times New Roman"/>
      <w:sz w:val="20"/>
    </w:rPr>
  </w:style>
  <w:style w:type="character" w:customStyle="1" w:styleId="E-mailSignatureChar">
    <w:name w:val="E-mail Signature Char"/>
    <w:basedOn w:val="DefaultParagraphFont"/>
    <w:link w:val="E-mailSignature"/>
    <w:semiHidden/>
    <w:rsid w:val="00460371"/>
    <w:rPr>
      <w:rFonts w:ascii="Arial" w:eastAsia="Times New Roman" w:hAnsi="Arial" w:cs="Times New Roman"/>
      <w:sz w:val="20"/>
    </w:rPr>
  </w:style>
  <w:style w:type="paragraph" w:styleId="EnvelopeAddress">
    <w:name w:val="envelope address"/>
    <w:basedOn w:val="Normal"/>
    <w:semiHidden/>
    <w:rsid w:val="00460371"/>
    <w:pPr>
      <w:framePr w:w="7920" w:h="1980" w:hRule="exact" w:hSpace="180" w:wrap="auto" w:hAnchor="page" w:xAlign="center" w:yAlign="bottom"/>
      <w:spacing w:before="120"/>
      <w:ind w:left="2880"/>
    </w:pPr>
    <w:rPr>
      <w:rFonts w:ascii="Arial" w:eastAsia="Times New Roman" w:hAnsi="Arial" w:cs="Arial"/>
      <w:sz w:val="24"/>
      <w:szCs w:val="24"/>
    </w:rPr>
  </w:style>
  <w:style w:type="paragraph" w:styleId="EnvelopeReturn">
    <w:name w:val="envelope return"/>
    <w:basedOn w:val="Normal"/>
    <w:semiHidden/>
    <w:rsid w:val="00460371"/>
    <w:pPr>
      <w:spacing w:before="120"/>
    </w:pPr>
    <w:rPr>
      <w:rFonts w:ascii="Arial" w:eastAsia="Times New Roman" w:hAnsi="Arial" w:cs="Arial"/>
      <w:sz w:val="20"/>
      <w:szCs w:val="20"/>
    </w:rPr>
  </w:style>
  <w:style w:type="character" w:styleId="FollowedHyperlink">
    <w:name w:val="FollowedHyperlink"/>
    <w:semiHidden/>
    <w:rsid w:val="00460371"/>
    <w:rPr>
      <w:color w:val="008080"/>
      <w:u w:val="single"/>
    </w:rPr>
  </w:style>
  <w:style w:type="character" w:styleId="HTMLAcronym">
    <w:name w:val="HTML Acronym"/>
    <w:semiHidden/>
    <w:rsid w:val="00460371"/>
    <w:rPr>
      <w:rFonts w:cs="Times New Roman"/>
    </w:rPr>
  </w:style>
  <w:style w:type="paragraph" w:styleId="HTMLAddress">
    <w:name w:val="HTML Address"/>
    <w:basedOn w:val="Normal"/>
    <w:link w:val="HTMLAddressChar"/>
    <w:semiHidden/>
    <w:rsid w:val="00460371"/>
    <w:pPr>
      <w:spacing w:before="120"/>
    </w:pPr>
    <w:rPr>
      <w:rFonts w:ascii="Arial" w:eastAsia="Times New Roman" w:hAnsi="Arial" w:cs="Times New Roman"/>
      <w:i/>
      <w:iCs/>
      <w:sz w:val="20"/>
    </w:rPr>
  </w:style>
  <w:style w:type="character" w:customStyle="1" w:styleId="HTMLAddressChar">
    <w:name w:val="HTML Address Char"/>
    <w:basedOn w:val="DefaultParagraphFont"/>
    <w:link w:val="HTMLAddress"/>
    <w:semiHidden/>
    <w:rsid w:val="00460371"/>
    <w:rPr>
      <w:rFonts w:ascii="Arial" w:eastAsia="Times New Roman" w:hAnsi="Arial" w:cs="Times New Roman"/>
      <w:i/>
      <w:iCs/>
      <w:sz w:val="20"/>
    </w:rPr>
  </w:style>
  <w:style w:type="character" w:styleId="HTMLCite">
    <w:name w:val="HTML Cite"/>
    <w:semiHidden/>
    <w:rsid w:val="00460371"/>
    <w:rPr>
      <w:i/>
    </w:rPr>
  </w:style>
  <w:style w:type="character" w:styleId="HTMLCode">
    <w:name w:val="HTML Code"/>
    <w:semiHidden/>
    <w:rsid w:val="00460371"/>
    <w:rPr>
      <w:rFonts w:ascii="Courier New" w:hAnsi="Courier New"/>
      <w:sz w:val="20"/>
    </w:rPr>
  </w:style>
  <w:style w:type="character" w:styleId="HTMLDefinition">
    <w:name w:val="HTML Definition"/>
    <w:semiHidden/>
    <w:rsid w:val="00460371"/>
    <w:rPr>
      <w:i/>
    </w:rPr>
  </w:style>
  <w:style w:type="character" w:styleId="HTMLKeyboard">
    <w:name w:val="HTML Keyboard"/>
    <w:semiHidden/>
    <w:rsid w:val="00460371"/>
    <w:rPr>
      <w:rFonts w:ascii="Courier New" w:hAnsi="Courier New"/>
      <w:sz w:val="20"/>
    </w:rPr>
  </w:style>
  <w:style w:type="paragraph" w:styleId="HTMLPreformatted">
    <w:name w:val="HTML Preformatted"/>
    <w:basedOn w:val="Normal"/>
    <w:link w:val="HTMLPreformattedChar"/>
    <w:semiHidden/>
    <w:rsid w:val="00460371"/>
    <w:pPr>
      <w:spacing w:before="12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60371"/>
    <w:rPr>
      <w:rFonts w:ascii="Courier New" w:eastAsia="Times New Roman" w:hAnsi="Courier New" w:cs="Courier New"/>
      <w:sz w:val="20"/>
      <w:szCs w:val="20"/>
    </w:rPr>
  </w:style>
  <w:style w:type="character" w:styleId="HTMLSample">
    <w:name w:val="HTML Sample"/>
    <w:semiHidden/>
    <w:rsid w:val="00460371"/>
    <w:rPr>
      <w:rFonts w:ascii="Courier New" w:hAnsi="Courier New"/>
    </w:rPr>
  </w:style>
  <w:style w:type="character" w:styleId="HTMLTypewriter">
    <w:name w:val="HTML Typewriter"/>
    <w:semiHidden/>
    <w:rsid w:val="00460371"/>
    <w:rPr>
      <w:rFonts w:ascii="Courier New" w:hAnsi="Courier New"/>
      <w:sz w:val="20"/>
    </w:rPr>
  </w:style>
  <w:style w:type="character" w:styleId="HTMLVariable">
    <w:name w:val="HTML Variable"/>
    <w:semiHidden/>
    <w:rsid w:val="00460371"/>
    <w:rPr>
      <w:i/>
    </w:rPr>
  </w:style>
  <w:style w:type="character" w:styleId="LineNumber">
    <w:name w:val="line number"/>
    <w:semiHidden/>
    <w:rsid w:val="00460371"/>
    <w:rPr>
      <w:rFonts w:cs="Times New Roman"/>
    </w:rPr>
  </w:style>
  <w:style w:type="paragraph" w:styleId="List">
    <w:name w:val="List"/>
    <w:basedOn w:val="Normal"/>
    <w:semiHidden/>
    <w:rsid w:val="00460371"/>
    <w:pPr>
      <w:spacing w:before="120"/>
      <w:ind w:left="283" w:hanging="283"/>
    </w:pPr>
    <w:rPr>
      <w:rFonts w:ascii="Arial" w:eastAsia="Times New Roman" w:hAnsi="Arial" w:cs="Times New Roman"/>
      <w:sz w:val="20"/>
    </w:rPr>
  </w:style>
  <w:style w:type="paragraph" w:styleId="List2">
    <w:name w:val="List 2"/>
    <w:basedOn w:val="Normal"/>
    <w:semiHidden/>
    <w:rsid w:val="00460371"/>
    <w:pPr>
      <w:spacing w:before="120"/>
      <w:ind w:left="566" w:hanging="283"/>
    </w:pPr>
    <w:rPr>
      <w:rFonts w:ascii="Arial" w:eastAsia="Times New Roman" w:hAnsi="Arial" w:cs="Times New Roman"/>
      <w:sz w:val="20"/>
    </w:rPr>
  </w:style>
  <w:style w:type="paragraph" w:styleId="List3">
    <w:name w:val="List 3"/>
    <w:basedOn w:val="Normal"/>
    <w:semiHidden/>
    <w:rsid w:val="00460371"/>
    <w:pPr>
      <w:spacing w:before="120"/>
      <w:ind w:left="849" w:hanging="283"/>
    </w:pPr>
    <w:rPr>
      <w:rFonts w:ascii="Arial" w:eastAsia="Times New Roman" w:hAnsi="Arial" w:cs="Times New Roman"/>
      <w:sz w:val="20"/>
    </w:rPr>
  </w:style>
  <w:style w:type="paragraph" w:styleId="List4">
    <w:name w:val="List 4"/>
    <w:basedOn w:val="Normal"/>
    <w:semiHidden/>
    <w:rsid w:val="00460371"/>
    <w:pPr>
      <w:spacing w:before="120"/>
      <w:ind w:left="1132" w:hanging="283"/>
    </w:pPr>
    <w:rPr>
      <w:rFonts w:ascii="Arial" w:eastAsia="Times New Roman" w:hAnsi="Arial" w:cs="Times New Roman"/>
      <w:sz w:val="20"/>
    </w:rPr>
  </w:style>
  <w:style w:type="paragraph" w:styleId="List5">
    <w:name w:val="List 5"/>
    <w:basedOn w:val="Normal"/>
    <w:semiHidden/>
    <w:rsid w:val="00460371"/>
    <w:pPr>
      <w:spacing w:before="120"/>
      <w:ind w:left="1415" w:hanging="283"/>
    </w:pPr>
    <w:rPr>
      <w:rFonts w:ascii="Arial" w:eastAsia="Times New Roman" w:hAnsi="Arial" w:cs="Times New Roman"/>
      <w:sz w:val="20"/>
    </w:rPr>
  </w:style>
  <w:style w:type="paragraph" w:styleId="ListBullet4">
    <w:name w:val="List Bullet 4"/>
    <w:basedOn w:val="Normal"/>
    <w:semiHidden/>
    <w:rsid w:val="00460371"/>
    <w:pPr>
      <w:numPr>
        <w:numId w:val="6"/>
      </w:numPr>
      <w:spacing w:before="120"/>
    </w:pPr>
    <w:rPr>
      <w:rFonts w:ascii="Arial" w:eastAsia="Times New Roman" w:hAnsi="Arial" w:cs="Times New Roman"/>
      <w:sz w:val="20"/>
    </w:rPr>
  </w:style>
  <w:style w:type="paragraph" w:styleId="ListBullet5">
    <w:name w:val="List Bullet 5"/>
    <w:basedOn w:val="Normal"/>
    <w:semiHidden/>
    <w:rsid w:val="00460371"/>
    <w:pPr>
      <w:numPr>
        <w:numId w:val="7"/>
      </w:numPr>
      <w:spacing w:before="120"/>
    </w:pPr>
    <w:rPr>
      <w:rFonts w:ascii="Arial" w:eastAsia="Times New Roman" w:hAnsi="Arial" w:cs="Times New Roman"/>
      <w:sz w:val="20"/>
    </w:rPr>
  </w:style>
  <w:style w:type="paragraph" w:styleId="ListContinue">
    <w:name w:val="List Continue"/>
    <w:basedOn w:val="Normal"/>
    <w:semiHidden/>
    <w:rsid w:val="00460371"/>
    <w:pPr>
      <w:spacing w:before="120"/>
      <w:ind w:left="283"/>
    </w:pPr>
    <w:rPr>
      <w:rFonts w:ascii="Arial" w:eastAsia="Times New Roman" w:hAnsi="Arial" w:cs="Times New Roman"/>
      <w:sz w:val="20"/>
    </w:rPr>
  </w:style>
  <w:style w:type="paragraph" w:styleId="ListContinue2">
    <w:name w:val="List Continue 2"/>
    <w:basedOn w:val="Normal"/>
    <w:semiHidden/>
    <w:rsid w:val="00460371"/>
    <w:pPr>
      <w:spacing w:before="120"/>
      <w:ind w:left="566"/>
    </w:pPr>
    <w:rPr>
      <w:rFonts w:ascii="Arial" w:eastAsia="Times New Roman" w:hAnsi="Arial" w:cs="Times New Roman"/>
      <w:sz w:val="20"/>
    </w:rPr>
  </w:style>
  <w:style w:type="paragraph" w:styleId="ListContinue3">
    <w:name w:val="List Continue 3"/>
    <w:basedOn w:val="Normal"/>
    <w:semiHidden/>
    <w:rsid w:val="00460371"/>
    <w:pPr>
      <w:spacing w:before="120"/>
      <w:ind w:left="849"/>
    </w:pPr>
    <w:rPr>
      <w:rFonts w:ascii="Arial" w:eastAsia="Times New Roman" w:hAnsi="Arial" w:cs="Times New Roman"/>
      <w:sz w:val="20"/>
    </w:rPr>
  </w:style>
  <w:style w:type="paragraph" w:styleId="ListContinue4">
    <w:name w:val="List Continue 4"/>
    <w:basedOn w:val="Normal"/>
    <w:semiHidden/>
    <w:rsid w:val="00460371"/>
    <w:pPr>
      <w:spacing w:before="120"/>
      <w:ind w:left="1132"/>
    </w:pPr>
    <w:rPr>
      <w:rFonts w:ascii="Arial" w:eastAsia="Times New Roman" w:hAnsi="Arial" w:cs="Times New Roman"/>
      <w:sz w:val="20"/>
    </w:rPr>
  </w:style>
  <w:style w:type="paragraph" w:styleId="ListContinue5">
    <w:name w:val="List Continue 5"/>
    <w:basedOn w:val="Normal"/>
    <w:semiHidden/>
    <w:rsid w:val="00460371"/>
    <w:pPr>
      <w:spacing w:before="120"/>
      <w:ind w:left="1415"/>
    </w:pPr>
    <w:rPr>
      <w:rFonts w:ascii="Arial" w:eastAsia="Times New Roman" w:hAnsi="Arial" w:cs="Times New Roman"/>
      <w:sz w:val="20"/>
    </w:rPr>
  </w:style>
  <w:style w:type="paragraph" w:styleId="ListNumber">
    <w:name w:val="List Number"/>
    <w:basedOn w:val="Normal"/>
    <w:semiHidden/>
    <w:rsid w:val="00460371"/>
    <w:pPr>
      <w:numPr>
        <w:numId w:val="8"/>
      </w:numPr>
      <w:spacing w:before="120"/>
    </w:pPr>
    <w:rPr>
      <w:rFonts w:ascii="Arial" w:eastAsia="Times New Roman" w:hAnsi="Arial" w:cs="Times New Roman"/>
      <w:sz w:val="20"/>
    </w:rPr>
  </w:style>
  <w:style w:type="paragraph" w:styleId="ListNumber2">
    <w:name w:val="List Number 2"/>
    <w:basedOn w:val="Normal"/>
    <w:semiHidden/>
    <w:rsid w:val="00460371"/>
    <w:pPr>
      <w:numPr>
        <w:numId w:val="9"/>
      </w:numPr>
      <w:spacing w:before="120"/>
    </w:pPr>
    <w:rPr>
      <w:rFonts w:ascii="Arial" w:eastAsia="Times New Roman" w:hAnsi="Arial" w:cs="Times New Roman"/>
      <w:sz w:val="20"/>
    </w:rPr>
  </w:style>
  <w:style w:type="paragraph" w:styleId="ListNumber3">
    <w:name w:val="List Number 3"/>
    <w:basedOn w:val="Normal"/>
    <w:semiHidden/>
    <w:rsid w:val="00460371"/>
    <w:pPr>
      <w:numPr>
        <w:numId w:val="10"/>
      </w:numPr>
      <w:spacing w:before="120"/>
    </w:pPr>
    <w:rPr>
      <w:rFonts w:ascii="Arial" w:eastAsia="Times New Roman" w:hAnsi="Arial" w:cs="Times New Roman"/>
      <w:sz w:val="20"/>
    </w:rPr>
  </w:style>
  <w:style w:type="paragraph" w:styleId="ListNumber4">
    <w:name w:val="List Number 4"/>
    <w:basedOn w:val="Normal"/>
    <w:semiHidden/>
    <w:rsid w:val="00460371"/>
    <w:pPr>
      <w:numPr>
        <w:numId w:val="11"/>
      </w:numPr>
      <w:spacing w:before="120"/>
    </w:pPr>
    <w:rPr>
      <w:rFonts w:ascii="Arial" w:eastAsia="Times New Roman" w:hAnsi="Arial" w:cs="Times New Roman"/>
      <w:sz w:val="20"/>
    </w:rPr>
  </w:style>
  <w:style w:type="paragraph" w:styleId="ListNumber5">
    <w:name w:val="List Number 5"/>
    <w:basedOn w:val="Normal"/>
    <w:semiHidden/>
    <w:rsid w:val="00460371"/>
    <w:pPr>
      <w:tabs>
        <w:tab w:val="num" w:pos="1492"/>
      </w:tabs>
      <w:spacing w:before="120"/>
      <w:ind w:left="1492" w:hanging="360"/>
    </w:pPr>
    <w:rPr>
      <w:rFonts w:ascii="Arial" w:eastAsia="Times New Roman" w:hAnsi="Arial" w:cs="Times New Roman"/>
      <w:sz w:val="20"/>
    </w:rPr>
  </w:style>
  <w:style w:type="paragraph" w:styleId="MessageHeader">
    <w:name w:val="Message Header"/>
    <w:basedOn w:val="Normal"/>
    <w:link w:val="MessageHeaderChar"/>
    <w:semiHidden/>
    <w:rsid w:val="0046037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rFonts w:ascii="Arial" w:eastAsia="Times New Roman" w:hAnsi="Arial" w:cs="Arial"/>
      <w:sz w:val="20"/>
      <w:szCs w:val="24"/>
    </w:rPr>
  </w:style>
  <w:style w:type="character" w:customStyle="1" w:styleId="MessageHeaderChar">
    <w:name w:val="Message Header Char"/>
    <w:basedOn w:val="DefaultParagraphFont"/>
    <w:link w:val="MessageHeader"/>
    <w:semiHidden/>
    <w:rsid w:val="00460371"/>
    <w:rPr>
      <w:rFonts w:ascii="Arial" w:eastAsia="Times New Roman" w:hAnsi="Arial" w:cs="Arial"/>
      <w:sz w:val="20"/>
      <w:szCs w:val="24"/>
      <w:shd w:val="pct20" w:color="auto" w:fill="auto"/>
    </w:rPr>
  </w:style>
  <w:style w:type="paragraph" w:styleId="NormalWeb">
    <w:name w:val="Normal (Web)"/>
    <w:basedOn w:val="Normal"/>
    <w:uiPriority w:val="99"/>
    <w:rsid w:val="00460371"/>
    <w:pPr>
      <w:spacing w:before="120"/>
    </w:pPr>
    <w:rPr>
      <w:rFonts w:ascii="Times New Roman" w:eastAsia="Times New Roman" w:hAnsi="Times New Roman" w:cs="Times New Roman"/>
      <w:sz w:val="24"/>
      <w:szCs w:val="24"/>
    </w:rPr>
  </w:style>
  <w:style w:type="paragraph" w:styleId="NormalIndent">
    <w:name w:val="Normal Indent"/>
    <w:basedOn w:val="Normal"/>
    <w:semiHidden/>
    <w:rsid w:val="00460371"/>
    <w:pPr>
      <w:spacing w:before="120"/>
      <w:ind w:left="720"/>
    </w:pPr>
    <w:rPr>
      <w:rFonts w:ascii="Arial" w:eastAsia="Times New Roman" w:hAnsi="Arial" w:cs="Times New Roman"/>
      <w:sz w:val="20"/>
    </w:rPr>
  </w:style>
  <w:style w:type="paragraph" w:styleId="NoteHeading">
    <w:name w:val="Note Heading"/>
    <w:basedOn w:val="Normal"/>
    <w:next w:val="Normal"/>
    <w:link w:val="NoteHeadingChar"/>
    <w:semiHidden/>
    <w:rsid w:val="00460371"/>
    <w:pPr>
      <w:spacing w:before="120"/>
    </w:pPr>
    <w:rPr>
      <w:rFonts w:ascii="Arial" w:eastAsia="Times New Roman" w:hAnsi="Arial" w:cs="Times New Roman"/>
      <w:sz w:val="20"/>
    </w:rPr>
  </w:style>
  <w:style w:type="character" w:customStyle="1" w:styleId="NoteHeadingChar">
    <w:name w:val="Note Heading Char"/>
    <w:basedOn w:val="DefaultParagraphFont"/>
    <w:link w:val="NoteHeading"/>
    <w:semiHidden/>
    <w:rsid w:val="00460371"/>
    <w:rPr>
      <w:rFonts w:ascii="Arial" w:eastAsia="Times New Roman" w:hAnsi="Arial" w:cs="Times New Roman"/>
      <w:sz w:val="20"/>
    </w:rPr>
  </w:style>
  <w:style w:type="paragraph" w:styleId="PlainText">
    <w:name w:val="Plain Text"/>
    <w:basedOn w:val="Normal"/>
    <w:link w:val="PlainTextChar"/>
    <w:semiHidden/>
    <w:rsid w:val="00460371"/>
    <w:pPr>
      <w:spacing w:before="12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460371"/>
    <w:rPr>
      <w:rFonts w:ascii="Courier New" w:eastAsia="Times New Roman" w:hAnsi="Courier New" w:cs="Courier New"/>
      <w:sz w:val="20"/>
      <w:szCs w:val="20"/>
    </w:rPr>
  </w:style>
  <w:style w:type="paragraph" w:styleId="Salutation">
    <w:name w:val="Salutation"/>
    <w:basedOn w:val="Normal"/>
    <w:next w:val="Normal"/>
    <w:link w:val="SalutationChar"/>
    <w:semiHidden/>
    <w:rsid w:val="00460371"/>
    <w:pPr>
      <w:spacing w:before="120"/>
    </w:pPr>
    <w:rPr>
      <w:rFonts w:ascii="Arial" w:eastAsia="Times New Roman" w:hAnsi="Arial" w:cs="Times New Roman"/>
      <w:sz w:val="20"/>
    </w:rPr>
  </w:style>
  <w:style w:type="character" w:customStyle="1" w:styleId="SalutationChar">
    <w:name w:val="Salutation Char"/>
    <w:basedOn w:val="DefaultParagraphFont"/>
    <w:link w:val="Salutation"/>
    <w:semiHidden/>
    <w:rsid w:val="00460371"/>
    <w:rPr>
      <w:rFonts w:ascii="Arial" w:eastAsia="Times New Roman" w:hAnsi="Arial" w:cs="Times New Roman"/>
      <w:sz w:val="20"/>
    </w:rPr>
  </w:style>
  <w:style w:type="paragraph" w:styleId="Signature">
    <w:name w:val="Signature"/>
    <w:basedOn w:val="Normal"/>
    <w:link w:val="SignatureChar"/>
    <w:semiHidden/>
    <w:rsid w:val="00460371"/>
    <w:pPr>
      <w:spacing w:before="120"/>
      <w:ind w:left="4252"/>
    </w:pPr>
    <w:rPr>
      <w:rFonts w:ascii="Arial" w:eastAsia="Times New Roman" w:hAnsi="Arial" w:cs="Times New Roman"/>
      <w:sz w:val="20"/>
    </w:rPr>
  </w:style>
  <w:style w:type="character" w:customStyle="1" w:styleId="SignatureChar">
    <w:name w:val="Signature Char"/>
    <w:basedOn w:val="DefaultParagraphFont"/>
    <w:link w:val="Signature"/>
    <w:semiHidden/>
    <w:rsid w:val="00460371"/>
    <w:rPr>
      <w:rFonts w:ascii="Arial" w:eastAsia="Times New Roman" w:hAnsi="Arial" w:cs="Times New Roman"/>
      <w:sz w:val="20"/>
    </w:rPr>
  </w:style>
  <w:style w:type="table" w:styleId="Table3Deffects1">
    <w:name w:val="Table 3D effects 1"/>
    <w:basedOn w:val="TableNormal"/>
    <w:semiHidden/>
    <w:rsid w:val="00460371"/>
    <w:rPr>
      <w:rFonts w:ascii="Times New Roman" w:eastAsia="Times New Roman" w:hAnsi="Times New Roman" w:cs="Times New Roman"/>
      <w:sz w:val="20"/>
      <w:szCs w:val="20"/>
      <w:lang w:val="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60371"/>
    <w:rPr>
      <w:rFonts w:ascii="Times New Roman" w:eastAsia="Times New Roman" w:hAnsi="Times New Roman" w:cs="Times New Roman"/>
      <w:sz w:val="20"/>
      <w:szCs w:val="20"/>
      <w:lang w:val="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60371"/>
    <w:rPr>
      <w:rFonts w:ascii="Times New Roman" w:eastAsia="Times New Roman" w:hAnsi="Times New Roman" w:cs="Times New Roman"/>
      <w:sz w:val="20"/>
      <w:szCs w:val="20"/>
      <w:lang w:val="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60371"/>
    <w:rPr>
      <w:rFonts w:ascii="Times New Roman" w:eastAsia="Times New Roman" w:hAnsi="Times New Roman" w:cs="Times New Roman"/>
      <w:sz w:val="20"/>
      <w:szCs w:val="20"/>
      <w:lang w:val="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60371"/>
    <w:rPr>
      <w:rFonts w:ascii="Times New Roman" w:eastAsia="Times New Roman" w:hAnsi="Times New Roman" w:cs="Times New Roman"/>
      <w:sz w:val="20"/>
      <w:szCs w:val="20"/>
      <w:lang w:val="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60371"/>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60371"/>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60371"/>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60371"/>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60371"/>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60371"/>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60371"/>
    <w:rPr>
      <w:rFonts w:ascii="Times New Roman" w:eastAsia="Times New Roman" w:hAnsi="Times New Roman" w:cs="Times New Roman"/>
      <w:b/>
      <w:bCs/>
      <w:sz w:val="20"/>
      <w:szCs w:val="20"/>
      <w:lang w:val="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60371"/>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60371"/>
    <w:rPr>
      <w:rFonts w:ascii="Times New Roman" w:eastAsia="Times New Roman" w:hAnsi="Times New Roman" w:cs="Times New Roman"/>
      <w:sz w:val="20"/>
      <w:szCs w:val="20"/>
      <w:lang w:val="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60371"/>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60371"/>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60371"/>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60371"/>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60371"/>
    <w:rPr>
      <w:rFonts w:ascii="Times New Roman" w:eastAsia="Times New Roman" w:hAnsi="Times New Roman" w:cs="Times New Roman"/>
      <w:sz w:val="20"/>
      <w:szCs w:val="20"/>
      <w:lang w:val="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60371"/>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60371"/>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60371"/>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60371"/>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60371"/>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60371"/>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4">
    <w:name w:val="Table List 4"/>
    <w:basedOn w:val="TableNormal"/>
    <w:semiHidden/>
    <w:rsid w:val="00460371"/>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60371"/>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60371"/>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60371"/>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60371"/>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60371"/>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60371"/>
    <w:rPr>
      <w:rFonts w:ascii="Times New Roman" w:eastAsia="Times New Roman" w:hAnsi="Times New Roman" w:cs="Times New Roman"/>
      <w:sz w:val="20"/>
      <w:szCs w:val="20"/>
      <w:lang w:val="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60371"/>
    <w:rPr>
      <w:rFonts w:ascii="Times New Roman" w:eastAsia="Times New Roman" w:hAnsi="Times New Roman" w:cs="Times New Roman"/>
      <w:sz w:val="20"/>
      <w:szCs w:val="20"/>
      <w:lang w:val="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60371"/>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60371"/>
    <w:rPr>
      <w:rFonts w:ascii="Times New Roman" w:eastAsia="Times New Roman" w:hAnsi="Times New Roman" w:cs="Times New Roman"/>
      <w:sz w:val="20"/>
      <w:szCs w:val="20"/>
      <w:lang w:val="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60371"/>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60371"/>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60371"/>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460371"/>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60371"/>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Bullet3">
    <w:name w:val="List Bullet 3"/>
    <w:basedOn w:val="Normal"/>
    <w:rsid w:val="00460371"/>
    <w:pPr>
      <w:numPr>
        <w:numId w:val="13"/>
      </w:numPr>
      <w:spacing w:before="120"/>
    </w:pPr>
    <w:rPr>
      <w:rFonts w:ascii="Arial" w:eastAsia="Times New Roman" w:hAnsi="Arial" w:cs="Times New Roman"/>
      <w:sz w:val="20"/>
    </w:rPr>
  </w:style>
  <w:style w:type="paragraph" w:styleId="BodyText2">
    <w:name w:val="Body Text 2"/>
    <w:basedOn w:val="Normal"/>
    <w:link w:val="BodyText2Char"/>
    <w:autoRedefine/>
    <w:rsid w:val="00460371"/>
    <w:pPr>
      <w:spacing w:before="120"/>
    </w:pPr>
    <w:rPr>
      <w:rFonts w:ascii="Arial" w:eastAsia="Times New Roman" w:hAnsi="Arial" w:cs="Times New Roman"/>
      <w:sz w:val="20"/>
    </w:rPr>
  </w:style>
  <w:style w:type="character" w:customStyle="1" w:styleId="BodyText2Char">
    <w:name w:val="Body Text 2 Char"/>
    <w:basedOn w:val="DefaultParagraphFont"/>
    <w:link w:val="BodyText2"/>
    <w:rsid w:val="00460371"/>
    <w:rPr>
      <w:rFonts w:ascii="Arial" w:eastAsia="Times New Roman" w:hAnsi="Arial" w:cs="Times New Roman"/>
      <w:sz w:val="20"/>
    </w:rPr>
  </w:style>
  <w:style w:type="character" w:styleId="FootnoteReference">
    <w:name w:val="footnote reference"/>
    <w:uiPriority w:val="99"/>
    <w:rsid w:val="00460371"/>
    <w:rPr>
      <w:vertAlign w:val="superscript"/>
    </w:rPr>
  </w:style>
  <w:style w:type="paragraph" w:customStyle="1" w:styleId="Bullet">
    <w:name w:val="Bullet"/>
    <w:basedOn w:val="Normal"/>
    <w:autoRedefine/>
    <w:rsid w:val="00460371"/>
    <w:pPr>
      <w:numPr>
        <w:numId w:val="14"/>
      </w:numPr>
      <w:spacing w:before="120" w:after="240"/>
    </w:pPr>
    <w:rPr>
      <w:rFonts w:ascii="Arial" w:eastAsia="Times New Roman" w:hAnsi="Arial" w:cs="Times New Roman"/>
      <w:sz w:val="20"/>
    </w:rPr>
  </w:style>
  <w:style w:type="paragraph" w:customStyle="1" w:styleId="Dash">
    <w:name w:val="Dash"/>
    <w:basedOn w:val="Normal"/>
    <w:autoRedefine/>
    <w:rsid w:val="00460371"/>
    <w:pPr>
      <w:spacing w:before="60" w:after="60"/>
    </w:pPr>
    <w:rPr>
      <w:rFonts w:ascii="Arial" w:eastAsia="Times New Roman" w:hAnsi="Arial" w:cs="Times New Roman"/>
      <w:sz w:val="24"/>
    </w:rPr>
  </w:style>
  <w:style w:type="paragraph" w:customStyle="1" w:styleId="DoubleDot">
    <w:name w:val="Double Dot"/>
    <w:basedOn w:val="Normal"/>
    <w:rsid w:val="00460371"/>
    <w:pPr>
      <w:numPr>
        <w:ilvl w:val="2"/>
        <w:numId w:val="14"/>
      </w:numPr>
      <w:spacing w:before="120" w:after="240"/>
    </w:pPr>
    <w:rPr>
      <w:rFonts w:ascii="Arial" w:eastAsia="Times New Roman" w:hAnsi="Arial" w:cs="Times New Roman"/>
      <w:sz w:val="24"/>
    </w:rPr>
  </w:style>
  <w:style w:type="paragraph" w:customStyle="1" w:styleId="Appendix">
    <w:name w:val="Appendix"/>
    <w:basedOn w:val="Heading1"/>
    <w:autoRedefine/>
    <w:rsid w:val="00460371"/>
  </w:style>
  <w:style w:type="paragraph" w:customStyle="1" w:styleId="Appendix2">
    <w:name w:val="Appendix 2"/>
    <w:basedOn w:val="Appendix"/>
    <w:rsid w:val="00460371"/>
    <w:pPr>
      <w:pageBreakBefore/>
      <w:spacing w:before="0" w:beforeAutospacing="1" w:after="100" w:afterAutospacing="1" w:line="0" w:lineRule="atLeast"/>
      <w:ind w:left="432" w:hanging="432"/>
      <w:outlineLvl w:val="9"/>
    </w:pPr>
    <w:rPr>
      <w:rFonts w:ascii="Arial" w:eastAsia="Times New Roman" w:hAnsi="Arial" w:cs="Arial"/>
      <w:b w:val="0"/>
      <w:i/>
      <w:color w:val="000000"/>
      <w:kern w:val="32"/>
      <w:sz w:val="18"/>
      <w:szCs w:val="18"/>
    </w:rPr>
  </w:style>
  <w:style w:type="paragraph" w:customStyle="1" w:styleId="InfoMapsubheading">
    <w:name w:val="InfoMap subheading"/>
    <w:basedOn w:val="Normal"/>
    <w:rsid w:val="00460371"/>
    <w:pPr>
      <w:spacing w:before="180" w:after="60"/>
      <w:ind w:left="2268" w:right="567"/>
    </w:pPr>
    <w:rPr>
      <w:rFonts w:ascii="Verdana" w:eastAsia="Times New Roman" w:hAnsi="Verdana" w:cs="Times New Roman"/>
      <w:b/>
      <w:i/>
      <w:sz w:val="20"/>
      <w:lang w:val="en-US"/>
    </w:rPr>
  </w:style>
  <w:style w:type="paragraph" w:customStyle="1" w:styleId="StyleHeading3Before4pt">
    <w:name w:val="Style Heading 3 + Before:  4 pt"/>
    <w:basedOn w:val="Heading3"/>
    <w:rsid w:val="00460371"/>
    <w:pPr>
      <w:numPr>
        <w:ilvl w:val="0"/>
        <w:numId w:val="0"/>
      </w:numPr>
      <w:tabs>
        <w:tab w:val="num" w:pos="1492"/>
      </w:tabs>
      <w:ind w:left="1492" w:hanging="360"/>
    </w:pPr>
  </w:style>
  <w:style w:type="character" w:customStyle="1" w:styleId="StyleCodeLeft0cmLinespacingAtleast12pt">
    <w:name w:val="Style Code + Left:  0 cm Line spacing:  At least 12 pt"/>
    <w:rsid w:val="00460371"/>
    <w:rPr>
      <w:rFonts w:ascii="Courier New" w:hAnsi="Courier New"/>
    </w:rPr>
  </w:style>
  <w:style w:type="paragraph" w:customStyle="1" w:styleId="Itemfieldtitle">
    <w:name w:val="Item field title"/>
    <w:basedOn w:val="Normal"/>
    <w:rsid w:val="00460371"/>
    <w:pPr>
      <w:spacing w:before="40" w:after="40"/>
    </w:pPr>
    <w:rPr>
      <w:rFonts w:ascii="Book Antiqua" w:eastAsia="Times New Roman" w:hAnsi="Book Antiqua" w:cs="Times New Roman"/>
      <w:b/>
      <w:i/>
      <w:sz w:val="20"/>
      <w:szCs w:val="20"/>
    </w:rPr>
  </w:style>
  <w:style w:type="paragraph" w:customStyle="1" w:styleId="Itemfieldvalue">
    <w:name w:val="Item field value"/>
    <w:basedOn w:val="Normal"/>
    <w:rsid w:val="00460371"/>
    <w:pPr>
      <w:spacing w:before="40" w:after="40"/>
    </w:pPr>
    <w:rPr>
      <w:rFonts w:ascii="Times New Roman" w:eastAsia="Times New Roman" w:hAnsi="Times New Roman" w:cs="Times New Roman"/>
      <w:sz w:val="20"/>
      <w:szCs w:val="20"/>
    </w:rPr>
  </w:style>
  <w:style w:type="paragraph" w:customStyle="1" w:styleId="Itemtitle">
    <w:name w:val="Item title"/>
    <w:basedOn w:val="Normal"/>
    <w:rsid w:val="00460371"/>
    <w:pPr>
      <w:pageBreakBefore/>
      <w:pBdr>
        <w:top w:val="single" w:sz="18" w:space="1" w:color="auto"/>
        <w:bottom w:val="single" w:sz="18" w:space="1" w:color="auto"/>
      </w:pBdr>
      <w:spacing w:before="40" w:after="40"/>
    </w:pPr>
    <w:rPr>
      <w:rFonts w:ascii="Arial" w:eastAsia="Times New Roman" w:hAnsi="Arial" w:cs="Times New Roman"/>
      <w:b/>
      <w:sz w:val="32"/>
      <w:szCs w:val="20"/>
    </w:rPr>
  </w:style>
  <w:style w:type="paragraph" w:customStyle="1" w:styleId="Itemsectiontitle">
    <w:name w:val="Item section title"/>
    <w:basedOn w:val="Normal"/>
    <w:next w:val="Itemfieldtitle"/>
    <w:rsid w:val="00460371"/>
    <w:pPr>
      <w:spacing w:before="180" w:after="60"/>
    </w:pPr>
    <w:rPr>
      <w:rFonts w:ascii="Arial" w:eastAsia="Times New Roman" w:hAnsi="Arial" w:cs="Times New Roman"/>
      <w:b/>
      <w:sz w:val="24"/>
      <w:szCs w:val="20"/>
    </w:rPr>
  </w:style>
  <w:style w:type="paragraph" w:customStyle="1" w:styleId="TPVerso">
    <w:name w:val="T/P: Verso"/>
    <w:rsid w:val="00460371"/>
    <w:pPr>
      <w:keepLines/>
      <w:spacing w:before="60" w:after="60" w:line="240" w:lineRule="auto"/>
    </w:pPr>
    <w:rPr>
      <w:rFonts w:ascii="Helvetica" w:eastAsia="Times New Roman" w:hAnsi="Helvetica" w:cs="Times New Roman"/>
      <w:szCs w:val="20"/>
    </w:rPr>
  </w:style>
  <w:style w:type="paragraph" w:customStyle="1" w:styleId="Iteminsertedtitle">
    <w:name w:val="Item inserted title"/>
    <w:basedOn w:val="Itemsectiontitle"/>
    <w:rsid w:val="00460371"/>
    <w:pPr>
      <w:pBdr>
        <w:bottom w:val="single" w:sz="8" w:space="1" w:color="auto"/>
      </w:pBdr>
      <w:spacing w:before="240"/>
    </w:pPr>
    <w:rPr>
      <w:sz w:val="28"/>
    </w:rPr>
  </w:style>
  <w:style w:type="paragraph" w:customStyle="1" w:styleId="Alternatename">
    <w:name w:val="Alternate name"/>
    <w:basedOn w:val="Normal"/>
    <w:rsid w:val="00460371"/>
    <w:pPr>
      <w:spacing w:before="40" w:after="40"/>
    </w:pPr>
    <w:rPr>
      <w:rFonts w:ascii="Book Antiqua" w:eastAsia="Times New Roman" w:hAnsi="Book Antiqua" w:cs="Times New Roman"/>
      <w:sz w:val="20"/>
      <w:szCs w:val="20"/>
    </w:rPr>
  </w:style>
  <w:style w:type="paragraph" w:customStyle="1" w:styleId="Sectiontitle">
    <w:name w:val="Section title"/>
    <w:basedOn w:val="Normal"/>
    <w:link w:val="SectiontitleChar"/>
    <w:rsid w:val="00460371"/>
    <w:pPr>
      <w:pageBreakBefore/>
      <w:spacing w:before="40" w:after="40"/>
    </w:pPr>
    <w:rPr>
      <w:rFonts w:ascii="Arial" w:eastAsia="Times New Roman" w:hAnsi="Arial" w:cs="Times New Roman"/>
      <w:b/>
      <w:sz w:val="36"/>
      <w:szCs w:val="36"/>
      <w:lang w:val="en-US"/>
    </w:rPr>
  </w:style>
  <w:style w:type="character" w:customStyle="1" w:styleId="SectiontitleChar">
    <w:name w:val="Section title Char"/>
    <w:link w:val="Sectiontitle"/>
    <w:locked/>
    <w:rsid w:val="00460371"/>
    <w:rPr>
      <w:rFonts w:ascii="Arial" w:eastAsia="Times New Roman" w:hAnsi="Arial" w:cs="Times New Roman"/>
      <w:b/>
      <w:sz w:val="36"/>
      <w:szCs w:val="36"/>
      <w:lang w:val="en-US"/>
    </w:rPr>
  </w:style>
  <w:style w:type="paragraph" w:customStyle="1" w:styleId="table">
    <w:name w:val="table"/>
    <w:basedOn w:val="Normal"/>
    <w:autoRedefine/>
    <w:rsid w:val="00D03C89"/>
    <w:pPr>
      <w:spacing w:before="240"/>
    </w:pPr>
    <w:rPr>
      <w:rFonts w:ascii="Arial" w:eastAsia="Times New Roman" w:hAnsi="Arial" w:cstheme="minorHAnsi"/>
      <w:b/>
      <w:color w:val="000000"/>
      <w:sz w:val="20"/>
      <w:szCs w:val="20"/>
      <w:lang w:eastAsia="en-AU"/>
    </w:rPr>
  </w:style>
  <w:style w:type="table" w:styleId="TableList3">
    <w:name w:val="Table List 3"/>
    <w:basedOn w:val="TableNormal"/>
    <w:rsid w:val="00460371"/>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Shading-Accent21">
    <w:name w:val="Light Shading - Accent 21"/>
    <w:rsid w:val="00460371"/>
    <w:pPr>
      <w:spacing w:after="0" w:line="240" w:lineRule="auto"/>
    </w:pPr>
    <w:rPr>
      <w:rFonts w:ascii="Times New Roman" w:eastAsia="Times New Roman" w:hAnsi="Times New Roman" w:cs="Times New Roman"/>
      <w:color w:val="943634"/>
      <w:sz w:val="20"/>
      <w:szCs w:val="2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11">
    <w:name w:val="Light Shading - Accent 11"/>
    <w:rsid w:val="00460371"/>
    <w:pPr>
      <w:spacing w:after="0" w:line="240" w:lineRule="auto"/>
    </w:pPr>
    <w:rPr>
      <w:rFonts w:ascii="Times New Roman" w:eastAsia="Times New Roman" w:hAnsi="Times New Roman"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
    <w:name w:val="Light Shading1"/>
    <w:rsid w:val="00460371"/>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List1">
    <w:name w:val="Table List 1"/>
    <w:basedOn w:val="TableNormal"/>
    <w:rsid w:val="00460371"/>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460371"/>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Shading-Accent31">
    <w:name w:val="Light Shading - Accent 31"/>
    <w:rsid w:val="00460371"/>
    <w:pPr>
      <w:spacing w:after="0" w:line="240" w:lineRule="auto"/>
    </w:pPr>
    <w:rPr>
      <w:rFonts w:ascii="Times New Roman" w:eastAsia="Times New Roman" w:hAnsi="Times New Roman" w:cs="Times New Roman"/>
      <w:color w:val="76923C"/>
      <w:sz w:val="20"/>
      <w:szCs w:val="2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11">
    <w:name w:val="Light List - Accent 11"/>
    <w:rsid w:val="00460371"/>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Headingnonumber">
    <w:name w:val="Heading no number"/>
    <w:basedOn w:val="Header"/>
    <w:autoRedefine/>
    <w:rsid w:val="00F30AC0"/>
    <w:pPr>
      <w:tabs>
        <w:tab w:val="clear" w:pos="4513"/>
        <w:tab w:val="clear" w:pos="9026"/>
      </w:tabs>
      <w:spacing w:before="360" w:after="200"/>
    </w:pPr>
    <w:rPr>
      <w:i/>
      <w:noProof w:val="0"/>
      <w:u w:val="single"/>
      <w:lang w:eastAsia="en-US"/>
    </w:rPr>
  </w:style>
  <w:style w:type="paragraph" w:customStyle="1" w:styleId="table2">
    <w:name w:val="table 2"/>
    <w:basedOn w:val="Normal"/>
    <w:autoRedefine/>
    <w:rsid w:val="00460371"/>
    <w:pPr>
      <w:pBdr>
        <w:top w:val="single" w:sz="4" w:space="1" w:color="FF0000"/>
        <w:left w:val="single" w:sz="4" w:space="4" w:color="FF0000"/>
        <w:bottom w:val="single" w:sz="4" w:space="1" w:color="FF0000"/>
        <w:right w:val="single" w:sz="4" w:space="4" w:color="FF0000"/>
      </w:pBdr>
      <w:spacing w:before="120" w:after="0"/>
    </w:pPr>
    <w:rPr>
      <w:rFonts w:ascii="Arial" w:eastAsia="Times New Roman" w:hAnsi="Arial" w:cs="Times New Roman"/>
      <w:sz w:val="20"/>
    </w:rPr>
  </w:style>
  <w:style w:type="paragraph" w:customStyle="1" w:styleId="NormalArial">
    <w:name w:val="Normal + Arial"/>
    <w:aliases w:val="11 pt"/>
    <w:basedOn w:val="Normal"/>
    <w:rsid w:val="00460371"/>
    <w:pPr>
      <w:spacing w:before="120" w:after="0"/>
      <w:ind w:left="550"/>
    </w:pPr>
    <w:rPr>
      <w:rFonts w:ascii="Arial" w:eastAsia="Times New Roman" w:hAnsi="Arial" w:cs="Arial"/>
      <w:sz w:val="20"/>
      <w:lang w:eastAsia="zh-CN"/>
    </w:rPr>
  </w:style>
  <w:style w:type="paragraph" w:customStyle="1" w:styleId="diagram">
    <w:name w:val="diagram"/>
    <w:basedOn w:val="Normal"/>
    <w:autoRedefine/>
    <w:rsid w:val="00460371"/>
    <w:pPr>
      <w:spacing w:after="0"/>
      <w:jc w:val="center"/>
    </w:pPr>
    <w:rPr>
      <w:rFonts w:ascii="Arial" w:eastAsia="Times New Roman" w:hAnsi="Arial" w:cs="Times New Roman"/>
      <w:noProof/>
      <w:sz w:val="20"/>
      <w:lang w:eastAsia="en-AU"/>
    </w:rPr>
  </w:style>
  <w:style w:type="paragraph" w:customStyle="1" w:styleId="Execsummary1">
    <w:name w:val="Exec summary 1"/>
    <w:basedOn w:val="Normal"/>
    <w:link w:val="Execsummary1Char"/>
    <w:rsid w:val="00460371"/>
    <w:pPr>
      <w:spacing w:before="120"/>
    </w:pPr>
    <w:rPr>
      <w:rFonts w:ascii="Arial" w:eastAsia="Times New Roman" w:hAnsi="Arial" w:cs="Times New Roman"/>
      <w:b/>
      <w:color w:val="7F7F7F"/>
      <w:sz w:val="32"/>
      <w:lang w:val="en-US"/>
    </w:rPr>
  </w:style>
  <w:style w:type="paragraph" w:styleId="FootnoteText">
    <w:name w:val="footnote text"/>
    <w:basedOn w:val="Normal"/>
    <w:link w:val="FootnoteTextChar"/>
    <w:uiPriority w:val="99"/>
    <w:rsid w:val="00460371"/>
    <w:pPr>
      <w:spacing w:before="120"/>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uiPriority w:val="99"/>
    <w:rsid w:val="00460371"/>
    <w:rPr>
      <w:rFonts w:ascii="Arial" w:eastAsia="Times New Roman" w:hAnsi="Arial" w:cs="Times New Roman"/>
      <w:sz w:val="16"/>
      <w:szCs w:val="20"/>
      <w:lang w:val="en-US"/>
    </w:rPr>
  </w:style>
  <w:style w:type="character" w:customStyle="1" w:styleId="Execsummary1Char">
    <w:name w:val="Exec summary 1 Char"/>
    <w:link w:val="Execsummary1"/>
    <w:locked/>
    <w:rsid w:val="00460371"/>
    <w:rPr>
      <w:rFonts w:ascii="Arial" w:eastAsia="Times New Roman" w:hAnsi="Arial" w:cs="Times New Roman"/>
      <w:b/>
      <w:color w:val="7F7F7F"/>
      <w:sz w:val="32"/>
      <w:lang w:val="en-US"/>
    </w:rPr>
  </w:style>
  <w:style w:type="paragraph" w:customStyle="1" w:styleId="Streamheading">
    <w:name w:val="Stream heading"/>
    <w:basedOn w:val="Heading1"/>
    <w:link w:val="StreamheadingChar"/>
    <w:rsid w:val="00460371"/>
  </w:style>
  <w:style w:type="paragraph" w:customStyle="1" w:styleId="Heading2Level2">
    <w:name w:val="Heading 2 Level 2"/>
    <w:basedOn w:val="Heading2"/>
    <w:link w:val="Heading2Level2Char"/>
    <w:rsid w:val="00460371"/>
    <w:pPr>
      <w:numPr>
        <w:numId w:val="20"/>
      </w:numPr>
      <w:ind w:left="0" w:firstLine="0"/>
    </w:pPr>
  </w:style>
  <w:style w:type="character" w:customStyle="1" w:styleId="StreamheadingChar">
    <w:name w:val="Stream heading Char"/>
    <w:basedOn w:val="Heading1Char"/>
    <w:link w:val="Streamheading"/>
    <w:locked/>
    <w:rsid w:val="00460371"/>
    <w:rPr>
      <w:rFonts w:asciiTheme="majorHAnsi" w:eastAsiaTheme="majorEastAsia" w:hAnsiTheme="majorHAnsi" w:cstheme="majorBidi"/>
      <w:b/>
      <w:bCs/>
      <w:color w:val="008A00" w:themeColor="background2"/>
      <w:sz w:val="32"/>
      <w:szCs w:val="28"/>
    </w:rPr>
  </w:style>
  <w:style w:type="character" w:customStyle="1" w:styleId="Heading2Level2Char">
    <w:name w:val="Heading 2 Level 2 Char"/>
    <w:basedOn w:val="Heading2Char"/>
    <w:link w:val="Heading2Level2"/>
    <w:locked/>
    <w:rsid w:val="00460371"/>
    <w:rPr>
      <w:rFonts w:asciiTheme="majorHAnsi" w:eastAsiaTheme="majorEastAsia" w:hAnsiTheme="majorHAnsi" w:cstheme="majorBidi"/>
      <w:b/>
      <w:bCs/>
      <w:color w:val="008A00" w:themeColor="background2"/>
      <w:sz w:val="28"/>
      <w:szCs w:val="32"/>
    </w:rPr>
  </w:style>
  <w:style w:type="paragraph" w:customStyle="1" w:styleId="xl63">
    <w:name w:val="xl63"/>
    <w:basedOn w:val="Normal"/>
    <w:rsid w:val="00460371"/>
    <w:pPr>
      <w:spacing w:before="100" w:beforeAutospacing="1" w:after="100" w:afterAutospacing="1"/>
    </w:pPr>
    <w:rPr>
      <w:rFonts w:ascii="Times New Roman" w:eastAsia="Times New Roman" w:hAnsi="Times New Roman" w:cs="Times New Roman"/>
      <w:sz w:val="18"/>
      <w:szCs w:val="18"/>
      <w:lang w:eastAsia="en-AU"/>
    </w:rPr>
  </w:style>
  <w:style w:type="paragraph" w:customStyle="1" w:styleId="xl64">
    <w:name w:val="xl64"/>
    <w:basedOn w:val="Normal"/>
    <w:rsid w:val="00460371"/>
    <w:pPr>
      <w:spacing w:before="100" w:beforeAutospacing="1" w:after="100" w:afterAutospacing="1"/>
    </w:pPr>
    <w:rPr>
      <w:rFonts w:ascii="Times New Roman" w:eastAsia="Times New Roman" w:hAnsi="Times New Roman" w:cs="Times New Roman"/>
      <w:sz w:val="18"/>
      <w:szCs w:val="18"/>
      <w:lang w:eastAsia="en-AU"/>
    </w:rPr>
  </w:style>
  <w:style w:type="paragraph" w:customStyle="1" w:styleId="xl65">
    <w:name w:val="xl65"/>
    <w:basedOn w:val="Normal"/>
    <w:rsid w:val="00460371"/>
    <w:pPr>
      <w:spacing w:before="100" w:beforeAutospacing="1" w:after="100" w:afterAutospacing="1"/>
    </w:pPr>
    <w:rPr>
      <w:rFonts w:ascii="Times New Roman" w:eastAsia="Times New Roman" w:hAnsi="Times New Roman" w:cs="Times New Roman"/>
      <w:sz w:val="18"/>
      <w:szCs w:val="18"/>
      <w:lang w:eastAsia="en-AU"/>
    </w:rPr>
  </w:style>
  <w:style w:type="paragraph" w:customStyle="1" w:styleId="xl66">
    <w:name w:val="xl66"/>
    <w:basedOn w:val="Normal"/>
    <w:rsid w:val="00460371"/>
    <w:pPr>
      <w:shd w:val="clear" w:color="000000" w:fill="339966"/>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AU"/>
    </w:rPr>
  </w:style>
  <w:style w:type="paragraph" w:customStyle="1" w:styleId="xl67">
    <w:name w:val="xl67"/>
    <w:basedOn w:val="Normal"/>
    <w:rsid w:val="00460371"/>
    <w:pPr>
      <w:shd w:val="clear" w:color="000000" w:fill="339966"/>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AU"/>
    </w:rPr>
  </w:style>
  <w:style w:type="paragraph" w:customStyle="1" w:styleId="xl68">
    <w:name w:val="xl68"/>
    <w:basedOn w:val="Normal"/>
    <w:rsid w:val="00460371"/>
    <w:pPr>
      <w:shd w:val="clear" w:color="000000" w:fill="339966"/>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AU"/>
    </w:rPr>
  </w:style>
  <w:style w:type="paragraph" w:customStyle="1" w:styleId="xl69">
    <w:name w:val="xl69"/>
    <w:basedOn w:val="Normal"/>
    <w:rsid w:val="00460371"/>
    <w:pPr>
      <w:spacing w:before="100" w:beforeAutospacing="1" w:after="100" w:afterAutospacing="1"/>
    </w:pPr>
    <w:rPr>
      <w:rFonts w:ascii="Times New Roman" w:eastAsia="Times New Roman" w:hAnsi="Times New Roman" w:cs="Times New Roman"/>
      <w:sz w:val="18"/>
      <w:szCs w:val="18"/>
      <w:lang w:eastAsia="en-AU"/>
    </w:rPr>
  </w:style>
  <w:style w:type="paragraph" w:customStyle="1" w:styleId="xl70">
    <w:name w:val="xl70"/>
    <w:basedOn w:val="Normal"/>
    <w:rsid w:val="00460371"/>
    <w:pPr>
      <w:shd w:val="clear" w:color="000000" w:fill="339966"/>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AU"/>
    </w:rPr>
  </w:style>
  <w:style w:type="paragraph" w:customStyle="1" w:styleId="Heading1nonumber">
    <w:name w:val="Heading 1 no number"/>
    <w:basedOn w:val="Heading1"/>
    <w:link w:val="Heading1nonumberChar"/>
    <w:rsid w:val="00460371"/>
  </w:style>
  <w:style w:type="character" w:customStyle="1" w:styleId="Heading1nonumberChar">
    <w:name w:val="Heading 1 no number Char"/>
    <w:link w:val="Heading1nonumber"/>
    <w:locked/>
    <w:rsid w:val="00460371"/>
    <w:rPr>
      <w:rFonts w:asciiTheme="majorHAnsi" w:eastAsiaTheme="majorEastAsia" w:hAnsiTheme="majorHAnsi" w:cstheme="majorBidi"/>
      <w:b/>
      <w:bCs/>
      <w:color w:val="008A00" w:themeColor="background2"/>
      <w:sz w:val="32"/>
      <w:szCs w:val="28"/>
    </w:rPr>
  </w:style>
  <w:style w:type="paragraph" w:customStyle="1" w:styleId="StyleHeadingnonumberSeaGreen">
    <w:name w:val="Style Heading no number + Sea Green"/>
    <w:basedOn w:val="Headingnonumber"/>
    <w:rsid w:val="00460371"/>
    <w:pPr>
      <w:tabs>
        <w:tab w:val="center" w:pos="4153"/>
        <w:tab w:val="right" w:pos="8306"/>
      </w:tabs>
      <w:spacing w:before="120" w:after="120"/>
    </w:pPr>
    <w:rPr>
      <w:rFonts w:ascii="Times New Roman" w:eastAsia="Times New Roman" w:hAnsi="Times New Roman" w:cs="Calibri"/>
      <w:b/>
      <w:bCs/>
      <w:color w:val="7F7F7F"/>
      <w:sz w:val="32"/>
      <w:szCs w:val="24"/>
      <w:lang w:val="en-US"/>
    </w:rPr>
  </w:style>
  <w:style w:type="character" w:customStyle="1" w:styleId="Style18ptBoldItalicSeaGreen">
    <w:name w:val="Style 18 pt Bold Italic Sea Green"/>
    <w:rsid w:val="00460371"/>
    <w:rPr>
      <w:rFonts w:cs="Times New Roman"/>
      <w:b/>
      <w:bCs/>
      <w:i/>
      <w:iCs/>
      <w:color w:val="7F7F7F"/>
      <w:sz w:val="36"/>
    </w:rPr>
  </w:style>
  <w:style w:type="character" w:styleId="CommentReference">
    <w:name w:val="annotation reference"/>
    <w:rsid w:val="00460371"/>
    <w:rPr>
      <w:rFonts w:cs="Times New Roman"/>
      <w:sz w:val="16"/>
      <w:szCs w:val="16"/>
    </w:rPr>
  </w:style>
  <w:style w:type="paragraph" w:styleId="CommentText">
    <w:name w:val="annotation text"/>
    <w:basedOn w:val="Normal"/>
    <w:link w:val="CommentTextChar"/>
    <w:rsid w:val="00460371"/>
    <w:pPr>
      <w:spacing w:before="12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46037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60371"/>
    <w:rPr>
      <w:b/>
      <w:bCs/>
    </w:rPr>
  </w:style>
  <w:style w:type="character" w:customStyle="1" w:styleId="CommentSubjectChar">
    <w:name w:val="Comment Subject Char"/>
    <w:basedOn w:val="CommentTextChar"/>
    <w:link w:val="CommentSubject"/>
    <w:rsid w:val="00460371"/>
    <w:rPr>
      <w:rFonts w:ascii="Arial" w:eastAsia="Times New Roman" w:hAnsi="Arial" w:cs="Times New Roman"/>
      <w:b/>
      <w:bCs/>
      <w:sz w:val="20"/>
      <w:szCs w:val="20"/>
    </w:rPr>
  </w:style>
  <w:style w:type="numbering" w:styleId="111111">
    <w:name w:val="Outline List 2"/>
    <w:basedOn w:val="NoList"/>
    <w:rsid w:val="00460371"/>
    <w:pPr>
      <w:numPr>
        <w:numId w:val="3"/>
      </w:numPr>
    </w:pPr>
  </w:style>
  <w:style w:type="numbering" w:customStyle="1" w:styleId="Style1">
    <w:name w:val="Style1"/>
    <w:rsid w:val="00460371"/>
    <w:pPr>
      <w:numPr>
        <w:numId w:val="22"/>
      </w:numPr>
    </w:pPr>
  </w:style>
  <w:style w:type="numbering" w:styleId="ArticleSection">
    <w:name w:val="Outline List 3"/>
    <w:basedOn w:val="NoList"/>
    <w:rsid w:val="00460371"/>
    <w:pPr>
      <w:numPr>
        <w:numId w:val="5"/>
      </w:numPr>
    </w:pPr>
  </w:style>
  <w:style w:type="numbering" w:styleId="1ai">
    <w:name w:val="Outline List 1"/>
    <w:basedOn w:val="NoList"/>
    <w:rsid w:val="00460371"/>
    <w:pPr>
      <w:numPr>
        <w:numId w:val="4"/>
      </w:numPr>
    </w:pPr>
  </w:style>
  <w:style w:type="paragraph" w:styleId="TableofFigures">
    <w:name w:val="table of figures"/>
    <w:basedOn w:val="Normal"/>
    <w:next w:val="Normal"/>
    <w:uiPriority w:val="99"/>
    <w:unhideWhenUsed/>
    <w:rsid w:val="00460371"/>
    <w:pPr>
      <w:spacing w:after="0" w:line="276" w:lineRule="auto"/>
    </w:pPr>
    <w:rPr>
      <w:rFonts w:ascii="Times New Roman" w:hAnsi="Times New Roman"/>
      <w:sz w:val="24"/>
    </w:rPr>
  </w:style>
  <w:style w:type="paragraph" w:styleId="TOC5">
    <w:name w:val="toc 5"/>
    <w:basedOn w:val="Normal"/>
    <w:next w:val="Normal"/>
    <w:autoRedefine/>
    <w:uiPriority w:val="39"/>
    <w:unhideWhenUsed/>
    <w:rsid w:val="00460371"/>
    <w:pPr>
      <w:spacing w:after="100" w:line="276" w:lineRule="auto"/>
      <w:ind w:left="880"/>
    </w:pPr>
    <w:rPr>
      <w:rFonts w:eastAsiaTheme="minorEastAsia"/>
      <w:sz w:val="20"/>
      <w:lang w:eastAsia="en-AU"/>
    </w:rPr>
  </w:style>
  <w:style w:type="paragraph" w:styleId="TOC6">
    <w:name w:val="toc 6"/>
    <w:basedOn w:val="Normal"/>
    <w:next w:val="Normal"/>
    <w:autoRedefine/>
    <w:uiPriority w:val="39"/>
    <w:unhideWhenUsed/>
    <w:rsid w:val="00460371"/>
    <w:pPr>
      <w:spacing w:after="100" w:line="276" w:lineRule="auto"/>
      <w:ind w:left="1100"/>
    </w:pPr>
    <w:rPr>
      <w:rFonts w:eastAsiaTheme="minorEastAsia"/>
      <w:sz w:val="20"/>
      <w:lang w:eastAsia="en-AU"/>
    </w:rPr>
  </w:style>
  <w:style w:type="paragraph" w:styleId="TOC7">
    <w:name w:val="toc 7"/>
    <w:basedOn w:val="Normal"/>
    <w:next w:val="Normal"/>
    <w:autoRedefine/>
    <w:uiPriority w:val="39"/>
    <w:unhideWhenUsed/>
    <w:rsid w:val="00460371"/>
    <w:pPr>
      <w:spacing w:after="100" w:line="276" w:lineRule="auto"/>
      <w:ind w:left="1320"/>
    </w:pPr>
    <w:rPr>
      <w:rFonts w:eastAsiaTheme="minorEastAsia"/>
      <w:sz w:val="20"/>
      <w:lang w:eastAsia="en-AU"/>
    </w:rPr>
  </w:style>
  <w:style w:type="paragraph" w:styleId="TOC8">
    <w:name w:val="toc 8"/>
    <w:basedOn w:val="Normal"/>
    <w:next w:val="Normal"/>
    <w:autoRedefine/>
    <w:uiPriority w:val="39"/>
    <w:unhideWhenUsed/>
    <w:rsid w:val="00460371"/>
    <w:pPr>
      <w:spacing w:after="100" w:line="276" w:lineRule="auto"/>
      <w:ind w:left="1540"/>
    </w:pPr>
    <w:rPr>
      <w:rFonts w:eastAsiaTheme="minorEastAsia"/>
      <w:sz w:val="20"/>
      <w:lang w:eastAsia="en-AU"/>
    </w:rPr>
  </w:style>
  <w:style w:type="paragraph" w:styleId="TOC9">
    <w:name w:val="toc 9"/>
    <w:basedOn w:val="Normal"/>
    <w:next w:val="Normal"/>
    <w:autoRedefine/>
    <w:uiPriority w:val="39"/>
    <w:unhideWhenUsed/>
    <w:rsid w:val="00460371"/>
    <w:pPr>
      <w:spacing w:after="100" w:line="276" w:lineRule="auto"/>
      <w:ind w:left="1760"/>
    </w:pPr>
    <w:rPr>
      <w:rFonts w:eastAsiaTheme="minorEastAsia"/>
      <w:sz w:val="20"/>
      <w:lang w:eastAsia="en-AU"/>
    </w:rPr>
  </w:style>
  <w:style w:type="paragraph" w:styleId="Revision">
    <w:name w:val="Revision"/>
    <w:hidden/>
    <w:uiPriority w:val="99"/>
    <w:semiHidden/>
    <w:rsid w:val="00460371"/>
    <w:pPr>
      <w:spacing w:after="0" w:line="240" w:lineRule="auto"/>
    </w:pPr>
    <w:rPr>
      <w:rFonts w:ascii="Arial" w:eastAsia="Times New Roman" w:hAnsi="Arial" w:cs="Times New Roman"/>
      <w:sz w:val="20"/>
    </w:rPr>
  </w:style>
  <w:style w:type="numbering" w:customStyle="1" w:styleId="NoList1">
    <w:name w:val="No List1"/>
    <w:next w:val="NoList"/>
    <w:uiPriority w:val="99"/>
    <w:semiHidden/>
    <w:unhideWhenUsed/>
    <w:rsid w:val="00460371"/>
  </w:style>
  <w:style w:type="table" w:customStyle="1" w:styleId="TableGrid10">
    <w:name w:val="Table Grid1"/>
    <w:basedOn w:val="TableNormal"/>
    <w:next w:val="TableGrid"/>
    <w:uiPriority w:val="59"/>
    <w:rsid w:val="0046037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460371"/>
    <w:pPr>
      <w:numPr>
        <w:numId w:val="42"/>
      </w:numPr>
    </w:pPr>
  </w:style>
  <w:style w:type="character" w:customStyle="1" w:styleId="Heading1Char1">
    <w:name w:val="Heading 1 Char1"/>
    <w:basedOn w:val="DefaultParagraphFont"/>
    <w:uiPriority w:val="9"/>
    <w:rsid w:val="00460371"/>
    <w:rPr>
      <w:rFonts w:ascii="Calibri" w:eastAsia="Times New Roman" w:hAnsi="Calibri" w:cs="Times New Roman"/>
      <w:b/>
      <w:bCs/>
      <w:szCs w:val="28"/>
    </w:rPr>
  </w:style>
  <w:style w:type="character" w:customStyle="1" w:styleId="Heading2Char1">
    <w:name w:val="Heading 2 Char1"/>
    <w:basedOn w:val="DefaultParagraphFont"/>
    <w:uiPriority w:val="9"/>
    <w:rsid w:val="00460371"/>
    <w:rPr>
      <w:rFonts w:ascii="Calibri" w:eastAsia="Times New Roman" w:hAnsi="Calibri" w:cs="Times New Roman"/>
      <w:b/>
      <w:szCs w:val="26"/>
    </w:rPr>
  </w:style>
  <w:style w:type="numbering" w:customStyle="1" w:styleId="Headingsv2">
    <w:name w:val="Headings v2"/>
    <w:uiPriority w:val="99"/>
    <w:rsid w:val="00460371"/>
    <w:pPr>
      <w:numPr>
        <w:numId w:val="43"/>
      </w:numPr>
    </w:pPr>
  </w:style>
  <w:style w:type="paragraph" w:customStyle="1" w:styleId="EndnoteText1">
    <w:name w:val="Endnote Text1"/>
    <w:basedOn w:val="Normal"/>
    <w:next w:val="EndnoteText"/>
    <w:link w:val="EndnoteTextChar"/>
    <w:uiPriority w:val="99"/>
    <w:semiHidden/>
    <w:unhideWhenUsed/>
    <w:rsid w:val="00460371"/>
    <w:pPr>
      <w:spacing w:after="0"/>
    </w:pPr>
    <w:rPr>
      <w:rFonts w:ascii="Calibri" w:eastAsia="Times New Roman" w:hAnsi="Calibri" w:cs="Times New Roman"/>
      <w:sz w:val="20"/>
      <w:szCs w:val="20"/>
      <w:lang w:eastAsia="en-AU"/>
    </w:rPr>
  </w:style>
  <w:style w:type="character" w:customStyle="1" w:styleId="EndnoteTextChar">
    <w:name w:val="Endnote Text Char"/>
    <w:basedOn w:val="DefaultParagraphFont"/>
    <w:link w:val="EndnoteText1"/>
    <w:uiPriority w:val="99"/>
    <w:semiHidden/>
    <w:rsid w:val="00460371"/>
    <w:rPr>
      <w:rFonts w:ascii="Calibri" w:eastAsia="Times New Roman" w:hAnsi="Calibri" w:cs="Times New Roman"/>
      <w:sz w:val="20"/>
      <w:szCs w:val="20"/>
      <w:lang w:eastAsia="en-AU"/>
    </w:rPr>
  </w:style>
  <w:style w:type="character" w:styleId="EndnoteReference">
    <w:name w:val="endnote reference"/>
    <w:basedOn w:val="DefaultParagraphFont"/>
    <w:uiPriority w:val="99"/>
    <w:unhideWhenUsed/>
    <w:rsid w:val="00460371"/>
    <w:rPr>
      <w:vertAlign w:val="superscript"/>
    </w:rPr>
  </w:style>
  <w:style w:type="paragraph" w:styleId="EndnoteText">
    <w:name w:val="endnote text"/>
    <w:basedOn w:val="Normal"/>
    <w:link w:val="EndnoteTextChar1"/>
    <w:rsid w:val="00460371"/>
    <w:pPr>
      <w:spacing w:after="0"/>
    </w:pPr>
    <w:rPr>
      <w:rFonts w:ascii="Arial" w:eastAsia="Times New Roman" w:hAnsi="Arial" w:cs="Times New Roman"/>
      <w:sz w:val="20"/>
      <w:szCs w:val="20"/>
    </w:rPr>
  </w:style>
  <w:style w:type="character" w:customStyle="1" w:styleId="EndnoteTextChar1">
    <w:name w:val="Endnote Text Char1"/>
    <w:basedOn w:val="DefaultParagraphFont"/>
    <w:link w:val="EndnoteText"/>
    <w:rsid w:val="00460371"/>
    <w:rPr>
      <w:rFonts w:ascii="Arial" w:eastAsia="Times New Roman" w:hAnsi="Arial" w:cs="Times New Roman"/>
      <w:sz w:val="20"/>
      <w:szCs w:val="20"/>
    </w:rPr>
  </w:style>
  <w:style w:type="character" w:customStyle="1" w:styleId="ListParagraphChar">
    <w:name w:val="List Paragraph Char"/>
    <w:link w:val="ListParagraph"/>
    <w:uiPriority w:val="34"/>
    <w:locked/>
    <w:rsid w:val="004B44AC"/>
  </w:style>
  <w:style w:type="character" w:customStyle="1" w:styleId="apple-converted-space">
    <w:name w:val="apple-converted-space"/>
    <w:basedOn w:val="DefaultParagraphFont"/>
    <w:rsid w:val="001C1C0F"/>
  </w:style>
  <w:style w:type="character" w:styleId="IntenseReference">
    <w:name w:val="Intense Reference"/>
    <w:basedOn w:val="DefaultParagraphFont"/>
    <w:uiPriority w:val="32"/>
    <w:qFormat/>
    <w:rsid w:val="00EB5449"/>
    <w:rPr>
      <w:b/>
      <w:bCs/>
      <w:i/>
      <w:smallCaps/>
      <w:color w:val="58595B" w:themeColor="accent2"/>
      <w:spacing w:val="5"/>
      <w:u w:val="none"/>
    </w:rPr>
  </w:style>
  <w:style w:type="character" w:customStyle="1" w:styleId="A5">
    <w:name w:val="A5"/>
    <w:uiPriority w:val="99"/>
    <w:rsid w:val="00EB5449"/>
    <w:rPr>
      <w:rFonts w:ascii="Swiss 721 BT" w:hAnsi="Swiss 721 BT" w:cs="Swiss 721 B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5488">
      <w:bodyDiv w:val="1"/>
      <w:marLeft w:val="0"/>
      <w:marRight w:val="0"/>
      <w:marTop w:val="0"/>
      <w:marBottom w:val="0"/>
      <w:divBdr>
        <w:top w:val="none" w:sz="0" w:space="0" w:color="auto"/>
        <w:left w:val="none" w:sz="0" w:space="0" w:color="auto"/>
        <w:bottom w:val="none" w:sz="0" w:space="0" w:color="auto"/>
        <w:right w:val="none" w:sz="0" w:space="0" w:color="auto"/>
      </w:divBdr>
    </w:div>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58333017">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 w:id="1597136041">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sChild>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67214304">
          <w:marLeft w:val="0"/>
          <w:marRight w:val="0"/>
          <w:marTop w:val="0"/>
          <w:marBottom w:val="0"/>
          <w:divBdr>
            <w:top w:val="none" w:sz="0" w:space="0" w:color="auto"/>
            <w:left w:val="none" w:sz="0" w:space="0" w:color="auto"/>
            <w:bottom w:val="none" w:sz="0" w:space="0" w:color="auto"/>
            <w:right w:val="none" w:sz="0" w:space="0" w:color="auto"/>
          </w:divBdr>
        </w:div>
        <w:div w:id="178929447">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sChild>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70927959">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19842775">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image" Target="media/image17.png"/><Relationship Id="rId21" Type="http://schemas.openxmlformats.org/officeDocument/2006/relationships/image" Target="media/image4.png"/><Relationship Id="rId34" Type="http://schemas.openxmlformats.org/officeDocument/2006/relationships/image" Target="media/image14.jpeg"/><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eativecommons.org/licenses/"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header" Target="header8.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g"/><Relationship Id="rId28" Type="http://schemas.openxmlformats.org/officeDocument/2006/relationships/footer" Target="footer6.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png"/><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header" Target="header6.xml"/><Relationship Id="rId30" Type="http://schemas.openxmlformats.org/officeDocument/2006/relationships/image" Target="media/image10.png"/><Relationship Id="rId35" Type="http://schemas.openxmlformats.org/officeDocument/2006/relationships/header" Target="header7.xml"/><Relationship Id="rId43" Type="http://schemas.openxmlformats.org/officeDocument/2006/relationships/image" Target="media/image19.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image" Target="media/image18.png"/></Relationships>
</file>

<file path=word/_rels/footnotes.xml.rels><?xml version="1.0" encoding="UTF-8" standalone="yes"?>
<Relationships xmlns="http://schemas.openxmlformats.org/package/2006/relationships"><Relationship Id="rId1" Type="http://schemas.openxmlformats.org/officeDocument/2006/relationships/hyperlink" Target="http://www.abs.gov.au/websitedbs/D3310114.nsf/home/remoteness+struc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IHPA\External%20report.dotx" TargetMode="External"/></Relationships>
</file>

<file path=word/theme/theme1.xml><?xml version="1.0" encoding="utf-8"?>
<a:theme xmlns:a="http://schemas.openxmlformats.org/drawingml/2006/main" name="Office Theme">
  <a:themeElements>
    <a:clrScheme name="IHPA brand colours">
      <a:dk1>
        <a:sysClr val="windowText" lastClr="000000"/>
      </a:dk1>
      <a:lt1>
        <a:sysClr val="window" lastClr="FFFFFF"/>
      </a:lt1>
      <a:dk2>
        <a:srgbClr val="004200"/>
      </a:dk2>
      <a:lt2>
        <a:srgbClr val="008A00"/>
      </a:lt2>
      <a:accent1>
        <a:srgbClr val="000000"/>
      </a:accent1>
      <a:accent2>
        <a:srgbClr val="58595B"/>
      </a:accent2>
      <a:accent3>
        <a:srgbClr val="808285"/>
      </a:accent3>
      <a:accent4>
        <a:srgbClr val="A7A9AC"/>
      </a:accent4>
      <a:accent5>
        <a:srgbClr val="008A00"/>
      </a:accent5>
      <a:accent6>
        <a:srgbClr val="0042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DC5C4-C2E8-48B9-BB91-C9AA8872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Template>
  <TotalTime>1765</TotalTime>
  <Pages>73</Pages>
  <Words>20607</Words>
  <Characters>117461</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Olorenshaw Cherry</dc:creator>
  <cp:lastModifiedBy>William Andrews</cp:lastModifiedBy>
  <cp:revision>118</cp:revision>
  <cp:lastPrinted>2016-02-29T06:35:00Z</cp:lastPrinted>
  <dcterms:created xsi:type="dcterms:W3CDTF">2015-11-25T05:29:00Z</dcterms:created>
  <dcterms:modified xsi:type="dcterms:W3CDTF">2016-02-29T06:35:00Z</dcterms:modified>
</cp:coreProperties>
</file>