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6D" w:rsidRPr="001727A4" w:rsidRDefault="00CC586D" w:rsidP="008C2111">
      <w:pPr>
        <w:pStyle w:val="Organisation"/>
      </w:pPr>
      <w:bookmarkStart w:id="0" w:name="_GoBack"/>
      <w:bookmarkEnd w:id="0"/>
      <w:r w:rsidRPr="001727A4">
        <w:t>Independent Hospital Pricing Authority</w:t>
      </w:r>
    </w:p>
    <w:p w:rsidR="008366E7" w:rsidRDefault="008366E7" w:rsidP="008366E7">
      <w:pPr>
        <w:pStyle w:val="Title"/>
      </w:pPr>
      <w:bookmarkStart w:id="1" w:name="_Toc482793903"/>
      <w:bookmarkStart w:id="2" w:name="_Toc482794034"/>
      <w:r w:rsidRPr="00921C0D">
        <w:t>Management of Confidential Jurisdictional Information Protocol</w:t>
      </w:r>
      <w:bookmarkEnd w:id="1"/>
      <w:bookmarkEnd w:id="2"/>
    </w:p>
    <w:p w:rsidR="00BC1032" w:rsidRPr="00976117" w:rsidRDefault="00BC1032" w:rsidP="00BC1032">
      <w:pPr>
        <w:pStyle w:val="Versionanddate"/>
      </w:pPr>
      <w:r>
        <w:t xml:space="preserve">Version </w:t>
      </w:r>
      <w:r w:rsidR="0054508E">
        <w:t>2.</w:t>
      </w:r>
      <w:r w:rsidR="000B6945">
        <w:t xml:space="preserve">3 </w:t>
      </w:r>
      <w:r w:rsidR="00C8633F">
        <w:t>June</w:t>
      </w:r>
      <w:r w:rsidR="000B6945">
        <w:t xml:space="preserve"> 2019</w:t>
      </w:r>
    </w:p>
    <w:p w:rsidR="0035219F" w:rsidRDefault="00043CF6" w:rsidP="0035219F">
      <w:r w:rsidRPr="001727A4">
        <w:rPr>
          <w:b/>
          <w:noProof/>
          <w:color w:val="008542" w:themeColor="accent2"/>
          <w:sz w:val="16"/>
          <w:szCs w:val="16"/>
        </w:rPr>
        <w:drawing>
          <wp:anchor distT="0" distB="0" distL="114300" distR="114300" simplePos="0" relativeHeight="251674624" behindDoc="1" locked="1" layoutInCell="0" allowOverlap="1" wp14:anchorId="0296105B" wp14:editId="51FE2915">
            <wp:simplePos x="0" y="0"/>
            <wp:positionH relativeFrom="page">
              <wp:posOffset>1905</wp:posOffset>
            </wp:positionH>
            <wp:positionV relativeFrom="page">
              <wp:posOffset>0</wp:posOffset>
            </wp:positionV>
            <wp:extent cx="7592060" cy="10738485"/>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br w:type="page"/>
      </w:r>
    </w:p>
    <w:p w:rsidR="002175EF" w:rsidRDefault="002175EF" w:rsidP="008C2111">
      <w:pPr>
        <w:pStyle w:val="Report"/>
      </w:pPr>
    </w:p>
    <w:p w:rsidR="00BC1032" w:rsidRDefault="0063267B" w:rsidP="008C2111">
      <w:pPr>
        <w:pStyle w:val="Report"/>
      </w:pPr>
      <w:r w:rsidRPr="0063267B">
        <w:t>Management of Confidential Jurisdictional Information Protocol</w:t>
      </w:r>
      <w:r>
        <w:t xml:space="preserve"> </w:t>
      </w:r>
      <w:r w:rsidR="00876FCB">
        <w:t>–</w:t>
      </w:r>
      <w:r w:rsidR="00866268">
        <w:t xml:space="preserve"> </w:t>
      </w:r>
      <w:r w:rsidR="008C2111">
        <w:t xml:space="preserve">Version </w:t>
      </w:r>
      <w:r w:rsidR="007B325E">
        <w:t xml:space="preserve">2.3 </w:t>
      </w:r>
      <w:r w:rsidR="00C8633F">
        <w:t xml:space="preserve">June </w:t>
      </w:r>
      <w:r w:rsidR="007B325E">
        <w:t>2019</w:t>
      </w:r>
    </w:p>
    <w:p w:rsidR="00BC1032" w:rsidRDefault="00BC1032" w:rsidP="00BC1032"/>
    <w:p w:rsidR="00BC1032" w:rsidRDefault="00BC1032" w:rsidP="00BC1032">
      <w:r>
        <w:t xml:space="preserve">© Independent Hospital Pricing Authority </w:t>
      </w:r>
      <w:r w:rsidR="007B325E">
        <w:t>2019</w:t>
      </w:r>
    </w:p>
    <w:p w:rsidR="00BC1032" w:rsidRDefault="00BC1032" w:rsidP="00BC1032">
      <w:r>
        <w:t xml:space="preserve">This publication is available for your use under a </w:t>
      </w:r>
      <w:hyperlink r:id="rId9"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0" w:history="1">
        <w:r w:rsidRPr="002A4C1B">
          <w:t>the Creative Commons website</w:t>
        </w:r>
      </w:hyperlink>
      <w:r>
        <w:t>.</w:t>
      </w:r>
    </w:p>
    <w:p w:rsidR="00BC1032" w:rsidRDefault="00BC1032" w:rsidP="00BC1032">
      <w:r w:rsidRPr="006150B7">
        <w:rPr>
          <w:rFonts w:cs="Calibri"/>
          <w:noProof/>
          <w:sz w:val="24"/>
        </w:rPr>
        <w:drawing>
          <wp:inline distT="0" distB="0" distL="0" distR="0" wp14:anchorId="36B3BF6A" wp14:editId="28C30A85">
            <wp:extent cx="804087" cy="285750"/>
            <wp:effectExtent l="0" t="0" r="0" b="0"/>
            <wp:docPr id="10" name="Picture 10"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rsidR="00BC1032" w:rsidRDefault="00BC1032" w:rsidP="00BC1032">
      <w:r>
        <w:t xml:space="preserve">Use of Independent Hospital Pricing Authority material under a </w:t>
      </w:r>
      <w:hyperlink r:id="rId12"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rsidR="00BC1032" w:rsidRPr="002A4C1B" w:rsidRDefault="00BC1032" w:rsidP="00BC1032">
      <w:pPr>
        <w:rPr>
          <w:i/>
        </w:rPr>
      </w:pPr>
      <w:r w:rsidRPr="002A4C1B">
        <w:rPr>
          <w:i/>
        </w:rPr>
        <w:t>Independent Hospital Pricing Authority material used 'as supplied'.</w:t>
      </w:r>
    </w:p>
    <w:p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BC1032" w:rsidRPr="00BC1032" w:rsidRDefault="00BC1032" w:rsidP="00BC1032">
      <w:pPr>
        <w:pStyle w:val="NormalIndent"/>
        <w:rPr>
          <w:i/>
        </w:rPr>
      </w:pPr>
      <w:r w:rsidRPr="00BC1032">
        <w:rPr>
          <w:i/>
        </w:rPr>
        <w:t>Source: The Independent Hospital Pricing Authority</w:t>
      </w:r>
      <w:r w:rsidRPr="00BC1032">
        <w:rPr>
          <w:i/>
        </w:rPr>
        <w:br w:type="page"/>
      </w:r>
    </w:p>
    <w:p w:rsidR="007E239C" w:rsidRPr="002175EF" w:rsidRDefault="007E239C" w:rsidP="005E3D2B">
      <w:pPr>
        <w:pStyle w:val="TOCHeading"/>
      </w:pPr>
      <w:r w:rsidRPr="005E3D2B">
        <w:lastRenderedPageBreak/>
        <w:t>Table</w:t>
      </w:r>
      <w:r w:rsidRPr="00731504">
        <w:t xml:space="preserve"> of Contents</w:t>
      </w:r>
    </w:p>
    <w:p w:rsidR="00044517" w:rsidRDefault="00044517">
      <w:pPr>
        <w:pStyle w:val="TOC1"/>
        <w:tabs>
          <w:tab w:val="left" w:pos="660"/>
          <w:tab w:val="right" w:leader="dot" w:pos="9435"/>
        </w:tabs>
        <w:rPr>
          <w:szCs w:val="22"/>
        </w:rPr>
      </w:pPr>
      <w:r>
        <w:rPr>
          <w:szCs w:val="22"/>
        </w:rPr>
        <w:t>Definitions</w:t>
      </w:r>
      <w:r>
        <w:rPr>
          <w:szCs w:val="22"/>
        </w:rPr>
        <w:tab/>
        <w:t>5</w:t>
      </w:r>
    </w:p>
    <w:p w:rsidR="006265E4" w:rsidRDefault="002175EF">
      <w:pPr>
        <w:pStyle w:val="TOC1"/>
        <w:tabs>
          <w:tab w:val="left" w:pos="660"/>
          <w:tab w:val="right" w:leader="dot" w:pos="9435"/>
        </w:tabs>
        <w:rPr>
          <w:rFonts w:asciiTheme="minorHAnsi" w:eastAsiaTheme="minorEastAsia" w:hAnsiTheme="minorHAnsi" w:cstheme="minorBidi"/>
          <w:b w:val="0"/>
          <w:szCs w:val="22"/>
        </w:rPr>
      </w:pPr>
      <w:r>
        <w:rPr>
          <w:szCs w:val="22"/>
        </w:rPr>
        <w:fldChar w:fldCharType="begin"/>
      </w:r>
      <w:r>
        <w:rPr>
          <w:szCs w:val="22"/>
        </w:rPr>
        <w:instrText xml:space="preserve"> TOC \o "1-3" \h \z \u </w:instrText>
      </w:r>
      <w:r>
        <w:rPr>
          <w:szCs w:val="22"/>
        </w:rPr>
        <w:fldChar w:fldCharType="separate"/>
      </w:r>
      <w:hyperlink w:anchor="_Toc2865761" w:history="1">
        <w:r w:rsidR="006265E4" w:rsidRPr="00093851">
          <w:rPr>
            <w:rStyle w:val="Hyperlink"/>
            <w:lang w:eastAsia="en-US"/>
          </w:rPr>
          <w:t xml:space="preserve">1. </w:t>
        </w:r>
        <w:r w:rsidR="006265E4">
          <w:rPr>
            <w:rFonts w:asciiTheme="minorHAnsi" w:eastAsiaTheme="minorEastAsia" w:hAnsiTheme="minorHAnsi" w:cstheme="minorBidi"/>
            <w:b w:val="0"/>
            <w:szCs w:val="22"/>
          </w:rPr>
          <w:tab/>
        </w:r>
        <w:r w:rsidR="006265E4" w:rsidRPr="00093851">
          <w:rPr>
            <w:rStyle w:val="Hyperlink"/>
            <w:lang w:eastAsia="en-US"/>
          </w:rPr>
          <w:t>Executive summary</w:t>
        </w:r>
        <w:r w:rsidR="006265E4">
          <w:rPr>
            <w:webHidden/>
          </w:rPr>
          <w:tab/>
        </w:r>
        <w:r w:rsidR="006265E4">
          <w:rPr>
            <w:webHidden/>
          </w:rPr>
          <w:fldChar w:fldCharType="begin"/>
        </w:r>
        <w:r w:rsidR="006265E4">
          <w:rPr>
            <w:webHidden/>
          </w:rPr>
          <w:instrText xml:space="preserve"> PAGEREF _Toc2865761 \h </w:instrText>
        </w:r>
        <w:r w:rsidR="006265E4">
          <w:rPr>
            <w:webHidden/>
          </w:rPr>
        </w:r>
        <w:r w:rsidR="006265E4">
          <w:rPr>
            <w:webHidden/>
          </w:rPr>
          <w:fldChar w:fldCharType="separate"/>
        </w:r>
        <w:r w:rsidR="009554DF">
          <w:rPr>
            <w:webHidden/>
          </w:rPr>
          <w:t>6</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62" w:history="1">
        <w:r w:rsidR="006265E4" w:rsidRPr="00093851">
          <w:rPr>
            <w:rStyle w:val="Hyperlink"/>
          </w:rPr>
          <w:t>1.1</w:t>
        </w:r>
        <w:r w:rsidR="006265E4">
          <w:rPr>
            <w:rFonts w:asciiTheme="minorHAnsi" w:eastAsiaTheme="minorEastAsia" w:hAnsiTheme="minorHAnsi" w:cstheme="minorBidi"/>
            <w:szCs w:val="22"/>
          </w:rPr>
          <w:tab/>
        </w:r>
        <w:r w:rsidR="006265E4" w:rsidRPr="00093851">
          <w:rPr>
            <w:rStyle w:val="Hyperlink"/>
          </w:rPr>
          <w:t>Background</w:t>
        </w:r>
        <w:r w:rsidR="006265E4">
          <w:rPr>
            <w:webHidden/>
          </w:rPr>
          <w:tab/>
        </w:r>
        <w:r w:rsidR="006265E4">
          <w:rPr>
            <w:webHidden/>
          </w:rPr>
          <w:fldChar w:fldCharType="begin"/>
        </w:r>
        <w:r w:rsidR="006265E4">
          <w:rPr>
            <w:webHidden/>
          </w:rPr>
          <w:instrText xml:space="preserve"> PAGEREF _Toc2865762 \h </w:instrText>
        </w:r>
        <w:r w:rsidR="006265E4">
          <w:rPr>
            <w:webHidden/>
          </w:rPr>
        </w:r>
        <w:r w:rsidR="006265E4">
          <w:rPr>
            <w:webHidden/>
          </w:rPr>
          <w:fldChar w:fldCharType="separate"/>
        </w:r>
        <w:r w:rsidR="009554DF">
          <w:rPr>
            <w:webHidden/>
          </w:rPr>
          <w:t>6</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63" w:history="1">
        <w:r w:rsidR="006265E4" w:rsidRPr="00093851">
          <w:rPr>
            <w:rStyle w:val="Hyperlink"/>
          </w:rPr>
          <w:t>1.2</w:t>
        </w:r>
        <w:r w:rsidR="006265E4">
          <w:rPr>
            <w:rFonts w:asciiTheme="minorHAnsi" w:eastAsiaTheme="minorEastAsia" w:hAnsiTheme="minorHAnsi" w:cstheme="minorBidi"/>
            <w:szCs w:val="22"/>
          </w:rPr>
          <w:tab/>
        </w:r>
        <w:r w:rsidR="006265E4" w:rsidRPr="00093851">
          <w:rPr>
            <w:rStyle w:val="Hyperlink"/>
          </w:rPr>
          <w:t>Purpose</w:t>
        </w:r>
        <w:r w:rsidR="006265E4">
          <w:rPr>
            <w:webHidden/>
          </w:rPr>
          <w:tab/>
        </w:r>
        <w:r w:rsidR="006265E4">
          <w:rPr>
            <w:webHidden/>
          </w:rPr>
          <w:fldChar w:fldCharType="begin"/>
        </w:r>
        <w:r w:rsidR="006265E4">
          <w:rPr>
            <w:webHidden/>
          </w:rPr>
          <w:instrText xml:space="preserve"> PAGEREF _Toc2865763 \h </w:instrText>
        </w:r>
        <w:r w:rsidR="006265E4">
          <w:rPr>
            <w:webHidden/>
          </w:rPr>
        </w:r>
        <w:r w:rsidR="006265E4">
          <w:rPr>
            <w:webHidden/>
          </w:rPr>
          <w:fldChar w:fldCharType="separate"/>
        </w:r>
        <w:r w:rsidR="009554DF">
          <w:rPr>
            <w:webHidden/>
          </w:rPr>
          <w:t>6</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64" w:history="1">
        <w:r w:rsidR="006265E4" w:rsidRPr="00093851">
          <w:rPr>
            <w:rStyle w:val="Hyperlink"/>
          </w:rPr>
          <w:t>1.3</w:t>
        </w:r>
        <w:r w:rsidR="006265E4">
          <w:rPr>
            <w:rFonts w:asciiTheme="minorHAnsi" w:eastAsiaTheme="minorEastAsia" w:hAnsiTheme="minorHAnsi" w:cstheme="minorBidi"/>
            <w:szCs w:val="22"/>
          </w:rPr>
          <w:tab/>
        </w:r>
        <w:r w:rsidR="006265E4" w:rsidRPr="00093851">
          <w:rPr>
            <w:rStyle w:val="Hyperlink"/>
          </w:rPr>
          <w:t>Scope</w:t>
        </w:r>
        <w:r w:rsidR="006265E4">
          <w:rPr>
            <w:webHidden/>
          </w:rPr>
          <w:tab/>
        </w:r>
        <w:r w:rsidR="006265E4">
          <w:rPr>
            <w:webHidden/>
          </w:rPr>
          <w:fldChar w:fldCharType="begin"/>
        </w:r>
        <w:r w:rsidR="006265E4">
          <w:rPr>
            <w:webHidden/>
          </w:rPr>
          <w:instrText xml:space="preserve"> PAGEREF _Toc2865764 \h </w:instrText>
        </w:r>
        <w:r w:rsidR="006265E4">
          <w:rPr>
            <w:webHidden/>
          </w:rPr>
        </w:r>
        <w:r w:rsidR="006265E4">
          <w:rPr>
            <w:webHidden/>
          </w:rPr>
          <w:fldChar w:fldCharType="separate"/>
        </w:r>
        <w:r w:rsidR="009554DF">
          <w:rPr>
            <w:webHidden/>
          </w:rPr>
          <w:t>7</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65" w:history="1">
        <w:r w:rsidR="006265E4" w:rsidRPr="00093851">
          <w:rPr>
            <w:rStyle w:val="Hyperlink"/>
          </w:rPr>
          <w:t>1.4</w:t>
        </w:r>
        <w:r w:rsidR="006265E4">
          <w:rPr>
            <w:rFonts w:asciiTheme="minorHAnsi" w:eastAsiaTheme="minorEastAsia" w:hAnsiTheme="minorHAnsi" w:cstheme="minorBidi"/>
            <w:szCs w:val="22"/>
          </w:rPr>
          <w:tab/>
        </w:r>
        <w:r w:rsidR="006265E4" w:rsidRPr="00093851">
          <w:rPr>
            <w:rStyle w:val="Hyperlink"/>
          </w:rPr>
          <w:t>Review</w:t>
        </w:r>
        <w:r w:rsidR="006265E4">
          <w:rPr>
            <w:webHidden/>
          </w:rPr>
          <w:tab/>
        </w:r>
        <w:r w:rsidR="006265E4">
          <w:rPr>
            <w:webHidden/>
          </w:rPr>
          <w:fldChar w:fldCharType="begin"/>
        </w:r>
        <w:r w:rsidR="006265E4">
          <w:rPr>
            <w:webHidden/>
          </w:rPr>
          <w:instrText xml:space="preserve"> PAGEREF _Toc2865765 \h </w:instrText>
        </w:r>
        <w:r w:rsidR="006265E4">
          <w:rPr>
            <w:webHidden/>
          </w:rPr>
        </w:r>
        <w:r w:rsidR="006265E4">
          <w:rPr>
            <w:webHidden/>
          </w:rPr>
          <w:fldChar w:fldCharType="separate"/>
        </w:r>
        <w:r w:rsidR="009554DF">
          <w:rPr>
            <w:webHidden/>
          </w:rPr>
          <w:t>7</w:t>
        </w:r>
        <w:r w:rsidR="006265E4">
          <w:rPr>
            <w:webHidden/>
          </w:rPr>
          <w:fldChar w:fldCharType="end"/>
        </w:r>
      </w:hyperlink>
    </w:p>
    <w:p w:rsidR="006265E4" w:rsidRDefault="00924583">
      <w:pPr>
        <w:pStyle w:val="TOC1"/>
        <w:tabs>
          <w:tab w:val="left" w:pos="440"/>
          <w:tab w:val="right" w:leader="dot" w:pos="9435"/>
        </w:tabs>
        <w:rPr>
          <w:rFonts w:asciiTheme="minorHAnsi" w:eastAsiaTheme="minorEastAsia" w:hAnsiTheme="minorHAnsi" w:cstheme="minorBidi"/>
          <w:b w:val="0"/>
          <w:szCs w:val="22"/>
        </w:rPr>
      </w:pPr>
      <w:hyperlink w:anchor="_Toc2865766" w:history="1">
        <w:r w:rsidR="006265E4" w:rsidRPr="00093851">
          <w:rPr>
            <w:rStyle w:val="Hyperlink"/>
            <w:lang w:eastAsia="en-US"/>
          </w:rPr>
          <w:t>2.</w:t>
        </w:r>
        <w:r w:rsidR="006265E4">
          <w:rPr>
            <w:rFonts w:asciiTheme="minorHAnsi" w:eastAsiaTheme="minorEastAsia" w:hAnsiTheme="minorHAnsi" w:cstheme="minorBidi"/>
            <w:b w:val="0"/>
            <w:szCs w:val="22"/>
          </w:rPr>
          <w:tab/>
        </w:r>
        <w:r w:rsidR="006265E4" w:rsidRPr="00093851">
          <w:rPr>
            <w:rStyle w:val="Hyperlink"/>
            <w:lang w:eastAsia="en-US"/>
          </w:rPr>
          <w:t>Management of confidential jurisdictional information</w:t>
        </w:r>
        <w:r w:rsidR="006265E4">
          <w:rPr>
            <w:webHidden/>
          </w:rPr>
          <w:tab/>
        </w:r>
        <w:r w:rsidR="006265E4">
          <w:rPr>
            <w:webHidden/>
          </w:rPr>
          <w:fldChar w:fldCharType="begin"/>
        </w:r>
        <w:r w:rsidR="006265E4">
          <w:rPr>
            <w:webHidden/>
          </w:rPr>
          <w:instrText xml:space="preserve"> PAGEREF _Toc2865766 \h </w:instrText>
        </w:r>
        <w:r w:rsidR="006265E4">
          <w:rPr>
            <w:webHidden/>
          </w:rPr>
        </w:r>
        <w:r w:rsidR="006265E4">
          <w:rPr>
            <w:webHidden/>
          </w:rPr>
          <w:fldChar w:fldCharType="separate"/>
        </w:r>
        <w:r w:rsidR="009554DF">
          <w:rPr>
            <w:webHidden/>
          </w:rPr>
          <w:t>8</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67" w:history="1">
        <w:r w:rsidR="006265E4" w:rsidRPr="00093851">
          <w:rPr>
            <w:rStyle w:val="Hyperlink"/>
          </w:rPr>
          <w:t>2.1</w:t>
        </w:r>
        <w:r w:rsidR="006265E4">
          <w:rPr>
            <w:rFonts w:asciiTheme="minorHAnsi" w:eastAsiaTheme="minorEastAsia" w:hAnsiTheme="minorHAnsi" w:cstheme="minorBidi"/>
            <w:szCs w:val="22"/>
          </w:rPr>
          <w:tab/>
        </w:r>
        <w:r w:rsidR="006265E4" w:rsidRPr="00093851">
          <w:rPr>
            <w:rStyle w:val="Hyperlink"/>
          </w:rPr>
          <w:t>Request</w:t>
        </w:r>
        <w:r w:rsidR="006265E4">
          <w:rPr>
            <w:webHidden/>
          </w:rPr>
          <w:tab/>
        </w:r>
        <w:r w:rsidR="006265E4">
          <w:rPr>
            <w:webHidden/>
          </w:rPr>
          <w:fldChar w:fldCharType="begin"/>
        </w:r>
        <w:r w:rsidR="006265E4">
          <w:rPr>
            <w:webHidden/>
          </w:rPr>
          <w:instrText xml:space="preserve"> PAGEREF _Toc2865767 \h </w:instrText>
        </w:r>
        <w:r w:rsidR="006265E4">
          <w:rPr>
            <w:webHidden/>
          </w:rPr>
        </w:r>
        <w:r w:rsidR="006265E4">
          <w:rPr>
            <w:webHidden/>
          </w:rPr>
          <w:fldChar w:fldCharType="separate"/>
        </w:r>
        <w:r w:rsidR="009554DF">
          <w:rPr>
            <w:webHidden/>
          </w:rPr>
          <w:t>8</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68" w:history="1">
        <w:r w:rsidR="006265E4" w:rsidRPr="00093851">
          <w:rPr>
            <w:rStyle w:val="Hyperlink"/>
          </w:rPr>
          <w:t>2.2</w:t>
        </w:r>
        <w:r w:rsidR="006265E4">
          <w:rPr>
            <w:rFonts w:asciiTheme="minorHAnsi" w:eastAsiaTheme="minorEastAsia" w:hAnsiTheme="minorHAnsi" w:cstheme="minorBidi"/>
            <w:szCs w:val="22"/>
          </w:rPr>
          <w:tab/>
        </w:r>
        <w:r w:rsidR="006265E4" w:rsidRPr="00093851">
          <w:rPr>
            <w:rStyle w:val="Hyperlink"/>
          </w:rPr>
          <w:t>Access, handling and use</w:t>
        </w:r>
        <w:r w:rsidR="006265E4">
          <w:rPr>
            <w:webHidden/>
          </w:rPr>
          <w:tab/>
        </w:r>
        <w:r w:rsidR="006265E4">
          <w:rPr>
            <w:webHidden/>
          </w:rPr>
          <w:fldChar w:fldCharType="begin"/>
        </w:r>
        <w:r w:rsidR="006265E4">
          <w:rPr>
            <w:webHidden/>
          </w:rPr>
          <w:instrText xml:space="preserve"> PAGEREF _Toc2865768 \h </w:instrText>
        </w:r>
        <w:r w:rsidR="006265E4">
          <w:rPr>
            <w:webHidden/>
          </w:rPr>
        </w:r>
        <w:r w:rsidR="006265E4">
          <w:rPr>
            <w:webHidden/>
          </w:rPr>
          <w:fldChar w:fldCharType="separate"/>
        </w:r>
        <w:r w:rsidR="009554DF">
          <w:rPr>
            <w:webHidden/>
          </w:rPr>
          <w:t>8</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69" w:history="1">
        <w:r w:rsidR="006265E4" w:rsidRPr="00093851">
          <w:rPr>
            <w:rStyle w:val="Hyperlink"/>
          </w:rPr>
          <w:t>2.3</w:t>
        </w:r>
        <w:r w:rsidR="006265E4">
          <w:rPr>
            <w:rFonts w:asciiTheme="minorHAnsi" w:eastAsiaTheme="minorEastAsia" w:hAnsiTheme="minorHAnsi" w:cstheme="minorBidi"/>
            <w:szCs w:val="22"/>
          </w:rPr>
          <w:tab/>
        </w:r>
        <w:r w:rsidR="006265E4" w:rsidRPr="00093851">
          <w:rPr>
            <w:rStyle w:val="Hyperlink"/>
          </w:rPr>
          <w:t>Classification</w:t>
        </w:r>
        <w:r w:rsidR="006265E4">
          <w:rPr>
            <w:webHidden/>
          </w:rPr>
          <w:tab/>
        </w:r>
        <w:r w:rsidR="006265E4">
          <w:rPr>
            <w:webHidden/>
          </w:rPr>
          <w:fldChar w:fldCharType="begin"/>
        </w:r>
        <w:r w:rsidR="006265E4">
          <w:rPr>
            <w:webHidden/>
          </w:rPr>
          <w:instrText xml:space="preserve"> PAGEREF _Toc2865769 \h </w:instrText>
        </w:r>
        <w:r w:rsidR="006265E4">
          <w:rPr>
            <w:webHidden/>
          </w:rPr>
        </w:r>
        <w:r w:rsidR="006265E4">
          <w:rPr>
            <w:webHidden/>
          </w:rPr>
          <w:fldChar w:fldCharType="separate"/>
        </w:r>
        <w:r w:rsidR="009554DF">
          <w:rPr>
            <w:webHidden/>
          </w:rPr>
          <w:t>9</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71" w:history="1">
        <w:r w:rsidR="006265E4" w:rsidRPr="00093851">
          <w:rPr>
            <w:rStyle w:val="Hyperlink"/>
          </w:rPr>
          <w:t>2.4</w:t>
        </w:r>
        <w:r w:rsidR="006265E4">
          <w:rPr>
            <w:rFonts w:asciiTheme="minorHAnsi" w:eastAsiaTheme="minorEastAsia" w:hAnsiTheme="minorHAnsi" w:cstheme="minorBidi"/>
            <w:szCs w:val="22"/>
          </w:rPr>
          <w:tab/>
        </w:r>
        <w:r w:rsidR="006265E4" w:rsidRPr="00093851">
          <w:rPr>
            <w:rStyle w:val="Hyperlink"/>
          </w:rPr>
          <w:t>Storage</w:t>
        </w:r>
        <w:r w:rsidR="006265E4">
          <w:rPr>
            <w:webHidden/>
          </w:rPr>
          <w:tab/>
        </w:r>
        <w:r w:rsidR="006265E4">
          <w:rPr>
            <w:webHidden/>
          </w:rPr>
          <w:fldChar w:fldCharType="begin"/>
        </w:r>
        <w:r w:rsidR="006265E4">
          <w:rPr>
            <w:webHidden/>
          </w:rPr>
          <w:instrText xml:space="preserve"> PAGEREF _Toc2865771 \h </w:instrText>
        </w:r>
        <w:r w:rsidR="006265E4">
          <w:rPr>
            <w:webHidden/>
          </w:rPr>
        </w:r>
        <w:r w:rsidR="006265E4">
          <w:rPr>
            <w:webHidden/>
          </w:rPr>
          <w:fldChar w:fldCharType="separate"/>
        </w:r>
        <w:r w:rsidR="009554DF">
          <w:rPr>
            <w:webHidden/>
          </w:rPr>
          <w:t>10</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72" w:history="1">
        <w:r w:rsidR="006265E4" w:rsidRPr="00093851">
          <w:rPr>
            <w:rStyle w:val="Hyperlink"/>
          </w:rPr>
          <w:t>2.5</w:t>
        </w:r>
        <w:r w:rsidR="006265E4">
          <w:rPr>
            <w:rFonts w:asciiTheme="minorHAnsi" w:eastAsiaTheme="minorEastAsia" w:hAnsiTheme="minorHAnsi" w:cstheme="minorBidi"/>
            <w:szCs w:val="22"/>
          </w:rPr>
          <w:tab/>
        </w:r>
        <w:r w:rsidR="006265E4" w:rsidRPr="00093851">
          <w:rPr>
            <w:rStyle w:val="Hyperlink"/>
          </w:rPr>
          <w:t>Release</w:t>
        </w:r>
        <w:r w:rsidR="006265E4">
          <w:rPr>
            <w:webHidden/>
          </w:rPr>
          <w:tab/>
        </w:r>
        <w:r w:rsidR="006265E4">
          <w:rPr>
            <w:webHidden/>
          </w:rPr>
          <w:fldChar w:fldCharType="begin"/>
        </w:r>
        <w:r w:rsidR="006265E4">
          <w:rPr>
            <w:webHidden/>
          </w:rPr>
          <w:instrText xml:space="preserve"> PAGEREF _Toc2865772 \h </w:instrText>
        </w:r>
        <w:r w:rsidR="006265E4">
          <w:rPr>
            <w:webHidden/>
          </w:rPr>
        </w:r>
        <w:r w:rsidR="006265E4">
          <w:rPr>
            <w:webHidden/>
          </w:rPr>
          <w:fldChar w:fldCharType="separate"/>
        </w:r>
        <w:r w:rsidR="009554DF">
          <w:rPr>
            <w:webHidden/>
          </w:rPr>
          <w:t>10</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73" w:history="1">
        <w:r w:rsidR="006265E4" w:rsidRPr="00093851">
          <w:rPr>
            <w:rStyle w:val="Hyperlink"/>
          </w:rPr>
          <w:t>2.6</w:t>
        </w:r>
        <w:r w:rsidR="006265E4">
          <w:rPr>
            <w:rFonts w:asciiTheme="minorHAnsi" w:eastAsiaTheme="minorEastAsia" w:hAnsiTheme="minorHAnsi" w:cstheme="minorBidi"/>
            <w:szCs w:val="22"/>
          </w:rPr>
          <w:tab/>
        </w:r>
        <w:r w:rsidR="006265E4" w:rsidRPr="00093851">
          <w:rPr>
            <w:rStyle w:val="Hyperlink"/>
          </w:rPr>
          <w:t>Disposal</w:t>
        </w:r>
        <w:r w:rsidR="006265E4">
          <w:rPr>
            <w:webHidden/>
          </w:rPr>
          <w:tab/>
        </w:r>
        <w:r w:rsidR="006265E4">
          <w:rPr>
            <w:webHidden/>
          </w:rPr>
          <w:fldChar w:fldCharType="begin"/>
        </w:r>
        <w:r w:rsidR="006265E4">
          <w:rPr>
            <w:webHidden/>
          </w:rPr>
          <w:instrText xml:space="preserve"> PAGEREF _Toc2865773 \h </w:instrText>
        </w:r>
        <w:r w:rsidR="006265E4">
          <w:rPr>
            <w:webHidden/>
          </w:rPr>
        </w:r>
        <w:r w:rsidR="006265E4">
          <w:rPr>
            <w:webHidden/>
          </w:rPr>
          <w:fldChar w:fldCharType="separate"/>
        </w:r>
        <w:r w:rsidR="009554DF">
          <w:rPr>
            <w:webHidden/>
          </w:rPr>
          <w:t>10</w:t>
        </w:r>
        <w:r w:rsidR="006265E4">
          <w:rPr>
            <w:webHidden/>
          </w:rPr>
          <w:fldChar w:fldCharType="end"/>
        </w:r>
      </w:hyperlink>
    </w:p>
    <w:p w:rsidR="006265E4" w:rsidRDefault="00924583">
      <w:pPr>
        <w:pStyle w:val="TOC1"/>
        <w:tabs>
          <w:tab w:val="left" w:pos="440"/>
          <w:tab w:val="right" w:leader="dot" w:pos="9435"/>
        </w:tabs>
        <w:rPr>
          <w:rFonts w:asciiTheme="minorHAnsi" w:eastAsiaTheme="minorEastAsia" w:hAnsiTheme="minorHAnsi" w:cstheme="minorBidi"/>
          <w:b w:val="0"/>
          <w:szCs w:val="22"/>
        </w:rPr>
      </w:pPr>
      <w:hyperlink w:anchor="_Toc2865774" w:history="1">
        <w:r w:rsidR="006265E4" w:rsidRPr="00093851">
          <w:rPr>
            <w:rStyle w:val="Hyperlink"/>
          </w:rPr>
          <w:t>3.</w:t>
        </w:r>
        <w:r w:rsidR="006265E4">
          <w:rPr>
            <w:rFonts w:asciiTheme="minorHAnsi" w:eastAsiaTheme="minorEastAsia" w:hAnsiTheme="minorHAnsi" w:cstheme="minorBidi"/>
            <w:b w:val="0"/>
            <w:szCs w:val="22"/>
          </w:rPr>
          <w:tab/>
        </w:r>
        <w:r w:rsidR="006265E4" w:rsidRPr="00093851">
          <w:rPr>
            <w:rStyle w:val="Hyperlink"/>
          </w:rPr>
          <w:t>Compliance</w:t>
        </w:r>
        <w:r w:rsidR="006265E4">
          <w:rPr>
            <w:webHidden/>
          </w:rPr>
          <w:tab/>
        </w:r>
        <w:r w:rsidR="006265E4">
          <w:rPr>
            <w:webHidden/>
          </w:rPr>
          <w:fldChar w:fldCharType="begin"/>
        </w:r>
        <w:r w:rsidR="006265E4">
          <w:rPr>
            <w:webHidden/>
          </w:rPr>
          <w:instrText xml:space="preserve"> PAGEREF _Toc2865774 \h </w:instrText>
        </w:r>
        <w:r w:rsidR="006265E4">
          <w:rPr>
            <w:webHidden/>
          </w:rPr>
        </w:r>
        <w:r w:rsidR="006265E4">
          <w:rPr>
            <w:webHidden/>
          </w:rPr>
          <w:fldChar w:fldCharType="separate"/>
        </w:r>
        <w:r w:rsidR="009554DF">
          <w:rPr>
            <w:webHidden/>
          </w:rPr>
          <w:t>11</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75" w:history="1">
        <w:r w:rsidR="006265E4" w:rsidRPr="00093851">
          <w:rPr>
            <w:rStyle w:val="Hyperlink"/>
          </w:rPr>
          <w:t>3.1</w:t>
        </w:r>
        <w:r w:rsidR="006265E4">
          <w:rPr>
            <w:rFonts w:asciiTheme="minorHAnsi" w:eastAsiaTheme="minorEastAsia" w:hAnsiTheme="minorHAnsi" w:cstheme="minorBidi"/>
            <w:szCs w:val="22"/>
          </w:rPr>
          <w:tab/>
        </w:r>
        <w:r w:rsidR="006265E4" w:rsidRPr="00093851">
          <w:rPr>
            <w:rStyle w:val="Hyperlink"/>
          </w:rPr>
          <w:t>Internal controls</w:t>
        </w:r>
        <w:r w:rsidR="006265E4">
          <w:rPr>
            <w:webHidden/>
          </w:rPr>
          <w:tab/>
        </w:r>
        <w:r w:rsidR="006265E4">
          <w:rPr>
            <w:webHidden/>
          </w:rPr>
          <w:fldChar w:fldCharType="begin"/>
        </w:r>
        <w:r w:rsidR="006265E4">
          <w:rPr>
            <w:webHidden/>
          </w:rPr>
          <w:instrText xml:space="preserve"> PAGEREF _Toc2865775 \h </w:instrText>
        </w:r>
        <w:r w:rsidR="006265E4">
          <w:rPr>
            <w:webHidden/>
          </w:rPr>
        </w:r>
        <w:r w:rsidR="006265E4">
          <w:rPr>
            <w:webHidden/>
          </w:rPr>
          <w:fldChar w:fldCharType="separate"/>
        </w:r>
        <w:r w:rsidR="009554DF">
          <w:rPr>
            <w:webHidden/>
          </w:rPr>
          <w:t>11</w:t>
        </w:r>
        <w:r w:rsidR="006265E4">
          <w:rPr>
            <w:webHidden/>
          </w:rPr>
          <w:fldChar w:fldCharType="end"/>
        </w:r>
      </w:hyperlink>
    </w:p>
    <w:p w:rsidR="006265E4" w:rsidRDefault="00924583">
      <w:pPr>
        <w:pStyle w:val="TOC2"/>
        <w:rPr>
          <w:rFonts w:asciiTheme="minorHAnsi" w:eastAsiaTheme="minorEastAsia" w:hAnsiTheme="minorHAnsi" w:cstheme="minorBidi"/>
          <w:szCs w:val="22"/>
        </w:rPr>
      </w:pPr>
      <w:hyperlink w:anchor="_Toc2865776" w:history="1">
        <w:r w:rsidR="006265E4" w:rsidRPr="00093851">
          <w:rPr>
            <w:rStyle w:val="Hyperlink"/>
          </w:rPr>
          <w:t>3.2</w:t>
        </w:r>
        <w:r w:rsidR="006265E4">
          <w:rPr>
            <w:rFonts w:asciiTheme="minorHAnsi" w:eastAsiaTheme="minorEastAsia" w:hAnsiTheme="minorHAnsi" w:cstheme="minorBidi"/>
            <w:szCs w:val="22"/>
          </w:rPr>
          <w:tab/>
        </w:r>
        <w:r w:rsidR="006265E4" w:rsidRPr="00093851">
          <w:rPr>
            <w:rStyle w:val="Hyperlink"/>
          </w:rPr>
          <w:t>Assurance</w:t>
        </w:r>
        <w:r w:rsidR="006265E4">
          <w:rPr>
            <w:webHidden/>
          </w:rPr>
          <w:tab/>
        </w:r>
        <w:r w:rsidR="006265E4">
          <w:rPr>
            <w:webHidden/>
          </w:rPr>
          <w:fldChar w:fldCharType="begin"/>
        </w:r>
        <w:r w:rsidR="006265E4">
          <w:rPr>
            <w:webHidden/>
          </w:rPr>
          <w:instrText xml:space="preserve"> PAGEREF _Toc2865776 \h </w:instrText>
        </w:r>
        <w:r w:rsidR="006265E4">
          <w:rPr>
            <w:webHidden/>
          </w:rPr>
        </w:r>
        <w:r w:rsidR="006265E4">
          <w:rPr>
            <w:webHidden/>
          </w:rPr>
          <w:fldChar w:fldCharType="separate"/>
        </w:r>
        <w:r w:rsidR="009554DF">
          <w:rPr>
            <w:webHidden/>
          </w:rPr>
          <w:t>11</w:t>
        </w:r>
        <w:r w:rsidR="006265E4">
          <w:rPr>
            <w:webHidden/>
          </w:rPr>
          <w:fldChar w:fldCharType="end"/>
        </w:r>
      </w:hyperlink>
    </w:p>
    <w:p w:rsidR="007E239C" w:rsidRPr="002175EF" w:rsidRDefault="002175EF" w:rsidP="004804A7">
      <w:pPr>
        <w:pStyle w:val="TOCHeading"/>
        <w:rPr>
          <w:noProof/>
          <w:szCs w:val="22"/>
        </w:rPr>
      </w:pPr>
      <w:r>
        <w:rPr>
          <w:noProof/>
          <w:szCs w:val="22"/>
        </w:rPr>
        <w:fldChar w:fldCharType="end"/>
      </w:r>
      <w:r w:rsidR="00E5109A">
        <w:br w:type="page"/>
      </w:r>
      <w:r w:rsidR="007E239C" w:rsidRPr="007E239C">
        <w:t xml:space="preserve">Acronyms and </w:t>
      </w:r>
      <w:r w:rsidR="006265E4">
        <w:t>a</w:t>
      </w:r>
      <w:r w:rsidR="007E239C" w:rsidRPr="007E239C">
        <w:t>bbreviations</w:t>
      </w:r>
    </w:p>
    <w:tbl>
      <w:tblPr>
        <w:tblW w:w="8798" w:type="dxa"/>
        <w:tblLook w:val="01E0" w:firstRow="1" w:lastRow="1" w:firstColumn="1" w:lastColumn="1" w:noHBand="0" w:noVBand="0"/>
        <w:tblDescription w:val="list of acronyms and abbreviations which appear in the Dispute Resolution Framework, version 2.0."/>
      </w:tblPr>
      <w:tblGrid>
        <w:gridCol w:w="1868"/>
        <w:gridCol w:w="6930"/>
      </w:tblGrid>
      <w:tr w:rsidR="007E239C" w:rsidRPr="008646D6"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CDR</w:t>
            </w:r>
          </w:p>
        </w:tc>
        <w:tc>
          <w:tcPr>
            <w:tcW w:w="6930" w:type="dxa"/>
          </w:tcPr>
          <w:p w:rsidR="007E239C" w:rsidRPr="008646D6" w:rsidRDefault="007E239C" w:rsidP="00393841">
            <w:r>
              <w:t>Classified Document Register</w:t>
            </w:r>
          </w:p>
        </w:tc>
      </w:tr>
      <w:tr w:rsidR="007E239C" w:rsidRPr="008646D6"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CEO</w:t>
            </w:r>
          </w:p>
        </w:tc>
        <w:tc>
          <w:tcPr>
            <w:tcW w:w="6930" w:type="dxa"/>
          </w:tcPr>
          <w:p w:rsidR="007E239C" w:rsidRPr="00016521" w:rsidRDefault="007E239C" w:rsidP="00393841">
            <w:r>
              <w:t>Chief Executive Officer</w:t>
            </w:r>
          </w:p>
        </w:tc>
      </w:tr>
      <w:tr w:rsidR="007E239C" w:rsidRPr="008646D6"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DLM</w:t>
            </w:r>
          </w:p>
        </w:tc>
        <w:tc>
          <w:tcPr>
            <w:tcW w:w="6930" w:type="dxa"/>
          </w:tcPr>
          <w:p w:rsidR="007E239C" w:rsidRPr="00016521" w:rsidRDefault="007E239C" w:rsidP="00393841">
            <w:r>
              <w:t>Dissemination Limiting Marker</w:t>
            </w:r>
          </w:p>
        </w:tc>
      </w:tr>
      <w:tr w:rsidR="007E239C" w:rsidRPr="008646D6"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FOI Act</w:t>
            </w:r>
          </w:p>
        </w:tc>
        <w:tc>
          <w:tcPr>
            <w:tcW w:w="6930" w:type="dxa"/>
          </w:tcPr>
          <w:p w:rsidR="007E239C" w:rsidRPr="00E46095" w:rsidRDefault="007E239C" w:rsidP="00393841">
            <w:pPr>
              <w:rPr>
                <w:i/>
              </w:rPr>
            </w:pPr>
            <w:r w:rsidRPr="00E46095">
              <w:rPr>
                <w:i/>
              </w:rPr>
              <w:t>Freedom of Information Act 1982</w:t>
            </w:r>
          </w:p>
        </w:tc>
      </w:tr>
      <w:tr w:rsidR="007E239C" w:rsidRPr="008646D6"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IHPA</w:t>
            </w:r>
          </w:p>
        </w:tc>
        <w:tc>
          <w:tcPr>
            <w:tcW w:w="6930" w:type="dxa"/>
          </w:tcPr>
          <w:p w:rsidR="007E239C" w:rsidRPr="00016521" w:rsidRDefault="007E239C" w:rsidP="00393841">
            <w:r>
              <w:t>Independent Hospital Pricing Authority</w:t>
            </w:r>
          </w:p>
        </w:tc>
      </w:tr>
      <w:tr w:rsidR="007E239C" w:rsidRPr="008646D6"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NHRA</w:t>
            </w:r>
          </w:p>
        </w:tc>
        <w:tc>
          <w:tcPr>
            <w:tcW w:w="6930" w:type="dxa"/>
          </w:tcPr>
          <w:p w:rsidR="007E239C" w:rsidRPr="00016521" w:rsidRDefault="007E239C" w:rsidP="00393841">
            <w:r>
              <w:t>National Health Reform Agreement</w:t>
            </w:r>
          </w:p>
        </w:tc>
      </w:tr>
      <w:tr w:rsidR="007E239C" w:rsidRPr="008646D6" w:rsidTr="00535564">
        <w:tc>
          <w:tcPr>
            <w:tcW w:w="1868" w:type="dxa"/>
          </w:tcPr>
          <w:p w:rsidR="007E239C" w:rsidRPr="00393841" w:rsidRDefault="007E239C" w:rsidP="00535564">
            <w:pPr>
              <w:adjustRightInd w:val="0"/>
              <w:snapToGrid w:val="0"/>
              <w:spacing w:line="264" w:lineRule="auto"/>
              <w:rPr>
                <w:rFonts w:cs="Arial"/>
                <w:b/>
              </w:rPr>
            </w:pPr>
            <w:r w:rsidRPr="00393841">
              <w:rPr>
                <w:b/>
              </w:rPr>
              <w:t>NEP</w:t>
            </w:r>
          </w:p>
        </w:tc>
        <w:tc>
          <w:tcPr>
            <w:tcW w:w="6930" w:type="dxa"/>
          </w:tcPr>
          <w:p w:rsidR="007E239C" w:rsidRPr="00016521" w:rsidRDefault="007E239C" w:rsidP="007A4CCA">
            <w:r>
              <w:t xml:space="preserve">National </w:t>
            </w:r>
            <w:r w:rsidR="007A4CCA">
              <w:t>E</w:t>
            </w:r>
            <w:r>
              <w:t>fficient Price</w:t>
            </w:r>
          </w:p>
        </w:tc>
      </w:tr>
      <w:tr w:rsidR="007E239C" w:rsidRPr="000B36E8"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PSPF</w:t>
            </w:r>
          </w:p>
        </w:tc>
        <w:tc>
          <w:tcPr>
            <w:tcW w:w="6930" w:type="dxa"/>
          </w:tcPr>
          <w:p w:rsidR="007E239C" w:rsidRPr="00A068A0" w:rsidRDefault="007E239C" w:rsidP="00393841">
            <w:r w:rsidRPr="00A068A0">
              <w:t>Protective Security Policy Framework</w:t>
            </w:r>
          </w:p>
        </w:tc>
      </w:tr>
      <w:tr w:rsidR="006D1D42" w:rsidRPr="000B36E8" w:rsidTr="00535564">
        <w:tc>
          <w:tcPr>
            <w:tcW w:w="1868" w:type="dxa"/>
          </w:tcPr>
          <w:p w:rsidR="006D1D42" w:rsidRPr="00393841" w:rsidRDefault="006D1D42" w:rsidP="00535564">
            <w:pPr>
              <w:adjustRightInd w:val="0"/>
              <w:snapToGrid w:val="0"/>
              <w:spacing w:line="264" w:lineRule="auto"/>
              <w:rPr>
                <w:rFonts w:cs="Arial"/>
                <w:b/>
              </w:rPr>
            </w:pPr>
            <w:r>
              <w:rPr>
                <w:rFonts w:cs="Arial"/>
                <w:b/>
              </w:rPr>
              <w:t>SDMS</w:t>
            </w:r>
          </w:p>
        </w:tc>
        <w:tc>
          <w:tcPr>
            <w:tcW w:w="6930" w:type="dxa"/>
          </w:tcPr>
          <w:p w:rsidR="006D1D42" w:rsidRPr="006D1D42" w:rsidRDefault="006D1D42" w:rsidP="00A04E7B">
            <w:r>
              <w:t>Secure Data Management System</w:t>
            </w:r>
          </w:p>
        </w:tc>
      </w:tr>
      <w:tr w:rsidR="007E239C" w:rsidRPr="000B36E8"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the Act</w:t>
            </w:r>
          </w:p>
        </w:tc>
        <w:tc>
          <w:tcPr>
            <w:tcW w:w="6930" w:type="dxa"/>
          </w:tcPr>
          <w:p w:rsidR="007E239C" w:rsidRPr="00573194" w:rsidRDefault="007E239C" w:rsidP="00A04E7B">
            <w:pPr>
              <w:rPr>
                <w:i/>
              </w:rPr>
            </w:pPr>
            <w:r>
              <w:rPr>
                <w:i/>
              </w:rPr>
              <w:t>National Health Reform Act 2011</w:t>
            </w:r>
          </w:p>
        </w:tc>
      </w:tr>
      <w:tr w:rsidR="007E239C" w:rsidRPr="000B36E8" w:rsidTr="00535564">
        <w:tc>
          <w:tcPr>
            <w:tcW w:w="1868" w:type="dxa"/>
          </w:tcPr>
          <w:p w:rsidR="007E239C" w:rsidRPr="00393841" w:rsidRDefault="007E239C" w:rsidP="00535564">
            <w:pPr>
              <w:adjustRightInd w:val="0"/>
              <w:snapToGrid w:val="0"/>
              <w:spacing w:line="264" w:lineRule="auto"/>
              <w:rPr>
                <w:rFonts w:cs="Arial"/>
                <w:b/>
              </w:rPr>
            </w:pPr>
            <w:r w:rsidRPr="00393841">
              <w:rPr>
                <w:rFonts w:cs="Arial"/>
                <w:b/>
              </w:rPr>
              <w:t>The Protocol</w:t>
            </w:r>
          </w:p>
        </w:tc>
        <w:tc>
          <w:tcPr>
            <w:tcW w:w="6930" w:type="dxa"/>
          </w:tcPr>
          <w:p w:rsidR="007E239C" w:rsidRPr="00A068A0" w:rsidRDefault="007E239C" w:rsidP="00393841">
            <w:r>
              <w:rPr>
                <w:i/>
              </w:rPr>
              <w:t>IHPA Management of Confidential Jurisdictional Information Protocol</w:t>
            </w:r>
          </w:p>
        </w:tc>
      </w:tr>
    </w:tbl>
    <w:p w:rsidR="00393841" w:rsidRDefault="00E5109A" w:rsidP="004804A7">
      <w:pPr>
        <w:pStyle w:val="TOCHeading"/>
        <w:rPr>
          <w:lang w:eastAsia="en-US"/>
        </w:rPr>
      </w:pPr>
      <w:bookmarkStart w:id="3" w:name="_Toc482794036"/>
      <w:r>
        <w:rPr>
          <w:lang w:eastAsia="en-US"/>
        </w:rPr>
        <w:br w:type="page"/>
      </w:r>
      <w:r w:rsidR="00393841" w:rsidRPr="00044517">
        <w:rPr>
          <w:rFonts w:eastAsia="Times New Roman" w:cs="Times New Roman"/>
          <w:bCs w:val="0"/>
          <w:szCs w:val="44"/>
          <w:lang w:eastAsia="en-US"/>
        </w:rPr>
        <w:t>Definitions</w:t>
      </w:r>
      <w:bookmarkEnd w:id="3"/>
    </w:p>
    <w:tbl>
      <w:tblPr>
        <w:tblW w:w="9464" w:type="dxa"/>
        <w:tblLook w:val="01E0" w:firstRow="1" w:lastRow="1" w:firstColumn="1" w:lastColumn="1" w:noHBand="0" w:noVBand="0"/>
        <w:tblDescription w:val="list of definitions which appear in the Dispute Resolution Framework, version 2.0."/>
      </w:tblPr>
      <w:tblGrid>
        <w:gridCol w:w="2235"/>
        <w:gridCol w:w="7229"/>
      </w:tblGrid>
      <w:tr w:rsidR="00393841" w:rsidRPr="006C7838" w:rsidTr="00E46095">
        <w:tc>
          <w:tcPr>
            <w:tcW w:w="2235" w:type="dxa"/>
          </w:tcPr>
          <w:p w:rsidR="00393841" w:rsidRPr="00393841" w:rsidRDefault="00393841" w:rsidP="00393841">
            <w:pPr>
              <w:rPr>
                <w:b/>
              </w:rPr>
            </w:pPr>
            <w:r w:rsidRPr="00393841">
              <w:rPr>
                <w:b/>
              </w:rPr>
              <w:t>Confidential jurisdictional information</w:t>
            </w:r>
          </w:p>
        </w:tc>
        <w:tc>
          <w:tcPr>
            <w:tcW w:w="7229" w:type="dxa"/>
          </w:tcPr>
          <w:p w:rsidR="00393841" w:rsidRDefault="0063312B" w:rsidP="00393841">
            <w:r>
              <w:t>A</w:t>
            </w:r>
            <w:r w:rsidR="00393841">
              <w:t xml:space="preserve">ny </w:t>
            </w:r>
            <w:r w:rsidR="004804A7">
              <w:t>economic projections of jurisdictions</w:t>
            </w:r>
            <w:r w:rsidR="00393841">
              <w:t>; or where there is mutual understanding and agreement between IHPA and the jurisdiction that the information has been provided in confidence.</w:t>
            </w:r>
          </w:p>
          <w:p w:rsidR="00393841" w:rsidRPr="006C7838" w:rsidRDefault="00393841" w:rsidP="00E0305E">
            <w:r>
              <w:t xml:space="preserve">If confidential information is delivered orally, </w:t>
            </w:r>
            <w:r w:rsidR="00E0305E">
              <w:t xml:space="preserve">such </w:t>
            </w:r>
            <w:r>
              <w:t>as through discussions, there should be mutual understanding and agreement between IHPA representative</w:t>
            </w:r>
            <w:r w:rsidR="00E0305E">
              <w:t>s</w:t>
            </w:r>
            <w:r>
              <w:t xml:space="preserve"> and the jurisdictional representative that the information is being provided in confidence.</w:t>
            </w:r>
          </w:p>
        </w:tc>
      </w:tr>
      <w:tr w:rsidR="00393841" w:rsidRPr="006C7838" w:rsidTr="00E46095">
        <w:tc>
          <w:tcPr>
            <w:tcW w:w="2235" w:type="dxa"/>
          </w:tcPr>
          <w:p w:rsidR="00393841" w:rsidRPr="00393841" w:rsidRDefault="00393841" w:rsidP="00E0305E">
            <w:pPr>
              <w:rPr>
                <w:rFonts w:cs="Arial"/>
                <w:b/>
              </w:rPr>
            </w:pPr>
            <w:r w:rsidRPr="00393841">
              <w:rPr>
                <w:rFonts w:cs="Arial"/>
                <w:b/>
              </w:rPr>
              <w:t>IHPA representatives</w:t>
            </w:r>
          </w:p>
        </w:tc>
        <w:tc>
          <w:tcPr>
            <w:tcW w:w="7229" w:type="dxa"/>
          </w:tcPr>
          <w:p w:rsidR="00393841" w:rsidRPr="00573194" w:rsidRDefault="00393841" w:rsidP="00393841">
            <w:r w:rsidRPr="00A068A0">
              <w:t>Chief Executive Officer, Pricing Authority Members, IHPA staff, contractors and consultants.</w:t>
            </w:r>
          </w:p>
        </w:tc>
      </w:tr>
    </w:tbl>
    <w:p w:rsidR="00296320" w:rsidRDefault="005727D0" w:rsidP="005E3D2B">
      <w:pPr>
        <w:pStyle w:val="Heading1"/>
        <w:rPr>
          <w:lang w:eastAsia="en-US"/>
        </w:rPr>
      </w:pPr>
      <w:bookmarkStart w:id="4" w:name="_Toc482794037"/>
      <w:r>
        <w:rPr>
          <w:lang w:eastAsia="en-US"/>
        </w:rPr>
        <w:br w:type="page"/>
      </w:r>
      <w:bookmarkStart w:id="5" w:name="_Toc2865761"/>
      <w:r w:rsidR="005120AA">
        <w:rPr>
          <w:lang w:eastAsia="en-US"/>
        </w:rPr>
        <w:t xml:space="preserve">1. </w:t>
      </w:r>
      <w:r w:rsidR="005120AA">
        <w:rPr>
          <w:lang w:eastAsia="en-US"/>
        </w:rPr>
        <w:tab/>
      </w:r>
      <w:r w:rsidR="00A428EF">
        <w:rPr>
          <w:lang w:eastAsia="en-US"/>
        </w:rPr>
        <w:t xml:space="preserve">Executive </w:t>
      </w:r>
      <w:r w:rsidR="006265E4">
        <w:rPr>
          <w:lang w:eastAsia="en-US"/>
        </w:rPr>
        <w:t>s</w:t>
      </w:r>
      <w:r w:rsidR="00A428EF">
        <w:rPr>
          <w:lang w:eastAsia="en-US"/>
        </w:rPr>
        <w:t>ummary</w:t>
      </w:r>
      <w:bookmarkEnd w:id="5"/>
    </w:p>
    <w:p w:rsidR="00A428EF" w:rsidRDefault="00A428EF" w:rsidP="00A428EF">
      <w:pPr>
        <w:pStyle w:val="Heading2"/>
        <w:rPr>
          <w:caps/>
        </w:rPr>
      </w:pPr>
      <w:bookmarkStart w:id="6" w:name="_Toc2865762"/>
      <w:r>
        <w:t>1.1</w:t>
      </w:r>
      <w:r w:rsidRPr="0004792E">
        <w:tab/>
      </w:r>
      <w:r>
        <w:t>Background</w:t>
      </w:r>
      <w:bookmarkEnd w:id="6"/>
    </w:p>
    <w:bookmarkEnd w:id="4"/>
    <w:p w:rsidR="00E0305E" w:rsidRDefault="005120AA" w:rsidP="005120AA">
      <w:r>
        <w:t>Clause B93 of t</w:t>
      </w:r>
      <w:r w:rsidRPr="002C3C35">
        <w:t xml:space="preserve">he National Health Reform Agreement (NHRA) </w:t>
      </w:r>
      <w:r>
        <w:t>states</w:t>
      </w:r>
      <w:r w:rsidRPr="002C3C35">
        <w:t xml:space="preserve"> that jurisdictions will provide IHPA with the data required to carry out its functions</w:t>
      </w:r>
      <w:r w:rsidR="00E0305E">
        <w:t xml:space="preserve"> in accordance with its Three Year Data Plan</w:t>
      </w:r>
      <w:r w:rsidRPr="002C3C35">
        <w:t xml:space="preserve">. </w:t>
      </w:r>
    </w:p>
    <w:p w:rsidR="005120AA" w:rsidRPr="002C3C35" w:rsidRDefault="005120AA" w:rsidP="005120AA">
      <w:r w:rsidRPr="002C3C35">
        <w:t>Clause B3(h) of the NHRA</w:t>
      </w:r>
      <w:r w:rsidR="00E0305E">
        <w:t xml:space="preserve"> requires </w:t>
      </w:r>
      <w:r w:rsidRPr="002C3C35">
        <w:t>IHPA to develop four year projections of the National Efficient Price (NEP) and provide these as confidential reports to the Commonweal</w:t>
      </w:r>
      <w:r>
        <w:t xml:space="preserve">th and states and territories. </w:t>
      </w:r>
      <w:r w:rsidRPr="002C3C35">
        <w:t>IHPA require</w:t>
      </w:r>
      <w:r>
        <w:t>s</w:t>
      </w:r>
      <w:r w:rsidRPr="002C3C35">
        <w:t xml:space="preserve"> confidential jurisdictional information to support this work.</w:t>
      </w:r>
    </w:p>
    <w:p w:rsidR="005120AA" w:rsidRPr="002C3C35" w:rsidRDefault="005120AA" w:rsidP="005120AA">
      <w:r w:rsidRPr="002C3C35">
        <w:t xml:space="preserve">Where information provided by jurisdictions contains confidential jurisdictional information, IHPA has </w:t>
      </w:r>
      <w:r w:rsidR="00E0305E">
        <w:t>developed</w:t>
      </w:r>
      <w:r w:rsidR="00E0305E" w:rsidRPr="002C3C35">
        <w:t xml:space="preserve"> </w:t>
      </w:r>
      <w:r w:rsidRPr="002C3C35">
        <w:t>th</w:t>
      </w:r>
      <w:r w:rsidR="00E0305E">
        <w:t xml:space="preserve">is protocol </w:t>
      </w:r>
      <w:r w:rsidR="00AA1705">
        <w:t>–</w:t>
      </w:r>
      <w:r w:rsidR="00AF4A34">
        <w:t xml:space="preserve"> </w:t>
      </w:r>
      <w:r w:rsidR="00E0305E">
        <w:t>the</w:t>
      </w:r>
      <w:r w:rsidRPr="002C3C35">
        <w:t xml:space="preserve"> </w:t>
      </w:r>
      <w:r w:rsidRPr="00B2269A">
        <w:t xml:space="preserve">IHPA </w:t>
      </w:r>
      <w:r w:rsidRPr="002C3C35">
        <w:rPr>
          <w:i/>
        </w:rPr>
        <w:t>Management of Confidential Jurisdictional Information Protocol</w:t>
      </w:r>
      <w:r w:rsidRPr="002C3C35">
        <w:t xml:space="preserve"> (the Protocol) </w:t>
      </w:r>
      <w:r w:rsidR="00AA1705">
        <w:t>–</w:t>
      </w:r>
      <w:r w:rsidR="00AF4A34">
        <w:t xml:space="preserve"> </w:t>
      </w:r>
      <w:r w:rsidRPr="002C3C35">
        <w:t xml:space="preserve">to outline the processes and controls </w:t>
      </w:r>
      <w:r>
        <w:t>in place which</w:t>
      </w:r>
      <w:r w:rsidRPr="002C3C35">
        <w:t xml:space="preserve"> prevent unauthorised access to</w:t>
      </w:r>
      <w:r w:rsidR="00E0305E">
        <w:t>,</w:t>
      </w:r>
      <w:r w:rsidRPr="002C3C35">
        <w:t xml:space="preserve"> and disclosure of</w:t>
      </w:r>
      <w:r w:rsidR="00E0305E">
        <w:t>,</w:t>
      </w:r>
      <w:r w:rsidRPr="002C3C35">
        <w:t xml:space="preserve"> the confidential jurisdictional information to third parties which are not authorised </w:t>
      </w:r>
      <w:r>
        <w:t>to receive such information under</w:t>
      </w:r>
      <w:r w:rsidRPr="002C3C35">
        <w:t xml:space="preserve"> the NHRA, the </w:t>
      </w:r>
      <w:r w:rsidRPr="002C3C35">
        <w:rPr>
          <w:i/>
        </w:rPr>
        <w:t>National Health Reform Act 2011</w:t>
      </w:r>
      <w:r w:rsidRPr="002C3C35">
        <w:t xml:space="preserve"> (the Act) or pursuant to any other law.</w:t>
      </w:r>
      <w:r w:rsidR="006D1D42">
        <w:t xml:space="preserve"> </w:t>
      </w:r>
    </w:p>
    <w:p w:rsidR="005120AA" w:rsidRPr="002C3C35" w:rsidRDefault="005120AA" w:rsidP="005120AA">
      <w:r w:rsidRPr="002C3C35">
        <w:t xml:space="preserve">This Protocol is supported by other existing frameworks, policies and protocols within IHPA, in particular </w:t>
      </w:r>
      <w:r w:rsidRPr="004E5450">
        <w:t xml:space="preserve">IHPA’s </w:t>
      </w:r>
      <w:r w:rsidRPr="00E0305E">
        <w:t xml:space="preserve">internal </w:t>
      </w:r>
      <w:r w:rsidRPr="00E0305E">
        <w:rPr>
          <w:i/>
        </w:rPr>
        <w:t>Protective Security Framework</w:t>
      </w:r>
      <w:r w:rsidRPr="00E0305E">
        <w:t>.</w:t>
      </w:r>
      <w:r w:rsidRPr="002C3C35">
        <w:t xml:space="preserve"> A range of policies and procedures sit underneath this framework and together they provide a comprehensive framework for managing and protecting information collected and handled by IHPA. </w:t>
      </w:r>
    </w:p>
    <w:p w:rsidR="005120AA" w:rsidRPr="002C3C35" w:rsidRDefault="005120AA" w:rsidP="005120AA">
      <w:r w:rsidRPr="002C3C35">
        <w:t xml:space="preserve">As an Australian Government agency subject to the </w:t>
      </w:r>
      <w:r>
        <w:rPr>
          <w:i/>
        </w:rPr>
        <w:t>Public Governance Performance and Accountability Act 2013</w:t>
      </w:r>
      <w:r w:rsidRPr="002C3C35">
        <w:t>, IHPA</w:t>
      </w:r>
      <w:r>
        <w:t xml:space="preserve"> must have appropriate systems of risk oversight and management in place and internal controls which promote the proper use and management of public resources.</w:t>
      </w:r>
      <w:r w:rsidRPr="002C3C35">
        <w:t xml:space="preserve"> </w:t>
      </w:r>
      <w:r>
        <w:t xml:space="preserve">IHPA </w:t>
      </w:r>
      <w:r w:rsidRPr="002C3C35">
        <w:t>is</w:t>
      </w:r>
      <w:r>
        <w:t xml:space="preserve"> also</w:t>
      </w:r>
      <w:r w:rsidRPr="002C3C35">
        <w:t xml:space="preserve"> required</w:t>
      </w:r>
      <w:r w:rsidR="004E5450">
        <w:t xml:space="preserve"> to comply with the Australian</w:t>
      </w:r>
      <w:r w:rsidRPr="002C3C35">
        <w:t xml:space="preserve"> Government Protective Security Policy Framework (</w:t>
      </w:r>
      <w:r w:rsidRPr="004E5450">
        <w:t>PSPF</w:t>
      </w:r>
      <w:r w:rsidRPr="002C3C35">
        <w:t>)</w:t>
      </w:r>
      <w:r>
        <w:t xml:space="preserve"> and</w:t>
      </w:r>
      <w:r w:rsidRPr="002C3C35">
        <w:t xml:space="preserve"> IHPA’s internal protective security framework is aligned to the PSPF to the extent that the Act allows.</w:t>
      </w:r>
    </w:p>
    <w:p w:rsidR="005120AA" w:rsidRPr="002C3C35" w:rsidRDefault="005120AA" w:rsidP="005120AA">
      <w:r w:rsidRPr="002C3C35">
        <w:t xml:space="preserve">IHPA is also bound by other legislative requirements including the </w:t>
      </w:r>
      <w:r w:rsidRPr="002C3C35">
        <w:rPr>
          <w:i/>
        </w:rPr>
        <w:t>Archives Act 1983</w:t>
      </w:r>
      <w:r w:rsidRPr="002C3C35">
        <w:t xml:space="preserve"> (Archives Act), the </w:t>
      </w:r>
      <w:r w:rsidRPr="002C3C35">
        <w:rPr>
          <w:i/>
        </w:rPr>
        <w:t>Privacy Act 1988</w:t>
      </w:r>
      <w:r w:rsidRPr="002C3C35">
        <w:t xml:space="preserve"> (Privacy Act) and the </w:t>
      </w:r>
      <w:r w:rsidRPr="002C3C35">
        <w:rPr>
          <w:i/>
        </w:rPr>
        <w:t>Freedom of Information Act 1982</w:t>
      </w:r>
      <w:r w:rsidRPr="002C3C35">
        <w:t xml:space="preserve"> (FOI Act). IHPA will comply with any requests for information release in accordance with its legal obligations and the principles of information release as prescribed in the Archives Act, the Privacy Act and the FOI Act. Certain exemptions exist under the FOI Act and IHPA will apply an exemption where it is appropriate to do so.</w:t>
      </w:r>
    </w:p>
    <w:p w:rsidR="005120AA" w:rsidRDefault="005120AA" w:rsidP="005120AA">
      <w:pPr>
        <w:pStyle w:val="Heading2"/>
        <w:rPr>
          <w:caps/>
        </w:rPr>
      </w:pPr>
      <w:bookmarkStart w:id="7" w:name="_Toc482794038"/>
      <w:bookmarkStart w:id="8" w:name="_Toc2865763"/>
      <w:r>
        <w:t>1.</w:t>
      </w:r>
      <w:r w:rsidR="00A428EF">
        <w:t>2</w:t>
      </w:r>
      <w:r w:rsidRPr="0004792E">
        <w:tab/>
      </w:r>
      <w:r>
        <w:t>Purpose</w:t>
      </w:r>
      <w:bookmarkEnd w:id="7"/>
      <w:bookmarkEnd w:id="8"/>
    </w:p>
    <w:p w:rsidR="005120AA" w:rsidRDefault="005120AA" w:rsidP="005120AA">
      <w:r w:rsidRPr="00A068A0">
        <w:t>The purpose of th</w:t>
      </w:r>
      <w:r w:rsidR="00C66B40">
        <w:t>is</w:t>
      </w:r>
      <w:r w:rsidRPr="00A068A0">
        <w:t xml:space="preserve"> Protocol is to advise jurisdictions of the processes and controls adopted by IHPA in </w:t>
      </w:r>
      <w:r w:rsidR="00C66B40">
        <w:t xml:space="preserve">managing </w:t>
      </w:r>
      <w:r w:rsidRPr="00A068A0">
        <w:t xml:space="preserve">confidential jurisdictional information </w:t>
      </w:r>
      <w:r w:rsidR="000777AD">
        <w:t xml:space="preserve">as part of </w:t>
      </w:r>
      <w:r w:rsidRPr="00A068A0">
        <w:t>IHPA</w:t>
      </w:r>
      <w:r w:rsidR="000777AD">
        <w:t>’s rolling Three Year Data Plan</w:t>
      </w:r>
      <w:r w:rsidR="00656517">
        <w:t xml:space="preserve"> (used </w:t>
      </w:r>
      <w:r w:rsidRPr="00A068A0">
        <w:t>for its four year projections of the NEP</w:t>
      </w:r>
      <w:r w:rsidR="00656517">
        <w:t>)</w:t>
      </w:r>
      <w:r w:rsidRPr="00A068A0">
        <w:t>.</w:t>
      </w:r>
    </w:p>
    <w:p w:rsidR="00082B53" w:rsidRPr="00715750" w:rsidRDefault="00082B53" w:rsidP="005120AA">
      <w:pPr>
        <w:rPr>
          <w:lang w:eastAsia="ja-JP"/>
        </w:rPr>
      </w:pPr>
      <w:r>
        <w:t>This includes the controls IHPA applies to the request, access, handling, use, classification, release, storage and disposal of the confidential jurisdictional information.</w:t>
      </w:r>
    </w:p>
    <w:p w:rsidR="005120AA" w:rsidRPr="004E36B0" w:rsidRDefault="00A428EF" w:rsidP="005120AA">
      <w:pPr>
        <w:pStyle w:val="Heading2"/>
        <w:rPr>
          <w:caps/>
        </w:rPr>
      </w:pPr>
      <w:bookmarkStart w:id="9" w:name="_Toc449620360"/>
      <w:bookmarkStart w:id="10" w:name="_Toc482794039"/>
      <w:bookmarkStart w:id="11" w:name="_Toc2865764"/>
      <w:r>
        <w:t>1.3</w:t>
      </w:r>
      <w:r w:rsidR="005120AA">
        <w:tab/>
      </w:r>
      <w:r w:rsidR="005120AA" w:rsidRPr="004E36B0">
        <w:t>Scope</w:t>
      </w:r>
      <w:bookmarkEnd w:id="9"/>
      <w:bookmarkEnd w:id="10"/>
      <w:bookmarkEnd w:id="11"/>
    </w:p>
    <w:p w:rsidR="005120AA" w:rsidRPr="002C3C35" w:rsidRDefault="005120AA" w:rsidP="005120AA">
      <w:r w:rsidRPr="002C3C35">
        <w:t>The Protocol applies to all confidential jurisdictional information received from jurisdictions by IHPA representatives, including the Chief Executive Officer (CEO), Pricing Authority Members</w:t>
      </w:r>
      <w:r w:rsidRPr="002C3C35">
        <w:rPr>
          <w:vertAlign w:val="superscript"/>
        </w:rPr>
        <w:footnoteReference w:id="1"/>
      </w:r>
      <w:r w:rsidRPr="002C3C35">
        <w:t>, IHPA staff</w:t>
      </w:r>
      <w:r>
        <w:t>, contractors and consultants.</w:t>
      </w:r>
    </w:p>
    <w:p w:rsidR="00A50908" w:rsidRDefault="00A428EF" w:rsidP="00A50908">
      <w:pPr>
        <w:pStyle w:val="Heading2"/>
      </w:pPr>
      <w:bookmarkStart w:id="12" w:name="_Toc2865765"/>
      <w:r>
        <w:t>1.</w:t>
      </w:r>
      <w:r w:rsidR="00082B53">
        <w:t>4</w:t>
      </w:r>
      <w:r w:rsidR="00A50908">
        <w:tab/>
        <w:t>Review</w:t>
      </w:r>
      <w:bookmarkEnd w:id="12"/>
    </w:p>
    <w:p w:rsidR="00FE4DF5" w:rsidRDefault="00A50908" w:rsidP="00A50908">
      <w:r>
        <w:t>The CEO will review the Protocol</w:t>
      </w:r>
      <w:r w:rsidR="006D1D42">
        <w:t xml:space="preserve"> annually or as required. </w:t>
      </w:r>
      <w:r>
        <w:t xml:space="preserve">This review will ensure the Protocol remains current to sufficiently support IHPA in managing confidential jurisdictional information. </w:t>
      </w:r>
    </w:p>
    <w:p w:rsidR="00A50908" w:rsidRDefault="00A50908" w:rsidP="00A50908">
      <w:r>
        <w:t xml:space="preserve">The Protocol was last reviewed in </w:t>
      </w:r>
      <w:r w:rsidR="00C8633F">
        <w:t>June</w:t>
      </w:r>
      <w:r w:rsidR="007C78B9">
        <w:t xml:space="preserve"> 2019</w:t>
      </w:r>
      <w:r>
        <w:t>.</w:t>
      </w:r>
    </w:p>
    <w:p w:rsidR="00276BE1" w:rsidRDefault="005727D0" w:rsidP="005E3D2B">
      <w:pPr>
        <w:pStyle w:val="Heading1"/>
        <w:rPr>
          <w:lang w:eastAsia="en-US"/>
        </w:rPr>
      </w:pPr>
      <w:bookmarkStart w:id="13" w:name="_Toc347821111"/>
      <w:bookmarkStart w:id="14" w:name="_Toc347693215"/>
      <w:bookmarkStart w:id="15" w:name="_Toc412213489"/>
      <w:bookmarkStart w:id="16" w:name="_Toc482794042"/>
      <w:r>
        <w:rPr>
          <w:lang w:eastAsia="en-US"/>
        </w:rPr>
        <w:br w:type="page"/>
      </w:r>
      <w:bookmarkStart w:id="17" w:name="_Toc2865766"/>
      <w:r w:rsidR="00276BE1">
        <w:rPr>
          <w:lang w:eastAsia="en-US"/>
        </w:rPr>
        <w:t>2.</w:t>
      </w:r>
      <w:r w:rsidR="00276BE1">
        <w:rPr>
          <w:lang w:eastAsia="en-US"/>
        </w:rPr>
        <w:tab/>
      </w:r>
      <w:r w:rsidR="00276BE1" w:rsidRPr="00314E89">
        <w:rPr>
          <w:lang w:eastAsia="en-US"/>
        </w:rPr>
        <w:t>Management of confidential jurisdictional information</w:t>
      </w:r>
      <w:bookmarkEnd w:id="13"/>
      <w:bookmarkEnd w:id="14"/>
      <w:bookmarkEnd w:id="15"/>
      <w:bookmarkEnd w:id="16"/>
      <w:bookmarkEnd w:id="17"/>
    </w:p>
    <w:p w:rsidR="006A50A9" w:rsidRPr="00973B1E" w:rsidRDefault="006A50A9" w:rsidP="006A50A9">
      <w:r w:rsidRPr="00973B1E">
        <w:t>Anyone accessing protected Pricing Authority information</w:t>
      </w:r>
      <w:r w:rsidRPr="00973B1E">
        <w:rPr>
          <w:vertAlign w:val="superscript"/>
        </w:rPr>
        <w:footnoteReference w:id="2"/>
      </w:r>
      <w:r w:rsidRPr="00973B1E">
        <w:t xml:space="preserve"> is bound by the secrecy provisions set out at Part 4.14 of the Act. In essence, these provisions provide that such information can only be disclosed for limited and prescribed purposes</w:t>
      </w:r>
      <w:r>
        <w:t>.</w:t>
      </w:r>
    </w:p>
    <w:p w:rsidR="006A50A9" w:rsidRPr="00973B1E" w:rsidRDefault="006A50A9" w:rsidP="006A50A9">
      <w:r w:rsidRPr="00973B1E">
        <w:t xml:space="preserve">In addition, IHPA staff and representatives are required to manage the information collected and </w:t>
      </w:r>
      <w:r w:rsidRPr="006D1D42">
        <w:t xml:space="preserve">handled by IHPA in accordance with the policies and procedures included under IHPA’s internal </w:t>
      </w:r>
      <w:r w:rsidRPr="006D1D42">
        <w:rPr>
          <w:i/>
        </w:rPr>
        <w:t xml:space="preserve">Protective Security </w:t>
      </w:r>
      <w:r w:rsidR="00840D27">
        <w:rPr>
          <w:i/>
        </w:rPr>
        <w:t xml:space="preserve">Policy </w:t>
      </w:r>
      <w:r w:rsidRPr="006D1D42">
        <w:rPr>
          <w:i/>
        </w:rPr>
        <w:t>Framework</w:t>
      </w:r>
      <w:r w:rsidRPr="006D1D42">
        <w:t xml:space="preserve">. IHPA has developed policies which cover various aspects of information security management, including </w:t>
      </w:r>
      <w:r w:rsidR="00245C67">
        <w:t xml:space="preserve">the </w:t>
      </w:r>
      <w:r w:rsidRPr="006D1D42">
        <w:rPr>
          <w:i/>
        </w:rPr>
        <w:t>Information Security Policy</w:t>
      </w:r>
      <w:r w:rsidRPr="006D1D42">
        <w:t xml:space="preserve"> </w:t>
      </w:r>
      <w:r w:rsidRPr="006D1D42">
        <w:rPr>
          <w:i/>
        </w:rPr>
        <w:t>and</w:t>
      </w:r>
      <w:r w:rsidR="00245C67">
        <w:rPr>
          <w:i/>
        </w:rPr>
        <w:t xml:space="preserve"> Operations Security Policy</w:t>
      </w:r>
      <w:r w:rsidRPr="006D1D42">
        <w:t>.</w:t>
      </w:r>
      <w:r w:rsidRPr="00973B1E">
        <w:t xml:space="preserve"> Policies relating to information classification and access, and information release also manage who, how and in what circumstances information collected by IHPA can be accessed.</w:t>
      </w:r>
      <w:r>
        <w:t xml:space="preserve"> For example, the IHPA </w:t>
      </w:r>
      <w:r w:rsidRPr="004E5450">
        <w:rPr>
          <w:i/>
        </w:rPr>
        <w:t>Third Party ICT and Data Management Controls</w:t>
      </w:r>
      <w:r>
        <w:t xml:space="preserve"> sets out the conditions which IHPA requires to be satisfied prior to protected Pricing Authority information being provided to a third party.</w:t>
      </w:r>
    </w:p>
    <w:p w:rsidR="006A50A9" w:rsidRPr="00973B1E" w:rsidRDefault="006A50A9" w:rsidP="006A50A9">
      <w:r w:rsidRPr="00973B1E">
        <w:t>Detailed below is a summary of the processes and controls in place to ensure the effective management of confidential jurisdictional information which IHPA holds.</w:t>
      </w:r>
    </w:p>
    <w:p w:rsidR="003D22B0" w:rsidRPr="00314E89" w:rsidRDefault="003D22B0" w:rsidP="003D22B0">
      <w:pPr>
        <w:pStyle w:val="Heading2"/>
        <w:rPr>
          <w:caps/>
        </w:rPr>
      </w:pPr>
      <w:bookmarkStart w:id="18" w:name="_Toc412213491"/>
      <w:bookmarkStart w:id="19" w:name="_Toc482794044"/>
      <w:bookmarkStart w:id="20" w:name="_Toc2865767"/>
      <w:r>
        <w:t>2.1</w:t>
      </w:r>
      <w:r>
        <w:tab/>
      </w:r>
      <w:r w:rsidRPr="00314E89">
        <w:t>Request</w:t>
      </w:r>
      <w:bookmarkEnd w:id="18"/>
      <w:bookmarkEnd w:id="19"/>
      <w:bookmarkEnd w:id="20"/>
    </w:p>
    <w:p w:rsidR="003D22B0" w:rsidRDefault="003D22B0" w:rsidP="003D22B0">
      <w:pPr>
        <w:pStyle w:val="BodyText"/>
        <w:snapToGrid w:val="0"/>
        <w:spacing w:after="160" w:line="240" w:lineRule="auto"/>
        <w:rPr>
          <w:rFonts w:cs="Arial"/>
          <w:bCs/>
          <w:szCs w:val="22"/>
        </w:rPr>
      </w:pPr>
      <w:r w:rsidRPr="0098594F">
        <w:rPr>
          <w:rFonts w:cs="Arial"/>
          <w:bCs/>
          <w:szCs w:val="22"/>
        </w:rPr>
        <w:t xml:space="preserve">IHPA’s </w:t>
      </w:r>
      <w:r>
        <w:rPr>
          <w:rFonts w:cs="Arial"/>
          <w:bCs/>
          <w:szCs w:val="22"/>
        </w:rPr>
        <w:t>T</w:t>
      </w:r>
      <w:r w:rsidRPr="0098594F">
        <w:rPr>
          <w:rFonts w:cs="Arial"/>
          <w:bCs/>
          <w:szCs w:val="22"/>
        </w:rPr>
        <w:t xml:space="preserve">hree </w:t>
      </w:r>
      <w:r>
        <w:rPr>
          <w:rFonts w:cs="Arial"/>
          <w:bCs/>
          <w:szCs w:val="22"/>
        </w:rPr>
        <w:t>Y</w:t>
      </w:r>
      <w:r w:rsidRPr="0098594F">
        <w:rPr>
          <w:rFonts w:cs="Arial"/>
          <w:bCs/>
          <w:szCs w:val="22"/>
        </w:rPr>
        <w:t xml:space="preserve">ear </w:t>
      </w:r>
      <w:r>
        <w:rPr>
          <w:rFonts w:cs="Arial"/>
          <w:bCs/>
          <w:szCs w:val="22"/>
        </w:rPr>
        <w:t>D</w:t>
      </w:r>
      <w:r w:rsidRPr="0098594F">
        <w:rPr>
          <w:rFonts w:cs="Arial"/>
          <w:bCs/>
          <w:szCs w:val="22"/>
        </w:rPr>
        <w:t xml:space="preserve">ata </w:t>
      </w:r>
      <w:r w:rsidR="003B053A">
        <w:rPr>
          <w:rFonts w:cs="Arial"/>
          <w:bCs/>
          <w:szCs w:val="22"/>
        </w:rPr>
        <w:t>P</w:t>
      </w:r>
      <w:r w:rsidRPr="0098594F">
        <w:rPr>
          <w:rFonts w:cs="Arial"/>
          <w:bCs/>
          <w:szCs w:val="22"/>
        </w:rPr>
        <w:t xml:space="preserve">lan outlines the data required from jurisdictions to enable IHPA to undertake its functions under the Act. </w:t>
      </w:r>
      <w:r>
        <w:rPr>
          <w:rFonts w:cs="Arial"/>
          <w:bCs/>
          <w:szCs w:val="22"/>
        </w:rPr>
        <w:t>Clause B93 of t</w:t>
      </w:r>
      <w:r w:rsidRPr="0098594F">
        <w:rPr>
          <w:rFonts w:cs="Arial"/>
          <w:bCs/>
          <w:szCs w:val="22"/>
        </w:rPr>
        <w:t xml:space="preserve">he NHRA requires jurisdictions to provide data requested by IHPA. </w:t>
      </w:r>
    </w:p>
    <w:p w:rsidR="003D22B0" w:rsidRPr="0098594F" w:rsidRDefault="003D22B0" w:rsidP="003D22B0">
      <w:pPr>
        <w:pStyle w:val="BodyText"/>
        <w:snapToGrid w:val="0"/>
        <w:spacing w:after="160" w:line="240" w:lineRule="auto"/>
        <w:rPr>
          <w:rFonts w:cs="Arial"/>
          <w:bCs/>
          <w:szCs w:val="22"/>
        </w:rPr>
      </w:pPr>
      <w:r w:rsidRPr="0098594F">
        <w:rPr>
          <w:rFonts w:cs="Arial"/>
          <w:bCs/>
          <w:szCs w:val="22"/>
        </w:rPr>
        <w:t>Where a jurisdiction provides confidential information pursuant to a request from IHPA, the jurisdiction must identify the information accordingly.</w:t>
      </w:r>
    </w:p>
    <w:p w:rsidR="003D22B0" w:rsidRPr="00314E89" w:rsidRDefault="003D22B0" w:rsidP="003D22B0">
      <w:pPr>
        <w:pStyle w:val="Heading2"/>
        <w:rPr>
          <w:caps/>
        </w:rPr>
      </w:pPr>
      <w:bookmarkStart w:id="21" w:name="_Toc347821113"/>
      <w:bookmarkStart w:id="22" w:name="_Toc347693217"/>
      <w:bookmarkStart w:id="23" w:name="_Toc412213492"/>
      <w:bookmarkStart w:id="24" w:name="_Toc482794045"/>
      <w:bookmarkStart w:id="25" w:name="_Toc2865768"/>
      <w:r>
        <w:t>2.2</w:t>
      </w:r>
      <w:r>
        <w:tab/>
      </w:r>
      <w:r w:rsidRPr="00314E89">
        <w:t>Access, handling and use</w:t>
      </w:r>
      <w:bookmarkEnd w:id="21"/>
      <w:bookmarkEnd w:id="22"/>
      <w:bookmarkEnd w:id="23"/>
      <w:bookmarkEnd w:id="24"/>
      <w:bookmarkEnd w:id="25"/>
      <w:r w:rsidRPr="00314E89">
        <w:t xml:space="preserve"> </w:t>
      </w:r>
    </w:p>
    <w:p w:rsidR="003D22B0" w:rsidRPr="0098594F" w:rsidRDefault="003D22B0" w:rsidP="003D22B0">
      <w:pPr>
        <w:pStyle w:val="BodyText"/>
        <w:snapToGrid w:val="0"/>
        <w:spacing w:after="160" w:line="240" w:lineRule="auto"/>
        <w:rPr>
          <w:rFonts w:cs="Arial"/>
          <w:bCs/>
          <w:szCs w:val="22"/>
        </w:rPr>
      </w:pPr>
      <w:r w:rsidRPr="0098594F">
        <w:rPr>
          <w:rFonts w:cs="Arial"/>
          <w:bCs/>
          <w:szCs w:val="22"/>
        </w:rPr>
        <w:t>IHPA will take all reasonable steps to ensure that the confidential jurisdictional information remains confidential. IHPA will not disclose the confidential jurisdictional information to any person</w:t>
      </w:r>
      <w:r>
        <w:rPr>
          <w:rFonts w:cs="Arial"/>
          <w:bCs/>
          <w:szCs w:val="22"/>
        </w:rPr>
        <w:t xml:space="preserve"> outside the organisation</w:t>
      </w:r>
      <w:r w:rsidRPr="0098594F">
        <w:rPr>
          <w:rFonts w:cs="Arial"/>
          <w:bCs/>
          <w:szCs w:val="22"/>
        </w:rPr>
        <w:t xml:space="preserve">, other than </w:t>
      </w:r>
      <w:r>
        <w:rPr>
          <w:rFonts w:cs="Arial"/>
          <w:bCs/>
          <w:szCs w:val="22"/>
        </w:rPr>
        <w:t>where IHPA is</w:t>
      </w:r>
      <w:r w:rsidRPr="0098594F">
        <w:rPr>
          <w:rFonts w:cs="Arial"/>
          <w:bCs/>
          <w:szCs w:val="22"/>
        </w:rPr>
        <w:t xml:space="preserve"> permitted to do so under the NHRA, the Act or any other law or where IHPA has obtained the consent of the relevant jurisdiction. IHPA will not copy or record the confidential jurisdictional information other than for the purpose of carrying out its functions under the Act</w:t>
      </w:r>
      <w:r>
        <w:rPr>
          <w:rFonts w:cs="Arial"/>
          <w:bCs/>
          <w:szCs w:val="22"/>
        </w:rPr>
        <w:t>,</w:t>
      </w:r>
      <w:r w:rsidRPr="0098594F">
        <w:rPr>
          <w:rFonts w:cs="Arial"/>
          <w:bCs/>
          <w:szCs w:val="22"/>
        </w:rPr>
        <w:t xml:space="preserve"> the NHRA or any other law.</w:t>
      </w:r>
    </w:p>
    <w:p w:rsidR="003D22B0" w:rsidRPr="003D22B0" w:rsidRDefault="003D22B0" w:rsidP="003D22B0">
      <w:pPr>
        <w:spacing w:before="0" w:after="0" w:line="240" w:lineRule="auto"/>
        <w:rPr>
          <w:rFonts w:cs="Arial"/>
          <w:bCs/>
          <w:szCs w:val="22"/>
        </w:rPr>
      </w:pPr>
      <w:r w:rsidRPr="0098594F">
        <w:rPr>
          <w:rFonts w:cs="Arial"/>
          <w:bCs/>
          <w:szCs w:val="22"/>
        </w:rPr>
        <w:t xml:space="preserve">IHPA will only disclose the confidential jurisdictional information to those of its officers and employees who have a need to know for the purpose of carrying out </w:t>
      </w:r>
      <w:r>
        <w:rPr>
          <w:rFonts w:cs="Arial"/>
          <w:bCs/>
          <w:szCs w:val="22"/>
        </w:rPr>
        <w:t>IHPA’s</w:t>
      </w:r>
      <w:r w:rsidRPr="0098594F">
        <w:rPr>
          <w:rFonts w:cs="Arial"/>
          <w:bCs/>
          <w:szCs w:val="22"/>
        </w:rPr>
        <w:t xml:space="preserve"> functions under the Act</w:t>
      </w:r>
      <w:r>
        <w:rPr>
          <w:rFonts w:cs="Arial"/>
          <w:bCs/>
          <w:szCs w:val="22"/>
        </w:rPr>
        <w:t>,</w:t>
      </w:r>
      <w:r w:rsidRPr="0098594F">
        <w:rPr>
          <w:rFonts w:cs="Arial"/>
          <w:bCs/>
          <w:szCs w:val="22"/>
        </w:rPr>
        <w:t xml:space="preserve"> the NHRA or any other law</w:t>
      </w:r>
      <w:r>
        <w:rPr>
          <w:rFonts w:cs="Arial"/>
          <w:bCs/>
          <w:szCs w:val="22"/>
        </w:rPr>
        <w:t>. IHPA will ensure</w:t>
      </w:r>
      <w:r w:rsidRPr="0098594F">
        <w:rPr>
          <w:rFonts w:cs="Arial"/>
          <w:bCs/>
          <w:szCs w:val="22"/>
        </w:rPr>
        <w:t xml:space="preserve"> officers and </w:t>
      </w:r>
      <w:r w:rsidRPr="003D22B0">
        <w:rPr>
          <w:rFonts w:cs="Arial"/>
          <w:bCs/>
          <w:szCs w:val="22"/>
        </w:rPr>
        <w:t>employees are aware that the confidential jurisdictional information must be kept confidential.</w:t>
      </w:r>
    </w:p>
    <w:p w:rsidR="003B053A" w:rsidRDefault="003B053A" w:rsidP="003D22B0">
      <w:pPr>
        <w:spacing w:before="0" w:after="0" w:line="240" w:lineRule="auto"/>
        <w:rPr>
          <w:rFonts w:cs="Arial"/>
          <w:bCs/>
          <w:szCs w:val="22"/>
        </w:rPr>
      </w:pPr>
    </w:p>
    <w:p w:rsidR="003D22B0" w:rsidRPr="003D22B0" w:rsidRDefault="003D22B0" w:rsidP="003D22B0">
      <w:pPr>
        <w:spacing w:before="0" w:after="0" w:line="240" w:lineRule="auto"/>
        <w:rPr>
          <w:rFonts w:cs="Arial"/>
          <w:bCs/>
          <w:szCs w:val="22"/>
        </w:rPr>
      </w:pPr>
      <w:r w:rsidRPr="003D22B0">
        <w:rPr>
          <w:rFonts w:cs="Arial"/>
          <w:bCs/>
          <w:szCs w:val="22"/>
        </w:rPr>
        <w:t xml:space="preserve">IHPA’s </w:t>
      </w:r>
      <w:r w:rsidRPr="00FC598B">
        <w:rPr>
          <w:rFonts w:cs="Arial"/>
          <w:bCs/>
          <w:i/>
          <w:szCs w:val="22"/>
        </w:rPr>
        <w:t>Third Party Usage of IHPA Protected Data Rules</w:t>
      </w:r>
      <w:r w:rsidRPr="003D22B0">
        <w:rPr>
          <w:rFonts w:cs="Arial"/>
          <w:bCs/>
          <w:szCs w:val="22"/>
        </w:rPr>
        <w:t xml:space="preserve"> sets out the rules contractors and consultants must comply with before getting access to data and information collected by IHPA for its functions u</w:t>
      </w:r>
      <w:r w:rsidR="00615CA9">
        <w:rPr>
          <w:rFonts w:cs="Arial"/>
          <w:bCs/>
          <w:szCs w:val="22"/>
        </w:rPr>
        <w:t>nder the NHRA and the Act. The</w:t>
      </w:r>
      <w:r w:rsidRPr="003D22B0">
        <w:rPr>
          <w:rFonts w:cs="Arial"/>
          <w:bCs/>
          <w:szCs w:val="22"/>
        </w:rPr>
        <w:t xml:space="preserve"> </w:t>
      </w:r>
      <w:r w:rsidR="006B57AC">
        <w:rPr>
          <w:rFonts w:cs="Arial"/>
          <w:bCs/>
          <w:szCs w:val="22"/>
        </w:rPr>
        <w:t>document</w:t>
      </w:r>
      <w:r w:rsidR="006B57AC" w:rsidRPr="003D22B0">
        <w:rPr>
          <w:rFonts w:cs="Arial"/>
          <w:bCs/>
          <w:szCs w:val="22"/>
        </w:rPr>
        <w:t xml:space="preserve"> </w:t>
      </w:r>
      <w:r w:rsidRPr="003D22B0">
        <w:rPr>
          <w:rFonts w:cs="Arial"/>
          <w:bCs/>
          <w:szCs w:val="22"/>
        </w:rPr>
        <w:t>as well as this Protocol will apply to the access, handling and use of confidential jurisdictional information.</w:t>
      </w:r>
    </w:p>
    <w:p w:rsidR="00C24A2E" w:rsidRPr="00274B96" w:rsidRDefault="003D22B0" w:rsidP="00C24A2E">
      <w:pPr>
        <w:rPr>
          <w:rFonts w:cs="Arial"/>
        </w:rPr>
      </w:pPr>
      <w:r w:rsidRPr="003D22B0">
        <w:rPr>
          <w:rFonts w:cs="Arial"/>
          <w:bCs/>
          <w:szCs w:val="22"/>
        </w:rPr>
        <w:t xml:space="preserve">In accordance with the </w:t>
      </w:r>
      <w:r w:rsidR="006B57AC" w:rsidRPr="00FC598B">
        <w:rPr>
          <w:rFonts w:cs="Arial"/>
          <w:bCs/>
          <w:i/>
          <w:szCs w:val="22"/>
        </w:rPr>
        <w:t>Third Party Usage of IHPA Protected Data Rules</w:t>
      </w:r>
      <w:r w:rsidRPr="003D22B0">
        <w:rPr>
          <w:rFonts w:cs="Arial"/>
          <w:bCs/>
          <w:szCs w:val="22"/>
        </w:rPr>
        <w:t>,</w:t>
      </w:r>
      <w:r w:rsidR="00C24A2E" w:rsidRPr="00C24A2E">
        <w:rPr>
          <w:rFonts w:cs="Arial"/>
        </w:rPr>
        <w:t xml:space="preserve"> </w:t>
      </w:r>
      <w:r w:rsidR="00C24A2E" w:rsidRPr="00274B96">
        <w:rPr>
          <w:rFonts w:cs="Arial"/>
        </w:rPr>
        <w:t xml:space="preserve">IHPA </w:t>
      </w:r>
      <w:r w:rsidR="00C24A2E">
        <w:rPr>
          <w:rFonts w:cs="Arial"/>
        </w:rPr>
        <w:t xml:space="preserve">facilitates </w:t>
      </w:r>
      <w:r w:rsidR="00C24A2E" w:rsidRPr="00274B96">
        <w:rPr>
          <w:rFonts w:cs="Arial"/>
        </w:rPr>
        <w:t>access</w:t>
      </w:r>
      <w:r w:rsidR="00C24A2E">
        <w:rPr>
          <w:rFonts w:cs="Arial"/>
        </w:rPr>
        <w:t xml:space="preserve"> to IHPA </w:t>
      </w:r>
      <w:r w:rsidR="00C24A2E" w:rsidRPr="00274B96">
        <w:rPr>
          <w:rFonts w:cs="Arial"/>
        </w:rPr>
        <w:t>Protected Data</w:t>
      </w:r>
      <w:r w:rsidR="00C24A2E">
        <w:rPr>
          <w:rFonts w:cs="Arial"/>
        </w:rPr>
        <w:t xml:space="preserve"> via the Secure Data Management System (SDMS). SDMS access can be accessed at </w:t>
      </w:r>
      <w:r w:rsidR="00C24A2E" w:rsidRPr="00274B96">
        <w:rPr>
          <w:rFonts w:cs="Arial"/>
        </w:rPr>
        <w:t>IHPA's office in Sydney</w:t>
      </w:r>
      <w:r w:rsidR="00C24A2E">
        <w:rPr>
          <w:rFonts w:cs="Arial"/>
        </w:rPr>
        <w:t xml:space="preserve"> or offsite using the third party suppliers own hardware</w:t>
      </w:r>
      <w:r w:rsidR="00C24A2E" w:rsidRPr="00274B96">
        <w:rPr>
          <w:rFonts w:cs="Arial"/>
        </w:rPr>
        <w:t>.</w:t>
      </w:r>
      <w:r w:rsidR="00C24A2E">
        <w:rPr>
          <w:rFonts w:cs="Arial"/>
        </w:rPr>
        <w:t xml:space="preserve"> The following data access model </w:t>
      </w:r>
      <w:r w:rsidR="004C28AB">
        <w:rPr>
          <w:rFonts w:cs="Arial"/>
        </w:rPr>
        <w:t>outline</w:t>
      </w:r>
      <w:r w:rsidR="00C24A2E">
        <w:rPr>
          <w:rFonts w:cs="Arial"/>
        </w:rPr>
        <w:t>s this process.</w:t>
      </w:r>
    </w:p>
    <w:p w:rsidR="00C24A2E" w:rsidRPr="00274B96" w:rsidRDefault="00C24A2E" w:rsidP="00C24A2E">
      <w:pPr>
        <w:rPr>
          <w:rFonts w:cs="Arial"/>
        </w:rPr>
      </w:pPr>
      <w:r w:rsidRPr="00AC60DB">
        <w:rPr>
          <w:noProof/>
          <w:lang w:val="en-US"/>
        </w:rPr>
        <w:t xml:space="preserve"> </w:t>
      </w:r>
      <w:r>
        <w:rPr>
          <w:noProof/>
        </w:rPr>
        <w:drawing>
          <wp:inline distT="0" distB="0" distL="0" distR="0" wp14:anchorId="4DB9F5D2" wp14:editId="721867F5">
            <wp:extent cx="5731510" cy="3877945"/>
            <wp:effectExtent l="19050" t="19050" r="21590" b="2730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stretch>
                      <a:fillRect/>
                    </a:stretch>
                  </pic:blipFill>
                  <pic:spPr>
                    <a:xfrm>
                      <a:off x="0" y="0"/>
                      <a:ext cx="5731510" cy="3877945"/>
                    </a:xfrm>
                    <a:prstGeom prst="rect">
                      <a:avLst/>
                    </a:prstGeom>
                    <a:noFill/>
                    <a:ln>
                      <a:solidFill>
                        <a:schemeClr val="accent1"/>
                      </a:solidFill>
                    </a:ln>
                  </pic:spPr>
                </pic:pic>
              </a:graphicData>
            </a:graphic>
          </wp:inline>
        </w:drawing>
      </w:r>
    </w:p>
    <w:p w:rsidR="00C24A2E" w:rsidRPr="00274B96" w:rsidRDefault="00C24A2E" w:rsidP="00C24A2E">
      <w:pPr>
        <w:spacing w:after="200" w:line="276" w:lineRule="auto"/>
        <w:rPr>
          <w:rFonts w:cs="Arial"/>
        </w:rPr>
      </w:pPr>
      <w:r>
        <w:rPr>
          <w:rFonts w:cs="Arial"/>
        </w:rPr>
        <w:t>Figure 1. IHPAs Protected Data Access Model</w:t>
      </w:r>
    </w:p>
    <w:p w:rsidR="00C24A2E" w:rsidRPr="00274B96" w:rsidRDefault="00C24A2E" w:rsidP="00C24A2E">
      <w:pPr>
        <w:rPr>
          <w:rFonts w:cs="Arial"/>
        </w:rPr>
      </w:pPr>
      <w:r>
        <w:rPr>
          <w:rFonts w:cs="Arial"/>
        </w:rPr>
        <w:t>Any alternatives to this model require</w:t>
      </w:r>
      <w:r w:rsidR="007B766E">
        <w:rPr>
          <w:rFonts w:cs="Arial"/>
        </w:rPr>
        <w:t>s</w:t>
      </w:r>
      <w:r>
        <w:rPr>
          <w:rFonts w:cs="Arial"/>
        </w:rPr>
        <w:t xml:space="preserve">, comprehensive justification and a risk assessment and must be pre-approved by the IHPA </w:t>
      </w:r>
      <w:r w:rsidRPr="00274B96">
        <w:rPr>
          <w:rFonts w:cs="Arial"/>
        </w:rPr>
        <w:t>CEO</w:t>
      </w:r>
      <w:r>
        <w:rPr>
          <w:rFonts w:cs="Arial"/>
        </w:rPr>
        <w:t xml:space="preserve"> in writing</w:t>
      </w:r>
      <w:r w:rsidRPr="00274B96">
        <w:rPr>
          <w:rFonts w:cs="Arial"/>
        </w:rPr>
        <w:t xml:space="preserve">. </w:t>
      </w:r>
    </w:p>
    <w:p w:rsidR="001D3610" w:rsidRDefault="003D22B0" w:rsidP="003D22B0">
      <w:pPr>
        <w:spacing w:before="0" w:after="0" w:line="240" w:lineRule="auto"/>
        <w:rPr>
          <w:rFonts w:cs="Arial"/>
          <w:bCs/>
          <w:szCs w:val="22"/>
        </w:rPr>
      </w:pPr>
      <w:r w:rsidRPr="003D22B0">
        <w:rPr>
          <w:rFonts w:cs="Arial"/>
          <w:bCs/>
          <w:szCs w:val="22"/>
        </w:rPr>
        <w:t xml:space="preserve"> </w:t>
      </w:r>
    </w:p>
    <w:p w:rsidR="001D3610" w:rsidRPr="00314E89" w:rsidRDefault="001D3610" w:rsidP="001D3610">
      <w:pPr>
        <w:pStyle w:val="Heading2"/>
        <w:rPr>
          <w:caps/>
        </w:rPr>
      </w:pPr>
      <w:bookmarkStart w:id="26" w:name="_Toc347693225"/>
      <w:bookmarkStart w:id="27" w:name="_Toc347821114"/>
      <w:bookmarkStart w:id="28" w:name="_Toc412213493"/>
      <w:bookmarkStart w:id="29" w:name="_Toc482794046"/>
      <w:bookmarkStart w:id="30" w:name="_Toc2865769"/>
      <w:r>
        <w:t>2.3</w:t>
      </w:r>
      <w:r>
        <w:tab/>
      </w:r>
      <w:r w:rsidRPr="00314E89">
        <w:t>Classification</w:t>
      </w:r>
      <w:bookmarkEnd w:id="26"/>
      <w:bookmarkEnd w:id="27"/>
      <w:bookmarkEnd w:id="28"/>
      <w:bookmarkEnd w:id="29"/>
      <w:bookmarkEnd w:id="30"/>
    </w:p>
    <w:p w:rsidR="001D3610" w:rsidRPr="0098594F" w:rsidRDefault="001D3610" w:rsidP="00443927">
      <w:r w:rsidRPr="0098594F">
        <w:t>IHPA is required to classify information it receives and, where necessary, ensure that information is handled by staff with the appropriate security clearance</w:t>
      </w:r>
      <w:r w:rsidR="00DA593C">
        <w:t xml:space="preserve"> in line with the PSPF</w:t>
      </w:r>
      <w:r w:rsidRPr="0098594F">
        <w:t>.</w:t>
      </w:r>
      <w:r w:rsidRPr="003737CA">
        <w:rPr>
          <w:vertAlign w:val="superscript"/>
        </w:rPr>
        <w:footnoteReference w:id="3"/>
      </w:r>
    </w:p>
    <w:p w:rsidR="001D3610" w:rsidRDefault="001D3610" w:rsidP="00443927">
      <w:r w:rsidRPr="0098594F">
        <w:t xml:space="preserve">To ensure it is complying with this obligation, IHPA maintains a register of security vetting clearance held by staff. Further, </w:t>
      </w:r>
      <w:r w:rsidRPr="00375091">
        <w:t xml:space="preserve">IHPA’s </w:t>
      </w:r>
      <w:r w:rsidRPr="00375091">
        <w:rPr>
          <w:i/>
        </w:rPr>
        <w:t>Information Security Policy</w:t>
      </w:r>
      <w:r w:rsidRPr="006D1D42">
        <w:t xml:space="preserve"> set</w:t>
      </w:r>
      <w:r w:rsidR="00840D27">
        <w:t>s</w:t>
      </w:r>
      <w:r w:rsidRPr="006D1D42">
        <w:t xml:space="preserve"> out the system for the control and handling of security classified information in accordance with the PSPF. IHPA maintains a classified document register (CDR) for all ‘TOP SECRET’ and ‘SECRET’ materials produced or received.</w:t>
      </w:r>
      <w:r w:rsidR="006D1D42" w:rsidRPr="006D1D42">
        <w:t xml:space="preserve"> </w:t>
      </w:r>
      <w:r w:rsidRPr="006D1D42">
        <w:t>The CDR includes details of the documents received and all retained</w:t>
      </w:r>
      <w:r w:rsidRPr="0098594F">
        <w:t xml:space="preserve"> copies.</w:t>
      </w:r>
      <w:bookmarkStart w:id="31" w:name="_Toc334801728"/>
    </w:p>
    <w:p w:rsidR="001D3610" w:rsidRPr="0098594F" w:rsidRDefault="001D3610" w:rsidP="00443927">
      <w:r>
        <w:t>IHPA has identified that confidential jurisdictional information must be subject to additional protections and classifies this information as being sensitive data.</w:t>
      </w:r>
    </w:p>
    <w:p w:rsidR="001D3610" w:rsidRPr="00314E89" w:rsidRDefault="002C3A69" w:rsidP="005E3D2B">
      <w:pPr>
        <w:pStyle w:val="Heading3"/>
      </w:pPr>
      <w:bookmarkStart w:id="32" w:name="_Toc412213494"/>
      <w:bookmarkStart w:id="33" w:name="_Toc2695436"/>
      <w:bookmarkStart w:id="34" w:name="_Toc2865770"/>
      <w:r>
        <w:t xml:space="preserve">2.3.1 </w:t>
      </w:r>
      <w:r w:rsidR="001D3610" w:rsidRPr="00314E89">
        <w:t>Dissemination Limiting Marker</w:t>
      </w:r>
      <w:bookmarkEnd w:id="32"/>
      <w:bookmarkEnd w:id="33"/>
      <w:bookmarkEnd w:id="34"/>
    </w:p>
    <w:p w:rsidR="001D3610" w:rsidRPr="0098594F" w:rsidRDefault="001D3610" w:rsidP="00443927">
      <w:r w:rsidRPr="0098594F">
        <w:t>The definition of ‘Confidential’ information under the PSPF does not align with legal definitions of ‘confidential’ information nor is it aligned to the definition used in this document.</w:t>
      </w:r>
      <w:r w:rsidR="006D1D42">
        <w:t xml:space="preserve"> </w:t>
      </w:r>
      <w:r w:rsidRPr="0098594F">
        <w:t>However, IHPA will identify such information as confidential to all recipients, by labelling it with the appropriate Dissemination Limiting Marker (DLM).</w:t>
      </w:r>
    </w:p>
    <w:p w:rsidR="001D3610" w:rsidRPr="0098594F" w:rsidRDefault="001D3610" w:rsidP="00443927">
      <w:r w:rsidRPr="0098594F">
        <w:t>DLMs</w:t>
      </w:r>
      <w:bookmarkEnd w:id="31"/>
      <w:r w:rsidRPr="0098594F">
        <w:t xml:space="preserve"> are markings for information where disclosure may be limited or prohibited by legislation, or where it may otherwise require special handling. As outlined in the PSPF, IHPA is responsible for determining the appropriate protections to be applied to information bearing DLMs (except </w:t>
      </w:r>
      <w:r>
        <w:t>‘</w:t>
      </w:r>
      <w:r w:rsidRPr="0098594F">
        <w:t>Sensitive: Cabinet</w:t>
      </w:r>
      <w:r>
        <w:t>’</w:t>
      </w:r>
      <w:r w:rsidRPr="0098594F">
        <w:t>), whilst ensuring that the following principles of good information security practice are applied. The following five categories of DLM are used:</w:t>
      </w:r>
    </w:p>
    <w:p w:rsidR="00F12120" w:rsidRDefault="00F12120" w:rsidP="00643320">
      <w:pPr>
        <w:pStyle w:val="ListParagraph"/>
        <w:numPr>
          <w:ilvl w:val="0"/>
          <w:numId w:val="12"/>
        </w:numPr>
      </w:pPr>
      <w:r>
        <w:t>Unofficial</w:t>
      </w:r>
    </w:p>
    <w:p w:rsidR="00F12120" w:rsidRDefault="00F12120" w:rsidP="00643320">
      <w:pPr>
        <w:pStyle w:val="ListParagraph"/>
        <w:numPr>
          <w:ilvl w:val="0"/>
          <w:numId w:val="12"/>
        </w:numPr>
      </w:pPr>
      <w:r>
        <w:t>Official</w:t>
      </w:r>
    </w:p>
    <w:p w:rsidR="00F12120" w:rsidRDefault="00F12120" w:rsidP="00643320">
      <w:pPr>
        <w:pStyle w:val="ListParagraph"/>
        <w:numPr>
          <w:ilvl w:val="0"/>
          <w:numId w:val="12"/>
        </w:numPr>
      </w:pPr>
      <w:r>
        <w:t>Official: Sensitive</w:t>
      </w:r>
    </w:p>
    <w:p w:rsidR="00F12120" w:rsidRDefault="00F12120" w:rsidP="00643320">
      <w:pPr>
        <w:pStyle w:val="ListParagraph"/>
        <w:numPr>
          <w:ilvl w:val="0"/>
          <w:numId w:val="12"/>
        </w:numPr>
      </w:pPr>
      <w:r>
        <w:t>Protected</w:t>
      </w:r>
    </w:p>
    <w:p w:rsidR="001D3610" w:rsidRPr="0098594F" w:rsidRDefault="001D3610" w:rsidP="00443927">
      <w:pPr>
        <w:rPr>
          <w:bCs/>
          <w:szCs w:val="22"/>
        </w:rPr>
      </w:pPr>
      <w:r w:rsidRPr="0098594F">
        <w:rPr>
          <w:bCs/>
          <w:szCs w:val="22"/>
        </w:rPr>
        <w:t xml:space="preserve">IHPA will choose whether to use DLMs (other than </w:t>
      </w:r>
      <w:r>
        <w:rPr>
          <w:bCs/>
          <w:szCs w:val="22"/>
        </w:rPr>
        <w:t>‘</w:t>
      </w:r>
      <w:r w:rsidRPr="0098594F">
        <w:rPr>
          <w:bCs/>
          <w:szCs w:val="22"/>
        </w:rPr>
        <w:t>Sensitive: Cabinet</w:t>
      </w:r>
      <w:r>
        <w:rPr>
          <w:bCs/>
          <w:szCs w:val="22"/>
        </w:rPr>
        <w:t>’</w:t>
      </w:r>
      <w:r w:rsidRPr="0098594F">
        <w:rPr>
          <w:bCs/>
          <w:szCs w:val="22"/>
        </w:rPr>
        <w:t>) on a case-by-case basis.</w:t>
      </w:r>
      <w:r w:rsidR="006D1D42">
        <w:rPr>
          <w:bCs/>
          <w:szCs w:val="22"/>
        </w:rPr>
        <w:t xml:space="preserve"> </w:t>
      </w:r>
      <w:r w:rsidRPr="0098594F">
        <w:rPr>
          <w:bCs/>
          <w:szCs w:val="22"/>
        </w:rPr>
        <w:t>With regard to confidential information provided by jurisdictions, in the majority of cases it will be marked ‘Sensitive’.</w:t>
      </w:r>
    </w:p>
    <w:p w:rsidR="001D3610" w:rsidRPr="0098594F" w:rsidRDefault="001D3610" w:rsidP="00443927">
      <w:pPr>
        <w:rPr>
          <w:bCs/>
          <w:szCs w:val="22"/>
        </w:rPr>
      </w:pPr>
      <w:r w:rsidRPr="0098594F">
        <w:rPr>
          <w:bCs/>
          <w:szCs w:val="22"/>
        </w:rPr>
        <w:t xml:space="preserve">The presence or absence of such a marking will not affect a document’s status under the </w:t>
      </w:r>
      <w:r w:rsidRPr="00B2269A">
        <w:rPr>
          <w:bCs/>
          <w:i/>
          <w:szCs w:val="22"/>
        </w:rPr>
        <w:t>Freedom of Information Act 1982</w:t>
      </w:r>
      <w:r w:rsidRPr="0098594F">
        <w:rPr>
          <w:bCs/>
          <w:szCs w:val="22"/>
        </w:rPr>
        <w:t xml:space="preserve"> (FOI Act).</w:t>
      </w:r>
    </w:p>
    <w:p w:rsidR="001D3610" w:rsidRPr="00C84779" w:rsidRDefault="001D3610" w:rsidP="00C84779">
      <w:pPr>
        <w:pStyle w:val="Heading2"/>
      </w:pPr>
      <w:bookmarkStart w:id="35" w:name="_Toc347693231"/>
      <w:bookmarkStart w:id="36" w:name="_Toc347693235"/>
      <w:bookmarkStart w:id="37" w:name="_Toc347821115"/>
      <w:bookmarkStart w:id="38" w:name="_Toc412213495"/>
      <w:bookmarkStart w:id="39" w:name="_Toc482794047"/>
      <w:bookmarkStart w:id="40" w:name="_Toc2865771"/>
      <w:bookmarkEnd w:id="35"/>
      <w:r w:rsidRPr="00C84779">
        <w:t>2.4</w:t>
      </w:r>
      <w:r w:rsidRPr="00C84779">
        <w:tab/>
        <w:t>Storage</w:t>
      </w:r>
      <w:bookmarkEnd w:id="36"/>
      <w:bookmarkEnd w:id="37"/>
      <w:bookmarkEnd w:id="38"/>
      <w:bookmarkEnd w:id="39"/>
      <w:bookmarkEnd w:id="40"/>
    </w:p>
    <w:p w:rsidR="001D3610" w:rsidRPr="006D1D42" w:rsidRDefault="001D3610" w:rsidP="00C84779">
      <w:r w:rsidRPr="0098594F">
        <w:t xml:space="preserve">IHPA uses authorised systems and processes for managing information and records in all formats, aiming to manage digital records in electronic format in alignment with </w:t>
      </w:r>
      <w:r w:rsidRPr="00AB0774">
        <w:t xml:space="preserve">the </w:t>
      </w:r>
      <w:r w:rsidRPr="00AB0774">
        <w:rPr>
          <w:i/>
        </w:rPr>
        <w:t xml:space="preserve">Australian </w:t>
      </w:r>
      <w:r w:rsidRPr="006D1D42">
        <w:rPr>
          <w:i/>
        </w:rPr>
        <w:t>Government Digital Transition Policy</w:t>
      </w:r>
      <w:r w:rsidRPr="006D1D42">
        <w:t>.</w:t>
      </w:r>
    </w:p>
    <w:p w:rsidR="001D3610" w:rsidRPr="0098594F" w:rsidRDefault="001D3610" w:rsidP="00C84779">
      <w:r w:rsidRPr="006D1D42">
        <w:t>All information received from jurisdictions is stored securely both electronically (</w:t>
      </w:r>
      <w:r w:rsidR="006D1D42">
        <w:t xml:space="preserve">on </w:t>
      </w:r>
      <w:r w:rsidR="00954FB1">
        <w:t xml:space="preserve">the Secure Data Management </w:t>
      </w:r>
      <w:r w:rsidR="00954FB1" w:rsidRPr="00954FB1">
        <w:t>System (</w:t>
      </w:r>
      <w:r w:rsidR="006D1D42" w:rsidRPr="00E74A25">
        <w:t>SDMS</w:t>
      </w:r>
      <w:r w:rsidR="00954FB1" w:rsidRPr="00954FB1">
        <w:t>)</w:t>
      </w:r>
      <w:r w:rsidR="006D1D42" w:rsidRPr="00954FB1">
        <w:t>, IHPA’s</w:t>
      </w:r>
      <w:r w:rsidR="006D1D42">
        <w:t xml:space="preserve"> secure access controlled cloud based data storage network) </w:t>
      </w:r>
      <w:r w:rsidRPr="006D1D42">
        <w:t>and physically (locked cabinets).</w:t>
      </w:r>
      <w:r w:rsidR="006D1D42" w:rsidRPr="006D1D42">
        <w:t xml:space="preserve"> </w:t>
      </w:r>
    </w:p>
    <w:p w:rsidR="001D3610" w:rsidRPr="00314E89" w:rsidRDefault="001D3610" w:rsidP="001D3610">
      <w:pPr>
        <w:pStyle w:val="Heading2"/>
        <w:rPr>
          <w:caps/>
        </w:rPr>
      </w:pPr>
      <w:bookmarkStart w:id="41" w:name="_Toc347821116"/>
      <w:bookmarkStart w:id="42" w:name="_Toc347693236"/>
      <w:bookmarkStart w:id="43" w:name="_Toc412213496"/>
      <w:bookmarkStart w:id="44" w:name="_Toc482794048"/>
      <w:bookmarkStart w:id="45" w:name="_Toc2865772"/>
      <w:r>
        <w:t>2.5</w:t>
      </w:r>
      <w:r>
        <w:tab/>
      </w:r>
      <w:r w:rsidRPr="00314E89">
        <w:t>Release</w:t>
      </w:r>
      <w:bookmarkEnd w:id="41"/>
      <w:bookmarkEnd w:id="42"/>
      <w:bookmarkEnd w:id="43"/>
      <w:bookmarkEnd w:id="44"/>
      <w:bookmarkEnd w:id="45"/>
    </w:p>
    <w:p w:rsidR="001D3610" w:rsidRDefault="001D3610" w:rsidP="00C84779">
      <w:r w:rsidRPr="0098594F">
        <w:t>IHPA has developed a</w:t>
      </w:r>
      <w:r w:rsidR="00C02E3E">
        <w:t xml:space="preserve"> </w:t>
      </w:r>
      <w:r w:rsidR="00C02E3E">
        <w:rPr>
          <w:i/>
        </w:rPr>
        <w:t>Data Access and</w:t>
      </w:r>
      <w:r w:rsidRPr="00B2269A">
        <w:rPr>
          <w:i/>
        </w:rPr>
        <w:t xml:space="preserve"> Release Policy</w:t>
      </w:r>
      <w:r w:rsidRPr="0098594F">
        <w:t xml:space="preserve"> which outlines the principles and processes to be followed by IHPA with regard to the release of information. </w:t>
      </w:r>
    </w:p>
    <w:p w:rsidR="001D3610" w:rsidRPr="0098594F" w:rsidRDefault="001D3610" w:rsidP="00C84779">
      <w:r w:rsidRPr="0098594F">
        <w:t>Confidential information received from a jurisdiction will not be disclosed to any third parties unless IHPA is permitted to do so pursuant to the NHRA, the Act or any other law, without consulting with the jurisdiction which provided the information (including FOI requests).</w:t>
      </w:r>
    </w:p>
    <w:p w:rsidR="001D3610" w:rsidRPr="00314E89" w:rsidRDefault="001D3610" w:rsidP="001D3610">
      <w:pPr>
        <w:pStyle w:val="Heading2"/>
        <w:rPr>
          <w:caps/>
        </w:rPr>
      </w:pPr>
      <w:bookmarkStart w:id="46" w:name="_Toc347821117"/>
      <w:bookmarkStart w:id="47" w:name="_Toc412213497"/>
      <w:bookmarkStart w:id="48" w:name="_Toc482794049"/>
      <w:bookmarkStart w:id="49" w:name="_Toc2865773"/>
      <w:r>
        <w:t>2.6</w:t>
      </w:r>
      <w:r>
        <w:tab/>
      </w:r>
      <w:r w:rsidRPr="00314E89">
        <w:t>Disposal</w:t>
      </w:r>
      <w:bookmarkEnd w:id="46"/>
      <w:bookmarkEnd w:id="47"/>
      <w:bookmarkEnd w:id="48"/>
      <w:bookmarkEnd w:id="49"/>
    </w:p>
    <w:p w:rsidR="001D3610" w:rsidRPr="0098594F" w:rsidRDefault="001D3610" w:rsidP="00C84779">
      <w:r w:rsidRPr="0098594F">
        <w:t xml:space="preserve">When the confidential information is no longer required, it is </w:t>
      </w:r>
      <w:r>
        <w:t xml:space="preserve">stored or </w:t>
      </w:r>
      <w:r w:rsidRPr="0098594F">
        <w:t xml:space="preserve">disposed of </w:t>
      </w:r>
      <w:r>
        <w:t xml:space="preserve">in accordance with </w:t>
      </w:r>
      <w:r w:rsidRPr="00954FB1">
        <w:t>IHPA’s Record Authority or</w:t>
      </w:r>
      <w:r>
        <w:t xml:space="preserve"> relevant </w:t>
      </w:r>
      <w:r w:rsidRPr="006677B3">
        <w:t>General Record Authorities issued by the National Archives of Australia.</w:t>
      </w:r>
    </w:p>
    <w:p w:rsidR="00AB3AF1" w:rsidRPr="00EB28AF" w:rsidRDefault="005727D0" w:rsidP="005E3D2B">
      <w:pPr>
        <w:pStyle w:val="Heading1"/>
      </w:pPr>
      <w:bookmarkStart w:id="50" w:name="_Toc482794050"/>
      <w:r>
        <w:br w:type="page"/>
      </w:r>
      <w:bookmarkStart w:id="51" w:name="_Toc2865774"/>
      <w:r w:rsidR="00AB3AF1" w:rsidRPr="00314E89">
        <w:t>3.</w:t>
      </w:r>
      <w:r w:rsidR="00AB3AF1">
        <w:tab/>
      </w:r>
      <w:bookmarkStart w:id="52" w:name="_Toc347821118"/>
      <w:bookmarkStart w:id="53" w:name="_Toc412213498"/>
      <w:r w:rsidR="00AB3AF1" w:rsidRPr="00EB28AF">
        <w:t>Compliance</w:t>
      </w:r>
      <w:bookmarkEnd w:id="50"/>
      <w:bookmarkEnd w:id="52"/>
      <w:bookmarkEnd w:id="53"/>
      <w:bookmarkEnd w:id="51"/>
    </w:p>
    <w:p w:rsidR="00AB3AF1" w:rsidRPr="00AB3AF1" w:rsidRDefault="00AB3AF1" w:rsidP="00AB3AF1">
      <w:pPr>
        <w:pStyle w:val="Heading2"/>
      </w:pPr>
      <w:bookmarkStart w:id="54" w:name="_Toc412212512"/>
      <w:bookmarkStart w:id="55" w:name="_Toc412213499"/>
      <w:bookmarkStart w:id="56" w:name="_Toc479254394"/>
      <w:bookmarkStart w:id="57" w:name="_Toc479254414"/>
      <w:bookmarkStart w:id="58" w:name="_Toc482793899"/>
      <w:bookmarkStart w:id="59" w:name="_Toc482793920"/>
      <w:bookmarkStart w:id="60" w:name="_Toc482794051"/>
      <w:bookmarkStart w:id="61" w:name="_Toc347821119"/>
      <w:bookmarkStart w:id="62" w:name="_Toc347693247"/>
      <w:bookmarkStart w:id="63" w:name="_Toc412213500"/>
      <w:bookmarkStart w:id="64" w:name="_Toc482794052"/>
      <w:bookmarkStart w:id="65" w:name="_Toc2865775"/>
      <w:bookmarkEnd w:id="54"/>
      <w:bookmarkEnd w:id="55"/>
      <w:bookmarkEnd w:id="56"/>
      <w:bookmarkEnd w:id="57"/>
      <w:bookmarkEnd w:id="58"/>
      <w:bookmarkEnd w:id="59"/>
      <w:bookmarkEnd w:id="60"/>
      <w:r w:rsidRPr="00AB3AF1">
        <w:t>3.1</w:t>
      </w:r>
      <w:r w:rsidRPr="00AB3AF1">
        <w:tab/>
        <w:t>Internal controls</w:t>
      </w:r>
      <w:bookmarkEnd w:id="61"/>
      <w:bookmarkEnd w:id="62"/>
      <w:bookmarkEnd w:id="63"/>
      <w:bookmarkEnd w:id="64"/>
      <w:bookmarkEnd w:id="65"/>
    </w:p>
    <w:p w:rsidR="00AB3AF1" w:rsidRPr="00EB28AF" w:rsidRDefault="00AB3AF1" w:rsidP="00AB3AF1">
      <w:r w:rsidRPr="00EB28AF">
        <w:t>IHPA is proactive in managing confidential information provided by jurisdictions and minimising the risk of breaches.</w:t>
      </w:r>
      <w:r w:rsidR="006D1D42">
        <w:t xml:space="preserve"> </w:t>
      </w:r>
      <w:r w:rsidRPr="00EB28AF">
        <w:t xml:space="preserve">In addition to the controls outlined in section </w:t>
      </w:r>
      <w:r w:rsidR="00963C4A">
        <w:t>2</w:t>
      </w:r>
      <w:r w:rsidRPr="00EB28AF">
        <w:t>, IHPA takes the following steps:</w:t>
      </w:r>
    </w:p>
    <w:p w:rsidR="00AB3AF1" w:rsidRPr="00EB28AF" w:rsidRDefault="00AB3AF1" w:rsidP="00643320">
      <w:pPr>
        <w:pStyle w:val="ListParagraph"/>
        <w:numPr>
          <w:ilvl w:val="0"/>
          <w:numId w:val="15"/>
        </w:numPr>
      </w:pPr>
      <w:r>
        <w:t xml:space="preserve">Documented policies, plans and procedures for the management of information and records. </w:t>
      </w:r>
    </w:p>
    <w:p w:rsidR="00AB3AF1" w:rsidRPr="00FB115B" w:rsidRDefault="00AB3AF1" w:rsidP="00643320">
      <w:pPr>
        <w:pStyle w:val="ListParagraph"/>
        <w:numPr>
          <w:ilvl w:val="0"/>
          <w:numId w:val="15"/>
        </w:numPr>
      </w:pPr>
      <w:r w:rsidRPr="00FB115B">
        <w:t>Security awareness training is provided to staff at their induction and at regular intervals, as well as to contractors and consultants before they can access data and information.</w:t>
      </w:r>
    </w:p>
    <w:p w:rsidR="00AB3AF1" w:rsidRDefault="00AB3AF1" w:rsidP="00643320">
      <w:pPr>
        <w:pStyle w:val="ListParagraph"/>
        <w:numPr>
          <w:ilvl w:val="0"/>
          <w:numId w:val="15"/>
        </w:numPr>
      </w:pPr>
      <w:r>
        <w:t xml:space="preserve">Maintenance </w:t>
      </w:r>
      <w:r w:rsidRPr="00E74A25">
        <w:t>of a Designated Security Assessed Position Register</w:t>
      </w:r>
      <w:r>
        <w:t xml:space="preserve"> which details the IHPA staff and representatives which have been granted a security clearance by the Australian Government Security Vetting Agency.</w:t>
      </w:r>
    </w:p>
    <w:p w:rsidR="00AB3AF1" w:rsidRDefault="00AB3AF1" w:rsidP="00643320">
      <w:pPr>
        <w:pStyle w:val="ListParagraph"/>
        <w:numPr>
          <w:ilvl w:val="0"/>
          <w:numId w:val="15"/>
        </w:numPr>
      </w:pPr>
      <w:r>
        <w:t>Establishment of an Audit, Risk and Compliance Committee that meets regularly to discuss issues, with a Chairperson independent to IHPA.</w:t>
      </w:r>
    </w:p>
    <w:p w:rsidR="00AB3AF1" w:rsidRDefault="00AB3AF1" w:rsidP="00643320">
      <w:pPr>
        <w:pStyle w:val="ListParagraph"/>
        <w:numPr>
          <w:ilvl w:val="0"/>
          <w:numId w:val="15"/>
        </w:numPr>
      </w:pPr>
      <w:r>
        <w:t>Arranging regular internal and external security audits of its operations.</w:t>
      </w:r>
    </w:p>
    <w:p w:rsidR="00AB3AF1" w:rsidRDefault="00AB3AF1" w:rsidP="00643320">
      <w:pPr>
        <w:pStyle w:val="ListParagraph"/>
        <w:numPr>
          <w:ilvl w:val="0"/>
          <w:numId w:val="15"/>
        </w:numPr>
      </w:pPr>
      <w:r>
        <w:t xml:space="preserve">Regular compliance reporting to the CEO, Pricing Authority and internal committees. </w:t>
      </w:r>
    </w:p>
    <w:p w:rsidR="00AB3AF1" w:rsidRPr="00314E89" w:rsidRDefault="00AB3AF1" w:rsidP="00AB3AF1">
      <w:pPr>
        <w:pStyle w:val="Heading2"/>
        <w:ind w:right="-852"/>
        <w:rPr>
          <w:caps/>
        </w:rPr>
      </w:pPr>
      <w:bookmarkStart w:id="66" w:name="_Toc347693248"/>
      <w:bookmarkStart w:id="67" w:name="_Toc347693251"/>
      <w:bookmarkStart w:id="68" w:name="_Toc347821120"/>
      <w:bookmarkStart w:id="69" w:name="_Toc412213501"/>
      <w:bookmarkStart w:id="70" w:name="_Toc482794053"/>
      <w:bookmarkStart w:id="71" w:name="_Toc2865776"/>
      <w:bookmarkEnd w:id="66"/>
      <w:r>
        <w:t>3.2</w:t>
      </w:r>
      <w:r>
        <w:tab/>
      </w:r>
      <w:r w:rsidRPr="00314E89">
        <w:t>Assurance</w:t>
      </w:r>
      <w:bookmarkEnd w:id="67"/>
      <w:bookmarkEnd w:id="68"/>
      <w:bookmarkEnd w:id="69"/>
      <w:bookmarkEnd w:id="70"/>
      <w:bookmarkEnd w:id="71"/>
    </w:p>
    <w:p w:rsidR="00AB3AF1" w:rsidRPr="00EB28AF" w:rsidRDefault="00AB3AF1" w:rsidP="00AB3AF1">
      <w:r w:rsidRPr="00EB28AF">
        <w:t>IHPA has active processes to assess the effectiveness of internal controls.</w:t>
      </w:r>
      <w:r w:rsidR="006D1D42">
        <w:t xml:space="preserve"> </w:t>
      </w:r>
      <w:r w:rsidRPr="00EB28AF">
        <w:t xml:space="preserve">IHPA undertakes regular monitoring of compliance through the following: </w:t>
      </w:r>
    </w:p>
    <w:p w:rsidR="00AB3AF1" w:rsidRPr="00EB28AF" w:rsidRDefault="00AB3AF1" w:rsidP="00643320">
      <w:pPr>
        <w:pStyle w:val="ListParagraph"/>
        <w:numPr>
          <w:ilvl w:val="0"/>
          <w:numId w:val="16"/>
        </w:numPr>
      </w:pPr>
      <w:r>
        <w:t>Routine verification of compliance with the IHPA policies, plans and procedures through internal audits.</w:t>
      </w:r>
    </w:p>
    <w:p w:rsidR="00AB3AF1" w:rsidRPr="00E74A25" w:rsidRDefault="00AB3AF1" w:rsidP="00643320">
      <w:pPr>
        <w:pStyle w:val="ListParagraph"/>
        <w:numPr>
          <w:ilvl w:val="0"/>
          <w:numId w:val="16"/>
        </w:numPr>
      </w:pPr>
      <w:r>
        <w:t xml:space="preserve">Internal monitoring of compliance with internal controls by the </w:t>
      </w:r>
      <w:r w:rsidR="00E74A25" w:rsidRPr="00E74A25">
        <w:t xml:space="preserve">Executive </w:t>
      </w:r>
      <w:r w:rsidRPr="00E74A25">
        <w:t>Officer.</w:t>
      </w:r>
    </w:p>
    <w:p w:rsidR="00AB3AF1" w:rsidRDefault="00AB3AF1" w:rsidP="00643320">
      <w:pPr>
        <w:pStyle w:val="ListParagraph"/>
        <w:numPr>
          <w:ilvl w:val="0"/>
          <w:numId w:val="16"/>
        </w:numPr>
      </w:pPr>
      <w:r>
        <w:t>Annual reporting of compliance with mandatory PSPF requirements to the Minister of Health.</w:t>
      </w:r>
    </w:p>
    <w:p w:rsidR="00AB3AF1" w:rsidRDefault="00AB3AF1" w:rsidP="00643320">
      <w:pPr>
        <w:pStyle w:val="ListParagraph"/>
        <w:numPr>
          <w:ilvl w:val="0"/>
          <w:numId w:val="16"/>
        </w:numPr>
      </w:pPr>
      <w:r>
        <w:t>Conducting regular data assurance audits.</w:t>
      </w:r>
    </w:p>
    <w:p w:rsidR="0098702F" w:rsidRDefault="0098702F" w:rsidP="00643320">
      <w:r>
        <w:br w:type="page"/>
      </w:r>
    </w:p>
    <w:p w:rsidR="00562759" w:rsidRDefault="00043CF6" w:rsidP="00350852">
      <w:r>
        <w:rPr>
          <w:noProof/>
        </w:rPr>
        <w:drawing>
          <wp:anchor distT="0" distB="0" distL="114300" distR="114300" simplePos="0" relativeHeight="251678720" behindDoc="1" locked="1" layoutInCell="0" allowOverlap="1" wp14:anchorId="7CB993F4" wp14:editId="766DEB7A">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Pr>
          <w:noProof/>
        </w:rPr>
        <mc:AlternateContent>
          <mc:Choice Requires="wps">
            <w:drawing>
              <wp:anchor distT="0" distB="0" distL="114300" distR="114300" simplePos="0" relativeHeight="251670528" behindDoc="0" locked="0" layoutInCell="1" allowOverlap="1" wp14:anchorId="71EFA07A" wp14:editId="10EC5D96">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2759" w:rsidRPr="00996126" w:rsidRDefault="00562759" w:rsidP="00562759">
                            <w:pPr>
                              <w:pStyle w:val="Address"/>
                              <w:rPr>
                                <w:color w:val="auto"/>
                              </w:rPr>
                            </w:pPr>
                            <w:r w:rsidRPr="00996126">
                              <w:rPr>
                                <w:color w:val="auto"/>
                              </w:rPr>
                              <w:t>Independent Hospital Pricing Authority</w:t>
                            </w:r>
                          </w:p>
                          <w:p w:rsidR="00562759" w:rsidRPr="00996126" w:rsidRDefault="00562759" w:rsidP="00562759">
                            <w:pPr>
                              <w:pStyle w:val="Address"/>
                              <w:rPr>
                                <w:color w:val="auto"/>
                              </w:rPr>
                            </w:pPr>
                          </w:p>
                          <w:p w:rsidR="00562759" w:rsidRPr="00996126" w:rsidRDefault="00562759" w:rsidP="00562759">
                            <w:pPr>
                              <w:pStyle w:val="Address"/>
                              <w:rPr>
                                <w:color w:val="008542" w:themeColor="accent2"/>
                              </w:rPr>
                            </w:pPr>
                            <w:r w:rsidRPr="00996126">
                              <w:rPr>
                                <w:color w:val="008542" w:themeColor="accent2"/>
                              </w:rPr>
                              <w:t>Level 6, 1 Oxford Street</w:t>
                            </w:r>
                          </w:p>
                          <w:p w:rsidR="00562759" w:rsidRPr="00996126" w:rsidRDefault="00562759" w:rsidP="00562759">
                            <w:pPr>
                              <w:pStyle w:val="Address"/>
                              <w:rPr>
                                <w:color w:val="008542" w:themeColor="accent2"/>
                              </w:rPr>
                            </w:pPr>
                            <w:r w:rsidRPr="00996126">
                              <w:rPr>
                                <w:color w:val="008542" w:themeColor="accent2"/>
                              </w:rPr>
                              <w:t>Sydney NSW 2000</w:t>
                            </w:r>
                          </w:p>
                          <w:p w:rsidR="00562759" w:rsidRPr="00562759" w:rsidRDefault="00562759" w:rsidP="00562759">
                            <w:pPr>
                              <w:pStyle w:val="Address"/>
                            </w:pPr>
                          </w:p>
                          <w:p w:rsidR="00562759" w:rsidRPr="00996126" w:rsidRDefault="00562759" w:rsidP="00562759">
                            <w:pPr>
                              <w:pStyle w:val="Address"/>
                              <w:rPr>
                                <w:color w:val="008542" w:themeColor="accent2"/>
                              </w:rPr>
                            </w:pPr>
                            <w:r w:rsidRPr="00996126">
                              <w:rPr>
                                <w:color w:val="auto"/>
                              </w:rPr>
                              <w:t xml:space="preserve">Phone </w:t>
                            </w:r>
                            <w:r w:rsidRPr="00996126">
                              <w:rPr>
                                <w:color w:val="008542" w:themeColor="accent2"/>
                              </w:rPr>
                              <w:t>02 8215 1100</w:t>
                            </w:r>
                          </w:p>
                          <w:p w:rsidR="00562759" w:rsidRPr="00996126" w:rsidRDefault="00562759" w:rsidP="00562759">
                            <w:pPr>
                              <w:pStyle w:val="Address"/>
                              <w:rPr>
                                <w:color w:val="008542" w:themeColor="accent2"/>
                              </w:rPr>
                            </w:pPr>
                            <w:r w:rsidRPr="00996126">
                              <w:rPr>
                                <w:color w:val="auto"/>
                              </w:rPr>
                              <w:t xml:space="preserve">Email </w:t>
                            </w:r>
                            <w:r w:rsidRPr="00996126">
                              <w:rPr>
                                <w:color w:val="008542" w:themeColor="accent2"/>
                              </w:rPr>
                              <w:t>enquiries.ihpa@ihpa.gov.au</w:t>
                            </w:r>
                          </w:p>
                          <w:p w:rsidR="00562759" w:rsidRPr="00996126" w:rsidRDefault="00562759" w:rsidP="00562759">
                            <w:pPr>
                              <w:pStyle w:val="Address"/>
                              <w:rPr>
                                <w:color w:val="008542" w:themeColor="accent2"/>
                              </w:rPr>
                            </w:pPr>
                            <w:r w:rsidRPr="00996126">
                              <w:rPr>
                                <w:color w:val="auto"/>
                              </w:rPr>
                              <w:t xml:space="preserve">Twitter </w:t>
                            </w:r>
                            <w:r w:rsidRPr="00996126">
                              <w:rPr>
                                <w:color w:val="008542" w:themeColor="accent2"/>
                              </w:rPr>
                              <w:t>@IHPAnews</w:t>
                            </w:r>
                          </w:p>
                          <w:p w:rsidR="00562759" w:rsidRPr="00562759" w:rsidRDefault="00562759" w:rsidP="00562759">
                            <w:pPr>
                              <w:pStyle w:val="Address"/>
                            </w:pPr>
                          </w:p>
                          <w:p w:rsidR="00562759" w:rsidRPr="00996126" w:rsidRDefault="00562759" w:rsidP="00562759">
                            <w:pPr>
                              <w:pStyle w:val="Address"/>
                              <w:rPr>
                                <w:color w:val="auto"/>
                              </w:rPr>
                            </w:pPr>
                            <w:r w:rsidRPr="00996126">
                              <w:rPr>
                                <w:color w:val="auto"/>
                              </w:rPr>
                              <w:t>www.ihpa.gov.au</w:t>
                            </w:r>
                          </w:p>
                          <w:p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FA07A"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rsidR="00562759" w:rsidRPr="00996126" w:rsidRDefault="00562759" w:rsidP="00562759">
                      <w:pPr>
                        <w:pStyle w:val="Address"/>
                        <w:rPr>
                          <w:color w:val="auto"/>
                        </w:rPr>
                      </w:pPr>
                      <w:r w:rsidRPr="00996126">
                        <w:rPr>
                          <w:color w:val="auto"/>
                        </w:rPr>
                        <w:t>Independent Hospital Pricing Authority</w:t>
                      </w:r>
                    </w:p>
                    <w:p w:rsidR="00562759" w:rsidRPr="00996126" w:rsidRDefault="00562759" w:rsidP="00562759">
                      <w:pPr>
                        <w:pStyle w:val="Address"/>
                        <w:rPr>
                          <w:color w:val="auto"/>
                        </w:rPr>
                      </w:pPr>
                    </w:p>
                    <w:p w:rsidR="00562759" w:rsidRPr="00996126" w:rsidRDefault="00562759" w:rsidP="00562759">
                      <w:pPr>
                        <w:pStyle w:val="Address"/>
                        <w:rPr>
                          <w:color w:val="008542" w:themeColor="accent2"/>
                        </w:rPr>
                      </w:pPr>
                      <w:r w:rsidRPr="00996126">
                        <w:rPr>
                          <w:color w:val="008542" w:themeColor="accent2"/>
                        </w:rPr>
                        <w:t>Level 6, 1 Oxford Street</w:t>
                      </w:r>
                    </w:p>
                    <w:p w:rsidR="00562759" w:rsidRPr="00996126" w:rsidRDefault="00562759" w:rsidP="00562759">
                      <w:pPr>
                        <w:pStyle w:val="Address"/>
                        <w:rPr>
                          <w:color w:val="008542" w:themeColor="accent2"/>
                        </w:rPr>
                      </w:pPr>
                      <w:r w:rsidRPr="00996126">
                        <w:rPr>
                          <w:color w:val="008542" w:themeColor="accent2"/>
                        </w:rPr>
                        <w:t>Sydney NSW 2000</w:t>
                      </w:r>
                    </w:p>
                    <w:p w:rsidR="00562759" w:rsidRPr="00562759" w:rsidRDefault="00562759" w:rsidP="00562759">
                      <w:pPr>
                        <w:pStyle w:val="Address"/>
                      </w:pPr>
                    </w:p>
                    <w:p w:rsidR="00562759" w:rsidRPr="00996126" w:rsidRDefault="00562759" w:rsidP="00562759">
                      <w:pPr>
                        <w:pStyle w:val="Address"/>
                        <w:rPr>
                          <w:color w:val="008542" w:themeColor="accent2"/>
                        </w:rPr>
                      </w:pPr>
                      <w:r w:rsidRPr="00996126">
                        <w:rPr>
                          <w:color w:val="auto"/>
                        </w:rPr>
                        <w:t xml:space="preserve">Phone </w:t>
                      </w:r>
                      <w:r w:rsidRPr="00996126">
                        <w:rPr>
                          <w:color w:val="008542" w:themeColor="accent2"/>
                        </w:rPr>
                        <w:t>02 8215 1100</w:t>
                      </w:r>
                    </w:p>
                    <w:p w:rsidR="00562759" w:rsidRPr="00996126" w:rsidRDefault="00562759" w:rsidP="00562759">
                      <w:pPr>
                        <w:pStyle w:val="Address"/>
                        <w:rPr>
                          <w:color w:val="008542" w:themeColor="accent2"/>
                        </w:rPr>
                      </w:pPr>
                      <w:r w:rsidRPr="00996126">
                        <w:rPr>
                          <w:color w:val="auto"/>
                        </w:rPr>
                        <w:t xml:space="preserve">Email </w:t>
                      </w:r>
                      <w:r w:rsidRPr="00996126">
                        <w:rPr>
                          <w:color w:val="008542" w:themeColor="accent2"/>
                        </w:rPr>
                        <w:t>enquiries.ihpa@ihpa.gov.au</w:t>
                      </w:r>
                    </w:p>
                    <w:p w:rsidR="00562759" w:rsidRPr="00996126" w:rsidRDefault="00562759" w:rsidP="00562759">
                      <w:pPr>
                        <w:pStyle w:val="Address"/>
                        <w:rPr>
                          <w:color w:val="008542" w:themeColor="accent2"/>
                        </w:rPr>
                      </w:pPr>
                      <w:r w:rsidRPr="00996126">
                        <w:rPr>
                          <w:color w:val="auto"/>
                        </w:rPr>
                        <w:t xml:space="preserve">Twitter </w:t>
                      </w:r>
                      <w:r w:rsidRPr="00996126">
                        <w:rPr>
                          <w:color w:val="008542" w:themeColor="accent2"/>
                        </w:rPr>
                        <w:t>@IHPAnews</w:t>
                      </w:r>
                    </w:p>
                    <w:p w:rsidR="00562759" w:rsidRPr="00562759" w:rsidRDefault="00562759" w:rsidP="00562759">
                      <w:pPr>
                        <w:pStyle w:val="Address"/>
                      </w:pPr>
                    </w:p>
                    <w:p w:rsidR="00562759" w:rsidRPr="00996126" w:rsidRDefault="00562759" w:rsidP="00562759">
                      <w:pPr>
                        <w:pStyle w:val="Address"/>
                        <w:rPr>
                          <w:color w:val="auto"/>
                        </w:rPr>
                      </w:pPr>
                      <w:r w:rsidRPr="00996126">
                        <w:rPr>
                          <w:color w:val="auto"/>
                        </w:rPr>
                        <w:t>www.ihpa.gov.au</w:t>
                      </w:r>
                    </w:p>
                    <w:p w:rsidR="00562759" w:rsidRPr="0098702F" w:rsidRDefault="00562759" w:rsidP="00562759">
                      <w:pPr>
                        <w:pStyle w:val="Address"/>
                      </w:pPr>
                    </w:p>
                  </w:txbxContent>
                </v:textbox>
                <w10:wrap type="square" anchory="margin"/>
              </v:shape>
            </w:pict>
          </mc:Fallback>
        </mc:AlternateContent>
      </w:r>
    </w:p>
    <w:sectPr w:rsidR="00562759" w:rsidSect="008C2111">
      <w:headerReference w:type="even" r:id="rId15"/>
      <w:headerReference w:type="default" r:id="rId16"/>
      <w:footerReference w:type="even" r:id="rId17"/>
      <w:footerReference w:type="default" r:id="rId18"/>
      <w:headerReference w:type="first" r:id="rId19"/>
      <w:footerReference w:type="first" r:id="rId20"/>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E7" w:rsidRDefault="008366E7">
      <w:r>
        <w:separator/>
      </w:r>
    </w:p>
  </w:endnote>
  <w:endnote w:type="continuationSeparator" w:id="0">
    <w:p w:rsidR="008366E7" w:rsidRDefault="0083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68" w:rsidRDefault="0074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68" w:rsidRDefault="00747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68" w:rsidRDefault="0074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E7" w:rsidRDefault="008366E7">
      <w:r>
        <w:separator/>
      </w:r>
    </w:p>
  </w:footnote>
  <w:footnote w:type="continuationSeparator" w:id="0">
    <w:p w:rsidR="008366E7" w:rsidRDefault="008366E7">
      <w:r>
        <w:continuationSeparator/>
      </w:r>
    </w:p>
  </w:footnote>
  <w:footnote w:id="1">
    <w:p w:rsidR="005120AA" w:rsidRDefault="005120AA" w:rsidP="005120AA">
      <w:pPr>
        <w:pStyle w:val="FootnoteText"/>
        <w:rPr>
          <w:lang w:val="en-GB"/>
        </w:rPr>
      </w:pPr>
      <w:r>
        <w:rPr>
          <w:rStyle w:val="FootnoteReference"/>
          <w:rFonts w:eastAsiaTheme="majorEastAsia"/>
        </w:rPr>
        <w:footnoteRef/>
      </w:r>
      <w:r>
        <w:t xml:space="preserve"> </w:t>
      </w:r>
      <w:r w:rsidRPr="005120AA">
        <w:rPr>
          <w:rFonts w:cs="Arial"/>
          <w:sz w:val="20"/>
          <w:lang w:val="en-GB"/>
        </w:rPr>
        <w:t>The Pricing Authority refers to the governing body of IHPA</w:t>
      </w:r>
    </w:p>
  </w:footnote>
  <w:footnote w:id="2">
    <w:p w:rsidR="006A50A9" w:rsidRDefault="006A50A9" w:rsidP="006A50A9">
      <w:pPr>
        <w:pStyle w:val="FootnoteText"/>
        <w:spacing w:before="60" w:after="60" w:line="264" w:lineRule="auto"/>
        <w:rPr>
          <w:rFonts w:cs="Arial"/>
          <w:lang w:val="en-US"/>
        </w:rPr>
      </w:pPr>
      <w:r>
        <w:rPr>
          <w:rStyle w:val="FootnoteReference"/>
          <w:rFonts w:eastAsiaTheme="majorEastAsia" w:cs="Arial"/>
        </w:rPr>
        <w:footnoteRef/>
      </w:r>
      <w:r>
        <w:rPr>
          <w:rFonts w:cs="Arial"/>
          <w:lang w:val="en-US"/>
        </w:rPr>
        <w:t xml:space="preserve"> </w:t>
      </w:r>
      <w:r w:rsidRPr="006A50A9">
        <w:rPr>
          <w:rFonts w:cs="Arial"/>
          <w:sz w:val="20"/>
          <w:lang w:val="en-US"/>
        </w:rPr>
        <w:t xml:space="preserve">See section 5 of the </w:t>
      </w:r>
      <w:r w:rsidRPr="006A50A9">
        <w:rPr>
          <w:rFonts w:cs="Arial"/>
          <w:i/>
          <w:sz w:val="20"/>
          <w:lang w:val="en-US"/>
        </w:rPr>
        <w:t>National Health Reform Act 2011</w:t>
      </w:r>
    </w:p>
  </w:footnote>
  <w:footnote w:id="3">
    <w:p w:rsidR="001D3610" w:rsidRDefault="001D3610" w:rsidP="001D3610">
      <w:pPr>
        <w:pStyle w:val="FootnoteText"/>
        <w:spacing w:before="60" w:line="264" w:lineRule="auto"/>
        <w:rPr>
          <w:rFonts w:cs="Arial"/>
          <w:lang w:val="en-US"/>
        </w:rPr>
      </w:pPr>
      <w:r>
        <w:rPr>
          <w:rStyle w:val="FootnoteReference"/>
          <w:rFonts w:eastAsiaTheme="majorEastAsia" w:cs="Arial"/>
        </w:rPr>
        <w:footnoteRef/>
      </w:r>
      <w:r>
        <w:rPr>
          <w:rFonts w:cs="Arial"/>
          <w:lang w:val="en-US"/>
        </w:rPr>
        <w:t xml:space="preserve"> </w:t>
      </w:r>
      <w:r w:rsidRPr="00BB69EB">
        <w:rPr>
          <w:rFonts w:cs="Arial"/>
          <w:sz w:val="20"/>
          <w:lang w:val="en-US"/>
        </w:rPr>
        <w:t xml:space="preserve">The </w:t>
      </w:r>
      <w:r w:rsidR="003926D3">
        <w:rPr>
          <w:rFonts w:cs="Arial"/>
          <w:sz w:val="20"/>
          <w:lang w:val="en-US"/>
        </w:rPr>
        <w:t xml:space="preserve">information is set out in ‘9 Access to information’ </w:t>
      </w:r>
      <w:r w:rsidRPr="00BB69EB">
        <w:rPr>
          <w:rFonts w:cs="Arial"/>
          <w:sz w:val="20"/>
          <w:lang w:val="en-US"/>
        </w:rPr>
        <w:t xml:space="preserve">of the </w:t>
      </w:r>
      <w:r w:rsidRPr="00BB69EB">
        <w:rPr>
          <w:rFonts w:cs="Arial"/>
          <w:i/>
          <w:sz w:val="20"/>
          <w:lang w:val="en-US"/>
        </w:rPr>
        <w:t>Australian Government Personnel Security Protocol</w:t>
      </w:r>
      <w:r w:rsidRPr="00BB69EB">
        <w:rPr>
          <w:rFonts w:cs="Arial"/>
          <w:sz w:val="20"/>
          <w:lang w:val="en-US"/>
        </w:rPr>
        <w:t xml:space="preserve"> (</w:t>
      </w:r>
      <w:r w:rsidR="003926D3">
        <w:rPr>
          <w:rFonts w:cs="Arial"/>
          <w:sz w:val="20"/>
          <w:lang w:val="en-US"/>
        </w:rPr>
        <w:t>v2018.2</w:t>
      </w:r>
      <w:r w:rsidRPr="00BB69EB">
        <w:rPr>
          <w:rFonts w:cs="Arial"/>
          <w:sz w:val="20"/>
          <w:lang w:val="en-US"/>
        </w:rPr>
        <w:t>), at &lt;</w:t>
      </w:r>
      <w:hyperlink r:id="rId1" w:history="1">
        <w:r w:rsidRPr="00BB69EB">
          <w:rPr>
            <w:rStyle w:val="Hyperlink"/>
            <w:rFonts w:cs="Arial"/>
            <w:sz w:val="20"/>
            <w:lang w:val="en-US"/>
          </w:rPr>
          <w:t>http://www.</w:t>
        </w:r>
        <w:r w:rsidR="00AD22A7" w:rsidRPr="00AD22A7">
          <w:t xml:space="preserve"> </w:t>
        </w:r>
        <w:r w:rsidR="00AD22A7" w:rsidRPr="00AD22A7">
          <w:rPr>
            <w:rStyle w:val="Hyperlink"/>
            <w:rFonts w:cs="Arial"/>
            <w:sz w:val="20"/>
            <w:lang w:val="en-US"/>
          </w:rPr>
          <w:t>https://www.protectivesecurity.gov.au/information/access-to-information/Documents/pspf-infosec-09-access-information.pdf</w:t>
        </w:r>
      </w:hyperlink>
      <w:r w:rsidRPr="00BB69EB">
        <w:rPr>
          <w:rFonts w:cs="Arial"/>
          <w:sz w:val="20"/>
          <w:lang w:val="en-US"/>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68" w:rsidRDefault="00747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0E" w:rsidRPr="00CC2138" w:rsidRDefault="00CC2138"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2A0903E1" wp14:editId="36E68AE8">
          <wp:simplePos x="0" y="0"/>
          <wp:positionH relativeFrom="page">
            <wp:posOffset>0</wp:posOffset>
          </wp:positionH>
          <wp:positionV relativeFrom="page">
            <wp:posOffset>1179</wp:posOffset>
          </wp:positionV>
          <wp:extent cx="6080400" cy="918140"/>
          <wp:effectExtent l="0" t="0" r="0" b="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7E239C">
      <w:rPr>
        <w:color w:val="FFFFFF" w:themeColor="background1"/>
      </w:rPr>
      <w:t>Management of Confidential Jurisdictional Information Protocol</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924583">
      <w:rPr>
        <w:noProof/>
        <w:color w:val="008542" w:themeColor="accent2"/>
      </w:rPr>
      <w:t>1</w:t>
    </w:r>
    <w:r w:rsidRPr="005F219D">
      <w:rPr>
        <w:noProof/>
        <w:color w:val="008542" w:themeColor="accen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68" w:rsidRDefault="00747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295C"/>
    <w:multiLevelType w:val="multilevel"/>
    <w:tmpl w:val="5B0EB51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760" w:hanging="2520"/>
      </w:pPr>
    </w:lvl>
  </w:abstractNum>
  <w:abstractNum w:abstractNumId="11" w15:restartNumberingAfterBreak="0">
    <w:nsid w:val="352C24A9"/>
    <w:multiLevelType w:val="hybridMultilevel"/>
    <w:tmpl w:val="5950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BD2D88"/>
    <w:multiLevelType w:val="hybridMultilevel"/>
    <w:tmpl w:val="C64A99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F96180"/>
    <w:multiLevelType w:val="hybridMultilevel"/>
    <w:tmpl w:val="6630B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5F749D"/>
    <w:multiLevelType w:val="hybridMultilevel"/>
    <w:tmpl w:val="D940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C44CA"/>
    <w:multiLevelType w:val="hybridMultilevel"/>
    <w:tmpl w:val="D28A7EE2"/>
    <w:lvl w:ilvl="0" w:tplc="4354416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5"/>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E7"/>
    <w:rsid w:val="000056D7"/>
    <w:rsid w:val="00005785"/>
    <w:rsid w:val="00006876"/>
    <w:rsid w:val="000079AD"/>
    <w:rsid w:val="00007D1F"/>
    <w:rsid w:val="00010D84"/>
    <w:rsid w:val="00010F15"/>
    <w:rsid w:val="00011CE3"/>
    <w:rsid w:val="00022E9C"/>
    <w:rsid w:val="00024EF0"/>
    <w:rsid w:val="00025631"/>
    <w:rsid w:val="00027B26"/>
    <w:rsid w:val="00030705"/>
    <w:rsid w:val="00032861"/>
    <w:rsid w:val="00032B77"/>
    <w:rsid w:val="00042285"/>
    <w:rsid w:val="00043256"/>
    <w:rsid w:val="00043CF6"/>
    <w:rsid w:val="00044517"/>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77AD"/>
    <w:rsid w:val="00080A09"/>
    <w:rsid w:val="00081CEB"/>
    <w:rsid w:val="00082B53"/>
    <w:rsid w:val="00083082"/>
    <w:rsid w:val="00087B2C"/>
    <w:rsid w:val="00087DBD"/>
    <w:rsid w:val="00090718"/>
    <w:rsid w:val="00091B4E"/>
    <w:rsid w:val="00091CD7"/>
    <w:rsid w:val="00093DD5"/>
    <w:rsid w:val="000A03DD"/>
    <w:rsid w:val="000A1A09"/>
    <w:rsid w:val="000A47A8"/>
    <w:rsid w:val="000A73FB"/>
    <w:rsid w:val="000B218A"/>
    <w:rsid w:val="000B6945"/>
    <w:rsid w:val="000C014D"/>
    <w:rsid w:val="000C29B4"/>
    <w:rsid w:val="000C5CD8"/>
    <w:rsid w:val="000C7A69"/>
    <w:rsid w:val="000C7C11"/>
    <w:rsid w:val="000D1158"/>
    <w:rsid w:val="000D4703"/>
    <w:rsid w:val="000E12D4"/>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2E5"/>
    <w:rsid w:val="00135B7E"/>
    <w:rsid w:val="00140FC9"/>
    <w:rsid w:val="001413C5"/>
    <w:rsid w:val="0014231B"/>
    <w:rsid w:val="00142956"/>
    <w:rsid w:val="00142D10"/>
    <w:rsid w:val="00144868"/>
    <w:rsid w:val="001452BC"/>
    <w:rsid w:val="00150D2A"/>
    <w:rsid w:val="00150E25"/>
    <w:rsid w:val="00150EA9"/>
    <w:rsid w:val="00151650"/>
    <w:rsid w:val="00152BF6"/>
    <w:rsid w:val="00155164"/>
    <w:rsid w:val="00155B98"/>
    <w:rsid w:val="00157001"/>
    <w:rsid w:val="00157709"/>
    <w:rsid w:val="00160E91"/>
    <w:rsid w:val="00165626"/>
    <w:rsid w:val="00166D63"/>
    <w:rsid w:val="00167CF4"/>
    <w:rsid w:val="0017018F"/>
    <w:rsid w:val="0017147C"/>
    <w:rsid w:val="0017194E"/>
    <w:rsid w:val="0017249B"/>
    <w:rsid w:val="001727A4"/>
    <w:rsid w:val="00177EC4"/>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0F6F"/>
    <w:rsid w:val="001D141C"/>
    <w:rsid w:val="001D2904"/>
    <w:rsid w:val="001D3610"/>
    <w:rsid w:val="001D652D"/>
    <w:rsid w:val="001D693F"/>
    <w:rsid w:val="001D6F9E"/>
    <w:rsid w:val="001E38FB"/>
    <w:rsid w:val="001E52C2"/>
    <w:rsid w:val="001F0BE1"/>
    <w:rsid w:val="001F101A"/>
    <w:rsid w:val="001F24EF"/>
    <w:rsid w:val="001F56C7"/>
    <w:rsid w:val="00203039"/>
    <w:rsid w:val="00204B17"/>
    <w:rsid w:val="002069D2"/>
    <w:rsid w:val="00211DA2"/>
    <w:rsid w:val="00213693"/>
    <w:rsid w:val="00215CCB"/>
    <w:rsid w:val="00216CF5"/>
    <w:rsid w:val="002175EF"/>
    <w:rsid w:val="0022037B"/>
    <w:rsid w:val="00222C8D"/>
    <w:rsid w:val="002256A8"/>
    <w:rsid w:val="00230E6B"/>
    <w:rsid w:val="00232B97"/>
    <w:rsid w:val="0023523A"/>
    <w:rsid w:val="0023757C"/>
    <w:rsid w:val="00237C47"/>
    <w:rsid w:val="002402E4"/>
    <w:rsid w:val="002421A0"/>
    <w:rsid w:val="00242B98"/>
    <w:rsid w:val="002445A1"/>
    <w:rsid w:val="00245C30"/>
    <w:rsid w:val="00245C67"/>
    <w:rsid w:val="00246FE6"/>
    <w:rsid w:val="002470E3"/>
    <w:rsid w:val="0025207D"/>
    <w:rsid w:val="00254DE9"/>
    <w:rsid w:val="002615D3"/>
    <w:rsid w:val="002672F1"/>
    <w:rsid w:val="00271414"/>
    <w:rsid w:val="00271922"/>
    <w:rsid w:val="00273412"/>
    <w:rsid w:val="0027373F"/>
    <w:rsid w:val="00274ACF"/>
    <w:rsid w:val="00276BE1"/>
    <w:rsid w:val="0028159B"/>
    <w:rsid w:val="00282671"/>
    <w:rsid w:val="00282861"/>
    <w:rsid w:val="002843E2"/>
    <w:rsid w:val="00287BAA"/>
    <w:rsid w:val="00293489"/>
    <w:rsid w:val="00296320"/>
    <w:rsid w:val="00296F5E"/>
    <w:rsid w:val="002A30F0"/>
    <w:rsid w:val="002A6DF5"/>
    <w:rsid w:val="002B6406"/>
    <w:rsid w:val="002B6809"/>
    <w:rsid w:val="002B7F9D"/>
    <w:rsid w:val="002C3A69"/>
    <w:rsid w:val="002C4231"/>
    <w:rsid w:val="002C7080"/>
    <w:rsid w:val="002D00B0"/>
    <w:rsid w:val="002D2364"/>
    <w:rsid w:val="002D2E16"/>
    <w:rsid w:val="002E45F0"/>
    <w:rsid w:val="002E7778"/>
    <w:rsid w:val="00304B3E"/>
    <w:rsid w:val="00304D97"/>
    <w:rsid w:val="0031117B"/>
    <w:rsid w:val="0031180A"/>
    <w:rsid w:val="00313127"/>
    <w:rsid w:val="00313304"/>
    <w:rsid w:val="003155F4"/>
    <w:rsid w:val="00320309"/>
    <w:rsid w:val="00321D1E"/>
    <w:rsid w:val="0032530E"/>
    <w:rsid w:val="00325A61"/>
    <w:rsid w:val="00326976"/>
    <w:rsid w:val="003311D7"/>
    <w:rsid w:val="00332B8B"/>
    <w:rsid w:val="0033521E"/>
    <w:rsid w:val="00337CA2"/>
    <w:rsid w:val="003404A4"/>
    <w:rsid w:val="00342507"/>
    <w:rsid w:val="00347104"/>
    <w:rsid w:val="00350852"/>
    <w:rsid w:val="0035096E"/>
    <w:rsid w:val="0035219F"/>
    <w:rsid w:val="00355D01"/>
    <w:rsid w:val="00360B81"/>
    <w:rsid w:val="00366283"/>
    <w:rsid w:val="0036777E"/>
    <w:rsid w:val="003701FA"/>
    <w:rsid w:val="00372A26"/>
    <w:rsid w:val="0037484C"/>
    <w:rsid w:val="003749CD"/>
    <w:rsid w:val="00374A6C"/>
    <w:rsid w:val="00375091"/>
    <w:rsid w:val="00376785"/>
    <w:rsid w:val="00382718"/>
    <w:rsid w:val="00382B3B"/>
    <w:rsid w:val="00385ED2"/>
    <w:rsid w:val="00391F86"/>
    <w:rsid w:val="003923FB"/>
    <w:rsid w:val="003926D3"/>
    <w:rsid w:val="00393841"/>
    <w:rsid w:val="00393F00"/>
    <w:rsid w:val="003945C0"/>
    <w:rsid w:val="003A25A7"/>
    <w:rsid w:val="003B053A"/>
    <w:rsid w:val="003B535C"/>
    <w:rsid w:val="003C2120"/>
    <w:rsid w:val="003D030E"/>
    <w:rsid w:val="003D040D"/>
    <w:rsid w:val="003D1F49"/>
    <w:rsid w:val="003D2061"/>
    <w:rsid w:val="003D22B0"/>
    <w:rsid w:val="003E1FE3"/>
    <w:rsid w:val="003E32A7"/>
    <w:rsid w:val="003F1A33"/>
    <w:rsid w:val="003F3072"/>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3927"/>
    <w:rsid w:val="0044547D"/>
    <w:rsid w:val="00446F93"/>
    <w:rsid w:val="004503F1"/>
    <w:rsid w:val="00451A74"/>
    <w:rsid w:val="004552AB"/>
    <w:rsid w:val="0045622C"/>
    <w:rsid w:val="00464FB1"/>
    <w:rsid w:val="00465398"/>
    <w:rsid w:val="00467185"/>
    <w:rsid w:val="00467736"/>
    <w:rsid w:val="0047050C"/>
    <w:rsid w:val="004750DB"/>
    <w:rsid w:val="004757A4"/>
    <w:rsid w:val="00476DF9"/>
    <w:rsid w:val="00477E7D"/>
    <w:rsid w:val="004804A7"/>
    <w:rsid w:val="00480F21"/>
    <w:rsid w:val="0048108E"/>
    <w:rsid w:val="00485247"/>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28AB"/>
    <w:rsid w:val="004C777E"/>
    <w:rsid w:val="004D16A4"/>
    <w:rsid w:val="004E0C12"/>
    <w:rsid w:val="004E5450"/>
    <w:rsid w:val="004E6682"/>
    <w:rsid w:val="004E6D8A"/>
    <w:rsid w:val="004F15EF"/>
    <w:rsid w:val="004F22FE"/>
    <w:rsid w:val="004F774D"/>
    <w:rsid w:val="005013B0"/>
    <w:rsid w:val="005015E4"/>
    <w:rsid w:val="005017A6"/>
    <w:rsid w:val="0050291D"/>
    <w:rsid w:val="005064CD"/>
    <w:rsid w:val="00506C00"/>
    <w:rsid w:val="00511016"/>
    <w:rsid w:val="005120AA"/>
    <w:rsid w:val="005144F4"/>
    <w:rsid w:val="005159B3"/>
    <w:rsid w:val="00522C03"/>
    <w:rsid w:val="00525EA4"/>
    <w:rsid w:val="0052791F"/>
    <w:rsid w:val="00532CFF"/>
    <w:rsid w:val="00536880"/>
    <w:rsid w:val="00540AD0"/>
    <w:rsid w:val="00543A76"/>
    <w:rsid w:val="0054508E"/>
    <w:rsid w:val="005523D1"/>
    <w:rsid w:val="0055532E"/>
    <w:rsid w:val="00555BC3"/>
    <w:rsid w:val="00557C8E"/>
    <w:rsid w:val="00561B2B"/>
    <w:rsid w:val="00562759"/>
    <w:rsid w:val="0056357E"/>
    <w:rsid w:val="00564952"/>
    <w:rsid w:val="0056645F"/>
    <w:rsid w:val="00571AB1"/>
    <w:rsid w:val="005727D0"/>
    <w:rsid w:val="00577E1C"/>
    <w:rsid w:val="00580DB1"/>
    <w:rsid w:val="005814AC"/>
    <w:rsid w:val="00584676"/>
    <w:rsid w:val="005854B7"/>
    <w:rsid w:val="00587AB1"/>
    <w:rsid w:val="0059070B"/>
    <w:rsid w:val="00592489"/>
    <w:rsid w:val="0059283C"/>
    <w:rsid w:val="005A0D95"/>
    <w:rsid w:val="005A224B"/>
    <w:rsid w:val="005B1225"/>
    <w:rsid w:val="005B17D8"/>
    <w:rsid w:val="005B19EF"/>
    <w:rsid w:val="005B1D82"/>
    <w:rsid w:val="005B4077"/>
    <w:rsid w:val="005B4145"/>
    <w:rsid w:val="005B761D"/>
    <w:rsid w:val="005C28B0"/>
    <w:rsid w:val="005C2F01"/>
    <w:rsid w:val="005C5F3C"/>
    <w:rsid w:val="005D01BE"/>
    <w:rsid w:val="005D1177"/>
    <w:rsid w:val="005D1D13"/>
    <w:rsid w:val="005D5460"/>
    <w:rsid w:val="005E08CD"/>
    <w:rsid w:val="005E37E8"/>
    <w:rsid w:val="005E3D2B"/>
    <w:rsid w:val="005E74C5"/>
    <w:rsid w:val="005F219D"/>
    <w:rsid w:val="005F2437"/>
    <w:rsid w:val="005F318A"/>
    <w:rsid w:val="005F7710"/>
    <w:rsid w:val="006004F7"/>
    <w:rsid w:val="00603261"/>
    <w:rsid w:val="00607597"/>
    <w:rsid w:val="00610F93"/>
    <w:rsid w:val="006127CC"/>
    <w:rsid w:val="00613AD5"/>
    <w:rsid w:val="00615A2B"/>
    <w:rsid w:val="00615CA9"/>
    <w:rsid w:val="006243C6"/>
    <w:rsid w:val="006265E4"/>
    <w:rsid w:val="006273BC"/>
    <w:rsid w:val="00632009"/>
    <w:rsid w:val="0063267B"/>
    <w:rsid w:val="0063312B"/>
    <w:rsid w:val="00633CF1"/>
    <w:rsid w:val="00635A6C"/>
    <w:rsid w:val="00637091"/>
    <w:rsid w:val="00642839"/>
    <w:rsid w:val="00643320"/>
    <w:rsid w:val="006457F8"/>
    <w:rsid w:val="00645CCB"/>
    <w:rsid w:val="0064700E"/>
    <w:rsid w:val="006478CB"/>
    <w:rsid w:val="00650B88"/>
    <w:rsid w:val="00652C58"/>
    <w:rsid w:val="006530EF"/>
    <w:rsid w:val="006554DD"/>
    <w:rsid w:val="00656517"/>
    <w:rsid w:val="00660951"/>
    <w:rsid w:val="006636E2"/>
    <w:rsid w:val="00666273"/>
    <w:rsid w:val="006677B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3A4C"/>
    <w:rsid w:val="006A50A9"/>
    <w:rsid w:val="006B05E3"/>
    <w:rsid w:val="006B09BC"/>
    <w:rsid w:val="006B57AC"/>
    <w:rsid w:val="006B6D5D"/>
    <w:rsid w:val="006B7B5A"/>
    <w:rsid w:val="006C0801"/>
    <w:rsid w:val="006C0C2C"/>
    <w:rsid w:val="006C1EAA"/>
    <w:rsid w:val="006C216F"/>
    <w:rsid w:val="006C45D4"/>
    <w:rsid w:val="006D1D42"/>
    <w:rsid w:val="006D2042"/>
    <w:rsid w:val="006D66E3"/>
    <w:rsid w:val="006D7855"/>
    <w:rsid w:val="006E010C"/>
    <w:rsid w:val="006E1003"/>
    <w:rsid w:val="006E16BF"/>
    <w:rsid w:val="006E18F0"/>
    <w:rsid w:val="006E38AF"/>
    <w:rsid w:val="006E4F93"/>
    <w:rsid w:val="006F1174"/>
    <w:rsid w:val="00700135"/>
    <w:rsid w:val="00705180"/>
    <w:rsid w:val="00711605"/>
    <w:rsid w:val="00711DF6"/>
    <w:rsid w:val="0071410F"/>
    <w:rsid w:val="00716FBC"/>
    <w:rsid w:val="00717090"/>
    <w:rsid w:val="00720739"/>
    <w:rsid w:val="0072253E"/>
    <w:rsid w:val="00722B1F"/>
    <w:rsid w:val="00723E1F"/>
    <w:rsid w:val="0072443D"/>
    <w:rsid w:val="007247E5"/>
    <w:rsid w:val="007248B7"/>
    <w:rsid w:val="007254CA"/>
    <w:rsid w:val="00730CF8"/>
    <w:rsid w:val="00731A90"/>
    <w:rsid w:val="00732608"/>
    <w:rsid w:val="00733251"/>
    <w:rsid w:val="00736DCA"/>
    <w:rsid w:val="00743A87"/>
    <w:rsid w:val="00745C47"/>
    <w:rsid w:val="00747968"/>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4CCA"/>
    <w:rsid w:val="007A7D19"/>
    <w:rsid w:val="007A7EC2"/>
    <w:rsid w:val="007B042D"/>
    <w:rsid w:val="007B05BB"/>
    <w:rsid w:val="007B325E"/>
    <w:rsid w:val="007B6E0A"/>
    <w:rsid w:val="007B764C"/>
    <w:rsid w:val="007B766E"/>
    <w:rsid w:val="007C118A"/>
    <w:rsid w:val="007C5177"/>
    <w:rsid w:val="007C636F"/>
    <w:rsid w:val="007C78B9"/>
    <w:rsid w:val="007D39EB"/>
    <w:rsid w:val="007E239C"/>
    <w:rsid w:val="007E74E1"/>
    <w:rsid w:val="007E77A8"/>
    <w:rsid w:val="007F294B"/>
    <w:rsid w:val="007F491C"/>
    <w:rsid w:val="00803BF8"/>
    <w:rsid w:val="008061C9"/>
    <w:rsid w:val="008066D8"/>
    <w:rsid w:val="00811A18"/>
    <w:rsid w:val="00813711"/>
    <w:rsid w:val="00821E64"/>
    <w:rsid w:val="008263C2"/>
    <w:rsid w:val="008307DB"/>
    <w:rsid w:val="00833085"/>
    <w:rsid w:val="00833398"/>
    <w:rsid w:val="00835D9D"/>
    <w:rsid w:val="00835FC9"/>
    <w:rsid w:val="008366E7"/>
    <w:rsid w:val="008368F8"/>
    <w:rsid w:val="008370E3"/>
    <w:rsid w:val="00840D27"/>
    <w:rsid w:val="008418FA"/>
    <w:rsid w:val="00842959"/>
    <w:rsid w:val="00843390"/>
    <w:rsid w:val="0085235A"/>
    <w:rsid w:val="00854138"/>
    <w:rsid w:val="00854410"/>
    <w:rsid w:val="008544DF"/>
    <w:rsid w:val="00860AAD"/>
    <w:rsid w:val="00861AA6"/>
    <w:rsid w:val="00866268"/>
    <w:rsid w:val="008708F3"/>
    <w:rsid w:val="00871354"/>
    <w:rsid w:val="00873611"/>
    <w:rsid w:val="00873C8F"/>
    <w:rsid w:val="00874FB3"/>
    <w:rsid w:val="00876FCB"/>
    <w:rsid w:val="00877ADA"/>
    <w:rsid w:val="00880BE3"/>
    <w:rsid w:val="00881359"/>
    <w:rsid w:val="00882093"/>
    <w:rsid w:val="00882588"/>
    <w:rsid w:val="00884ADE"/>
    <w:rsid w:val="008856CF"/>
    <w:rsid w:val="00885864"/>
    <w:rsid w:val="00890A1D"/>
    <w:rsid w:val="0089383B"/>
    <w:rsid w:val="0089534B"/>
    <w:rsid w:val="0089616F"/>
    <w:rsid w:val="008A0232"/>
    <w:rsid w:val="008B0470"/>
    <w:rsid w:val="008B04A4"/>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21A8"/>
    <w:rsid w:val="008F68F7"/>
    <w:rsid w:val="009005A6"/>
    <w:rsid w:val="009006CF"/>
    <w:rsid w:val="00900C71"/>
    <w:rsid w:val="00902A1C"/>
    <w:rsid w:val="009037B6"/>
    <w:rsid w:val="00906CBE"/>
    <w:rsid w:val="00910024"/>
    <w:rsid w:val="00910384"/>
    <w:rsid w:val="0091643D"/>
    <w:rsid w:val="00916E33"/>
    <w:rsid w:val="0092093B"/>
    <w:rsid w:val="00924583"/>
    <w:rsid w:val="00925FD2"/>
    <w:rsid w:val="00930669"/>
    <w:rsid w:val="00932C33"/>
    <w:rsid w:val="009427A1"/>
    <w:rsid w:val="00942FFE"/>
    <w:rsid w:val="00947B46"/>
    <w:rsid w:val="00954FB1"/>
    <w:rsid w:val="009551E0"/>
    <w:rsid w:val="009554DF"/>
    <w:rsid w:val="0095654E"/>
    <w:rsid w:val="00956F3C"/>
    <w:rsid w:val="00963C4A"/>
    <w:rsid w:val="00971C34"/>
    <w:rsid w:val="00972161"/>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96126"/>
    <w:rsid w:val="009A297E"/>
    <w:rsid w:val="009A6127"/>
    <w:rsid w:val="009B0CC1"/>
    <w:rsid w:val="009B12B8"/>
    <w:rsid w:val="009B713C"/>
    <w:rsid w:val="009C0F18"/>
    <w:rsid w:val="009C12C6"/>
    <w:rsid w:val="009C2555"/>
    <w:rsid w:val="009C7778"/>
    <w:rsid w:val="009D06AE"/>
    <w:rsid w:val="009D09E2"/>
    <w:rsid w:val="009D1E42"/>
    <w:rsid w:val="009D7148"/>
    <w:rsid w:val="009E02FD"/>
    <w:rsid w:val="009E4C74"/>
    <w:rsid w:val="009E62B6"/>
    <w:rsid w:val="009F35DA"/>
    <w:rsid w:val="009F43D0"/>
    <w:rsid w:val="00A00568"/>
    <w:rsid w:val="00A00884"/>
    <w:rsid w:val="00A01F5F"/>
    <w:rsid w:val="00A02F62"/>
    <w:rsid w:val="00A02FA3"/>
    <w:rsid w:val="00A030C3"/>
    <w:rsid w:val="00A04803"/>
    <w:rsid w:val="00A04E7B"/>
    <w:rsid w:val="00A069DA"/>
    <w:rsid w:val="00A10147"/>
    <w:rsid w:val="00A11331"/>
    <w:rsid w:val="00A131E6"/>
    <w:rsid w:val="00A13843"/>
    <w:rsid w:val="00A146A5"/>
    <w:rsid w:val="00A17466"/>
    <w:rsid w:val="00A204B3"/>
    <w:rsid w:val="00A20576"/>
    <w:rsid w:val="00A21593"/>
    <w:rsid w:val="00A221F7"/>
    <w:rsid w:val="00A22C21"/>
    <w:rsid w:val="00A2604E"/>
    <w:rsid w:val="00A30B71"/>
    <w:rsid w:val="00A31CCE"/>
    <w:rsid w:val="00A33C95"/>
    <w:rsid w:val="00A34FF3"/>
    <w:rsid w:val="00A35351"/>
    <w:rsid w:val="00A361C7"/>
    <w:rsid w:val="00A36723"/>
    <w:rsid w:val="00A428EF"/>
    <w:rsid w:val="00A46DF5"/>
    <w:rsid w:val="00A50908"/>
    <w:rsid w:val="00A5149A"/>
    <w:rsid w:val="00A53650"/>
    <w:rsid w:val="00A53E51"/>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1705"/>
    <w:rsid w:val="00AA4E4D"/>
    <w:rsid w:val="00AB0774"/>
    <w:rsid w:val="00AB09ED"/>
    <w:rsid w:val="00AB3AF1"/>
    <w:rsid w:val="00AB3DC0"/>
    <w:rsid w:val="00AB4CBB"/>
    <w:rsid w:val="00AC125E"/>
    <w:rsid w:val="00AC45DF"/>
    <w:rsid w:val="00AC474D"/>
    <w:rsid w:val="00AC4DFD"/>
    <w:rsid w:val="00AC5663"/>
    <w:rsid w:val="00AC58FD"/>
    <w:rsid w:val="00AD0F6D"/>
    <w:rsid w:val="00AD1166"/>
    <w:rsid w:val="00AD19D2"/>
    <w:rsid w:val="00AD1A96"/>
    <w:rsid w:val="00AD22A7"/>
    <w:rsid w:val="00AD2522"/>
    <w:rsid w:val="00AD3042"/>
    <w:rsid w:val="00AD793A"/>
    <w:rsid w:val="00AE0120"/>
    <w:rsid w:val="00AE3038"/>
    <w:rsid w:val="00AE3D4A"/>
    <w:rsid w:val="00AE5956"/>
    <w:rsid w:val="00AE619F"/>
    <w:rsid w:val="00AE7A88"/>
    <w:rsid w:val="00AF2A56"/>
    <w:rsid w:val="00AF4A34"/>
    <w:rsid w:val="00AF63AB"/>
    <w:rsid w:val="00AF783E"/>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47583"/>
    <w:rsid w:val="00B532D1"/>
    <w:rsid w:val="00B61E3E"/>
    <w:rsid w:val="00B67A79"/>
    <w:rsid w:val="00B72D62"/>
    <w:rsid w:val="00B767AF"/>
    <w:rsid w:val="00B80511"/>
    <w:rsid w:val="00B80798"/>
    <w:rsid w:val="00B80876"/>
    <w:rsid w:val="00B82C3C"/>
    <w:rsid w:val="00B82DE6"/>
    <w:rsid w:val="00B831CD"/>
    <w:rsid w:val="00B85329"/>
    <w:rsid w:val="00B91B9D"/>
    <w:rsid w:val="00B91FC8"/>
    <w:rsid w:val="00BA5E20"/>
    <w:rsid w:val="00BA607C"/>
    <w:rsid w:val="00BA6734"/>
    <w:rsid w:val="00BB3442"/>
    <w:rsid w:val="00BB3E2A"/>
    <w:rsid w:val="00BB69EB"/>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6767"/>
    <w:rsid w:val="00BE78EC"/>
    <w:rsid w:val="00BF46EE"/>
    <w:rsid w:val="00C02E3E"/>
    <w:rsid w:val="00C0613C"/>
    <w:rsid w:val="00C10D05"/>
    <w:rsid w:val="00C14FBA"/>
    <w:rsid w:val="00C15EA1"/>
    <w:rsid w:val="00C17A8E"/>
    <w:rsid w:val="00C24A2E"/>
    <w:rsid w:val="00C24F70"/>
    <w:rsid w:val="00C25DC2"/>
    <w:rsid w:val="00C26395"/>
    <w:rsid w:val="00C33479"/>
    <w:rsid w:val="00C40ED2"/>
    <w:rsid w:val="00C41F10"/>
    <w:rsid w:val="00C432DD"/>
    <w:rsid w:val="00C4423A"/>
    <w:rsid w:val="00C44A23"/>
    <w:rsid w:val="00C501FE"/>
    <w:rsid w:val="00C5784B"/>
    <w:rsid w:val="00C639FF"/>
    <w:rsid w:val="00C6442A"/>
    <w:rsid w:val="00C64D15"/>
    <w:rsid w:val="00C66088"/>
    <w:rsid w:val="00C66B40"/>
    <w:rsid w:val="00C67C4C"/>
    <w:rsid w:val="00C74B5D"/>
    <w:rsid w:val="00C74F74"/>
    <w:rsid w:val="00C7554B"/>
    <w:rsid w:val="00C80951"/>
    <w:rsid w:val="00C8205E"/>
    <w:rsid w:val="00C82EB5"/>
    <w:rsid w:val="00C84779"/>
    <w:rsid w:val="00C8633F"/>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6EA"/>
    <w:rsid w:val="00D55EE8"/>
    <w:rsid w:val="00D562CB"/>
    <w:rsid w:val="00D569D1"/>
    <w:rsid w:val="00D56AD8"/>
    <w:rsid w:val="00D56C05"/>
    <w:rsid w:val="00D5785A"/>
    <w:rsid w:val="00D6375F"/>
    <w:rsid w:val="00D64C48"/>
    <w:rsid w:val="00D6680B"/>
    <w:rsid w:val="00D72F4F"/>
    <w:rsid w:val="00D731C4"/>
    <w:rsid w:val="00D74EB4"/>
    <w:rsid w:val="00D8001E"/>
    <w:rsid w:val="00D801FC"/>
    <w:rsid w:val="00D84FFA"/>
    <w:rsid w:val="00D85BE0"/>
    <w:rsid w:val="00D87FD7"/>
    <w:rsid w:val="00D91466"/>
    <w:rsid w:val="00D915ED"/>
    <w:rsid w:val="00D92300"/>
    <w:rsid w:val="00D94AFC"/>
    <w:rsid w:val="00D950E6"/>
    <w:rsid w:val="00D97047"/>
    <w:rsid w:val="00DA3619"/>
    <w:rsid w:val="00DA593C"/>
    <w:rsid w:val="00DB0B88"/>
    <w:rsid w:val="00DB1652"/>
    <w:rsid w:val="00DB58A6"/>
    <w:rsid w:val="00DB6B99"/>
    <w:rsid w:val="00DC001A"/>
    <w:rsid w:val="00DD4F44"/>
    <w:rsid w:val="00DD686C"/>
    <w:rsid w:val="00DE2AC3"/>
    <w:rsid w:val="00DE2E40"/>
    <w:rsid w:val="00DE3598"/>
    <w:rsid w:val="00DE3FBD"/>
    <w:rsid w:val="00DE43F5"/>
    <w:rsid w:val="00DE65FB"/>
    <w:rsid w:val="00DF420A"/>
    <w:rsid w:val="00E02472"/>
    <w:rsid w:val="00E0305E"/>
    <w:rsid w:val="00E041F0"/>
    <w:rsid w:val="00E128D8"/>
    <w:rsid w:val="00E130C3"/>
    <w:rsid w:val="00E17EDF"/>
    <w:rsid w:val="00E2082D"/>
    <w:rsid w:val="00E221E2"/>
    <w:rsid w:val="00E24303"/>
    <w:rsid w:val="00E27A16"/>
    <w:rsid w:val="00E40F7B"/>
    <w:rsid w:val="00E46095"/>
    <w:rsid w:val="00E46D60"/>
    <w:rsid w:val="00E47C33"/>
    <w:rsid w:val="00E47F58"/>
    <w:rsid w:val="00E5109A"/>
    <w:rsid w:val="00E53FFB"/>
    <w:rsid w:val="00E54BFC"/>
    <w:rsid w:val="00E56D9D"/>
    <w:rsid w:val="00E60443"/>
    <w:rsid w:val="00E60E2E"/>
    <w:rsid w:val="00E71A2D"/>
    <w:rsid w:val="00E74A25"/>
    <w:rsid w:val="00E74A73"/>
    <w:rsid w:val="00E823C1"/>
    <w:rsid w:val="00E82DB7"/>
    <w:rsid w:val="00E8579C"/>
    <w:rsid w:val="00E865FE"/>
    <w:rsid w:val="00E91408"/>
    <w:rsid w:val="00E91759"/>
    <w:rsid w:val="00E92EF9"/>
    <w:rsid w:val="00E9654B"/>
    <w:rsid w:val="00EA18DB"/>
    <w:rsid w:val="00EA2FBA"/>
    <w:rsid w:val="00EA4DC5"/>
    <w:rsid w:val="00EA66DF"/>
    <w:rsid w:val="00EA6ADC"/>
    <w:rsid w:val="00EB13A7"/>
    <w:rsid w:val="00EB14DF"/>
    <w:rsid w:val="00EB1A4D"/>
    <w:rsid w:val="00EB3A07"/>
    <w:rsid w:val="00EB5539"/>
    <w:rsid w:val="00EC3F31"/>
    <w:rsid w:val="00EC52E7"/>
    <w:rsid w:val="00ED3698"/>
    <w:rsid w:val="00ED4794"/>
    <w:rsid w:val="00EE265C"/>
    <w:rsid w:val="00EE5C63"/>
    <w:rsid w:val="00F0095C"/>
    <w:rsid w:val="00F01129"/>
    <w:rsid w:val="00F01CCA"/>
    <w:rsid w:val="00F01F2C"/>
    <w:rsid w:val="00F02104"/>
    <w:rsid w:val="00F04455"/>
    <w:rsid w:val="00F06C17"/>
    <w:rsid w:val="00F12120"/>
    <w:rsid w:val="00F1632B"/>
    <w:rsid w:val="00F334CB"/>
    <w:rsid w:val="00F3495A"/>
    <w:rsid w:val="00F34E2C"/>
    <w:rsid w:val="00F370BC"/>
    <w:rsid w:val="00F37143"/>
    <w:rsid w:val="00F37D84"/>
    <w:rsid w:val="00F50562"/>
    <w:rsid w:val="00F50A92"/>
    <w:rsid w:val="00F50D01"/>
    <w:rsid w:val="00F56BC1"/>
    <w:rsid w:val="00F6035E"/>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049"/>
    <w:rsid w:val="00FB0401"/>
    <w:rsid w:val="00FB115B"/>
    <w:rsid w:val="00FC1DFB"/>
    <w:rsid w:val="00FC1EF2"/>
    <w:rsid w:val="00FC3343"/>
    <w:rsid w:val="00FC33BA"/>
    <w:rsid w:val="00FC35AB"/>
    <w:rsid w:val="00FC598B"/>
    <w:rsid w:val="00FC6134"/>
    <w:rsid w:val="00FC654D"/>
    <w:rsid w:val="00FD0555"/>
    <w:rsid w:val="00FD5961"/>
    <w:rsid w:val="00FE2C04"/>
    <w:rsid w:val="00FE3EFA"/>
    <w:rsid w:val="00FE4DF5"/>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258A1C38-39EE-4714-8AE2-92D5BF39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2"/>
    <w:qFormat/>
    <w:rsid w:val="005E3D2B"/>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AB3AF1"/>
    <w:pPr>
      <w:keepNext/>
      <w:keepLines/>
      <w:spacing w:before="360"/>
      <w:contextualSpacing/>
      <w:outlineLvl w:val="1"/>
    </w:pPr>
    <w:rPr>
      <w:rFonts w:asciiTheme="majorHAnsi" w:hAnsiTheme="majorHAnsi"/>
      <w:b/>
      <w:sz w:val="24"/>
      <w:szCs w:val="28"/>
    </w:rPr>
  </w:style>
  <w:style w:type="paragraph" w:styleId="Heading3">
    <w:name w:val="heading 3"/>
    <w:basedOn w:val="Normal"/>
    <w:next w:val="Normal"/>
    <w:autoRedefine/>
    <w:uiPriority w:val="2"/>
    <w:qFormat/>
    <w:rsid w:val="005E3D2B"/>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5E3D2B"/>
    <w:pPr>
      <w:keepNext/>
      <w:keepLines/>
      <w:spacing w:before="240"/>
      <w:contextualSpacing/>
      <w:outlineLvl w:val="3"/>
    </w:pPr>
    <w:rPr>
      <w:b/>
      <w:color w:val="000000" w:themeColor="text1"/>
      <w:sz w:val="2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2175EF"/>
    <w:pPr>
      <w:spacing w:before="480" w:after="360" w:line="204" w:lineRule="auto"/>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643320"/>
    <w:pPr>
      <w:numPr>
        <w:numId w:val="17"/>
      </w:numPr>
    </w:pPr>
  </w:style>
  <w:style w:type="character" w:customStyle="1" w:styleId="Heading2Char">
    <w:name w:val="Heading 2 Char"/>
    <w:basedOn w:val="DefaultParagraphFont"/>
    <w:link w:val="Heading2"/>
    <w:uiPriority w:val="2"/>
    <w:rsid w:val="00AB3AF1"/>
    <w:rPr>
      <w:rFonts w:asciiTheme="majorHAnsi" w:hAnsiTheme="majorHAnsi"/>
      <w:b/>
      <w:sz w:val="24"/>
      <w:szCs w:val="28"/>
    </w:rPr>
  </w:style>
  <w:style w:type="paragraph" w:styleId="TOC1">
    <w:name w:val="toc 1"/>
    <w:basedOn w:val="Normal"/>
    <w:next w:val="Normal"/>
    <w:autoRedefine/>
    <w:uiPriority w:val="39"/>
    <w:rsid w:val="002175EF"/>
    <w:pPr>
      <w:spacing w:before="240" w:after="60" w:line="240" w:lineRule="auto"/>
      <w:ind w:right="567"/>
    </w:pPr>
    <w:rPr>
      <w:b/>
      <w:noProof/>
    </w:rPr>
  </w:style>
  <w:style w:type="paragraph" w:styleId="TOC2">
    <w:name w:val="toc 2"/>
    <w:basedOn w:val="Normal"/>
    <w:next w:val="Normal"/>
    <w:autoRedefine/>
    <w:uiPriority w:val="39"/>
    <w:rsid w:val="002175EF"/>
    <w:pPr>
      <w:tabs>
        <w:tab w:val="left" w:pos="660"/>
        <w:tab w:val="right" w:leader="dot" w:pos="9435"/>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5E3D2B"/>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customStyle="1" w:styleId="NormalArial">
    <w:name w:val="Normal + Arial"/>
    <w:aliases w:val="11 pt"/>
    <w:basedOn w:val="Normal"/>
    <w:rsid w:val="00393841"/>
    <w:pPr>
      <w:spacing w:before="0" w:after="0" w:line="240" w:lineRule="auto"/>
      <w:ind w:left="550"/>
    </w:pPr>
    <w:rPr>
      <w:rFonts w:cs="Arial"/>
      <w:szCs w:val="22"/>
      <w:lang w:eastAsia="zh-CN"/>
    </w:rPr>
  </w:style>
  <w:style w:type="character" w:customStyle="1" w:styleId="Heading1Char">
    <w:name w:val="Heading 1 Char"/>
    <w:basedOn w:val="DefaultParagraphFont"/>
    <w:link w:val="Heading1"/>
    <w:uiPriority w:val="2"/>
    <w:rsid w:val="005E3D2B"/>
    <w:rPr>
      <w:rFonts w:asciiTheme="majorHAnsi" w:hAnsiTheme="majorHAnsi"/>
      <w:b/>
      <w:sz w:val="64"/>
      <w:szCs w:val="44"/>
    </w:rPr>
  </w:style>
  <w:style w:type="character" w:customStyle="1" w:styleId="ListParagraphChar">
    <w:name w:val="List Paragraph Char"/>
    <w:link w:val="ListParagraph"/>
    <w:uiPriority w:val="34"/>
    <w:locked/>
    <w:rsid w:val="00643320"/>
    <w:rPr>
      <w:rFonts w:ascii="Arial" w:hAnsi="Arial"/>
      <w:sz w:val="22"/>
      <w:szCs w:val="24"/>
    </w:rPr>
  </w:style>
  <w:style w:type="paragraph" w:styleId="Revision">
    <w:name w:val="Revision"/>
    <w:hidden/>
    <w:uiPriority w:val="99"/>
    <w:semiHidden/>
    <w:rsid w:val="000777A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otectivesecurity.gov.au/personnelsecurity/Documents/AustralianGovernmentPersonnelSecurityManagementProtoco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15AF-33A2-45C9-AC89-E485950B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2274</Words>
  <Characters>12964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Jenette</dc:creator>
  <cp:lastModifiedBy>Husband, Jessica</cp:lastModifiedBy>
  <cp:revision>2</cp:revision>
  <cp:lastPrinted>2019-06-12T05:42:00Z</cp:lastPrinted>
  <dcterms:created xsi:type="dcterms:W3CDTF">2019-07-08T06:20:00Z</dcterms:created>
  <dcterms:modified xsi:type="dcterms:W3CDTF">2019-07-08T06:20:00Z</dcterms:modified>
</cp:coreProperties>
</file>