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5365" w14:textId="76D03DBE" w:rsidR="00CC586D" w:rsidRPr="001727A4" w:rsidRDefault="00CC586D" w:rsidP="008C2111">
      <w:pPr>
        <w:pStyle w:val="Organisation"/>
      </w:pPr>
      <w:r w:rsidRPr="001727A4">
        <w:t>Independent Hospital Pricing Authority</w:t>
      </w:r>
    </w:p>
    <w:p w14:paraId="53A43F67" w14:textId="66E9ADE7" w:rsidR="008366E7" w:rsidRDefault="00C123C0" w:rsidP="00065A1C">
      <w:pPr>
        <w:pStyle w:val="Title"/>
        <w:ind w:left="0" w:firstLine="0"/>
      </w:pPr>
      <w:bookmarkStart w:id="0" w:name="_Toc482793903"/>
      <w:bookmarkStart w:id="1" w:name="_Toc482794034"/>
      <w:r>
        <w:t>Governance framework for the development of the admitted care classifications</w:t>
      </w:r>
      <w:bookmarkEnd w:id="0"/>
      <w:bookmarkEnd w:id="1"/>
    </w:p>
    <w:p w14:paraId="4A0F406F" w14:textId="2C638328" w:rsidR="00065A1C" w:rsidRDefault="00065A1C" w:rsidP="00065A1C">
      <w:pPr>
        <w:pStyle w:val="Versionanddate"/>
        <w:ind w:left="0" w:firstLine="0"/>
      </w:pPr>
      <w:r>
        <w:t xml:space="preserve">ICD-10-AM/ACHI/ACS Twelfth Edition </w:t>
      </w:r>
      <w:r>
        <w:br/>
        <w:t>and AR-DRG Version 11.0</w:t>
      </w:r>
    </w:p>
    <w:p w14:paraId="61BF201F" w14:textId="77777777" w:rsidR="00065A1C" w:rsidRDefault="00065A1C" w:rsidP="00065A1C">
      <w:pPr>
        <w:pStyle w:val="Versionanddate"/>
        <w:ind w:left="0" w:firstLine="0"/>
      </w:pPr>
    </w:p>
    <w:p w14:paraId="5F213A0B" w14:textId="47B7B0E8" w:rsidR="00BC1032" w:rsidRPr="00976117" w:rsidRDefault="00AB6297" w:rsidP="00065A1C">
      <w:pPr>
        <w:pStyle w:val="Versionanddate"/>
        <w:ind w:left="0" w:firstLine="0"/>
      </w:pPr>
      <w:r>
        <w:t xml:space="preserve">December </w:t>
      </w:r>
      <w:r w:rsidR="000B6945">
        <w:t>20</w:t>
      </w:r>
      <w:r w:rsidR="00FC0709">
        <w:t>20</w:t>
      </w:r>
    </w:p>
    <w:p w14:paraId="18BC99DB" w14:textId="77777777" w:rsidR="0035219F" w:rsidRDefault="00043CF6" w:rsidP="0035219F">
      <w:bookmarkStart w:id="2" w:name="_GoBack"/>
      <w:r w:rsidRPr="001727A4">
        <w:rPr>
          <w:b/>
          <w:noProof/>
          <w:color w:val="008542" w:themeColor="accent2"/>
          <w:sz w:val="16"/>
          <w:szCs w:val="16"/>
        </w:rPr>
        <w:drawing>
          <wp:anchor distT="0" distB="0" distL="114300" distR="114300" simplePos="0" relativeHeight="251665408" behindDoc="1" locked="1" layoutInCell="0" allowOverlap="1" wp14:anchorId="7E724972" wp14:editId="02AF44A9">
            <wp:simplePos x="0" y="0"/>
            <wp:positionH relativeFrom="page">
              <wp:align>left</wp:align>
            </wp:positionH>
            <wp:positionV relativeFrom="page">
              <wp:align>top</wp:align>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bookmarkEnd w:id="2"/>
      <w:r w:rsidR="0035219F">
        <w:br w:type="page"/>
      </w:r>
    </w:p>
    <w:p w14:paraId="16672294" w14:textId="77777777" w:rsidR="002175EF" w:rsidRDefault="002175EF" w:rsidP="00C123C0">
      <w:pPr>
        <w:pStyle w:val="Report"/>
      </w:pPr>
    </w:p>
    <w:p w14:paraId="2869F91D" w14:textId="77777777" w:rsidR="00C123C0" w:rsidRDefault="00C123C0" w:rsidP="00B40F71">
      <w:pPr>
        <w:pStyle w:val="Report"/>
        <w:ind w:left="0" w:firstLin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895"/>
        <w:gridCol w:w="6043"/>
      </w:tblGrid>
      <w:tr w:rsidR="00C123C0" w:rsidRPr="00534DAC" w14:paraId="7175EEA1" w14:textId="77777777" w:rsidTr="00946B1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542" w:themeFill="accent2"/>
            <w:vAlign w:val="center"/>
          </w:tcPr>
          <w:p w14:paraId="0486A0C9" w14:textId="77777777" w:rsidR="00C123C0" w:rsidRPr="00534DAC" w:rsidRDefault="00C123C0" w:rsidP="00946B12">
            <w:pPr>
              <w:ind w:left="115" w:hanging="41"/>
              <w:rPr>
                <w:rFonts w:ascii="Arial Bold" w:hAnsi="Arial Bold"/>
                <w:color w:val="FFFFFF" w:themeColor="background1"/>
              </w:rPr>
            </w:pPr>
            <w:r w:rsidRPr="00534DAC">
              <w:rPr>
                <w:rFonts w:ascii="Arial Bold" w:hAnsi="Arial Bold"/>
                <w:color w:val="FFFFFF" w:themeColor="background1"/>
              </w:rPr>
              <w:t>Version</w:t>
            </w:r>
          </w:p>
        </w:tc>
        <w:tc>
          <w:tcPr>
            <w:tcW w:w="1895" w:type="dxa"/>
            <w:tcBorders>
              <w:bottom w:val="single" w:sz="4" w:space="0" w:color="auto"/>
            </w:tcBorders>
            <w:shd w:val="clear" w:color="auto" w:fill="008542" w:themeFill="accent2"/>
            <w:vAlign w:val="center"/>
          </w:tcPr>
          <w:p w14:paraId="3BD2EAEE" w14:textId="77777777" w:rsidR="00C123C0" w:rsidRPr="00534DAC" w:rsidRDefault="00C123C0" w:rsidP="00946B12">
            <w:pPr>
              <w:ind w:left="109" w:hanging="35"/>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043" w:type="dxa"/>
            <w:tcBorders>
              <w:bottom w:val="single" w:sz="4" w:space="0" w:color="auto"/>
            </w:tcBorders>
            <w:shd w:val="clear" w:color="auto" w:fill="008542" w:themeFill="accent2"/>
            <w:vAlign w:val="center"/>
          </w:tcPr>
          <w:p w14:paraId="258B70DF" w14:textId="73762B67" w:rsidR="00C123C0" w:rsidRPr="00534DAC" w:rsidRDefault="0094003E" w:rsidP="00946B12">
            <w:pPr>
              <w:ind w:left="64" w:firstLine="1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Pr>
                <w:rFonts w:ascii="Arial Bold" w:hAnsi="Arial Bold"/>
                <w:color w:val="FFFFFF" w:themeColor="background1"/>
              </w:rPr>
              <w:t>Description</w:t>
            </w:r>
          </w:p>
        </w:tc>
      </w:tr>
      <w:tr w:rsidR="00C123C0" w14:paraId="778580EF" w14:textId="77777777" w:rsidTr="00A84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right w:val="none" w:sz="0" w:space="0" w:color="auto"/>
              <w:tl2br w:val="none" w:sz="0" w:space="0" w:color="auto"/>
              <w:tr2bl w:val="none" w:sz="0" w:space="0" w:color="auto"/>
            </w:tcBorders>
            <w:shd w:val="clear" w:color="auto" w:fill="auto"/>
          </w:tcPr>
          <w:p w14:paraId="54508B9A" w14:textId="7F4A4FD3" w:rsidR="00C123C0" w:rsidRPr="00240496" w:rsidRDefault="00B40F71" w:rsidP="00946B12">
            <w:pPr>
              <w:ind w:left="115" w:hanging="41"/>
              <w:rPr>
                <w:b w:val="0"/>
                <w:sz w:val="20"/>
              </w:rPr>
            </w:pPr>
            <w:r>
              <w:rPr>
                <w:b w:val="0"/>
                <w:sz w:val="20"/>
              </w:rPr>
              <w:t>1.0</w:t>
            </w:r>
          </w:p>
        </w:tc>
        <w:tc>
          <w:tcPr>
            <w:tcW w:w="1895" w:type="dxa"/>
            <w:shd w:val="clear" w:color="auto" w:fill="auto"/>
          </w:tcPr>
          <w:p w14:paraId="31086930" w14:textId="00396688" w:rsidR="00C123C0" w:rsidRPr="00240496" w:rsidRDefault="00D94092" w:rsidP="00946B12">
            <w:pPr>
              <w:ind w:left="96" w:hanging="22"/>
              <w:cnfStyle w:val="000000100000" w:firstRow="0" w:lastRow="0" w:firstColumn="0" w:lastColumn="0" w:oddVBand="0" w:evenVBand="0" w:oddHBand="1" w:evenHBand="0" w:firstRowFirstColumn="0" w:firstRowLastColumn="0" w:lastRowFirstColumn="0" w:lastRowLastColumn="0"/>
              <w:rPr>
                <w:sz w:val="20"/>
              </w:rPr>
            </w:pPr>
            <w:r>
              <w:rPr>
                <w:sz w:val="20"/>
              </w:rPr>
              <w:t>December</w:t>
            </w:r>
            <w:r w:rsidR="0094003E" w:rsidRPr="00240496">
              <w:rPr>
                <w:sz w:val="20"/>
              </w:rPr>
              <w:t xml:space="preserve"> </w:t>
            </w:r>
            <w:r w:rsidR="00C73372" w:rsidRPr="00240496">
              <w:rPr>
                <w:sz w:val="20"/>
              </w:rPr>
              <w:t>2020</w:t>
            </w:r>
          </w:p>
        </w:tc>
        <w:tc>
          <w:tcPr>
            <w:tcW w:w="6043" w:type="dxa"/>
            <w:shd w:val="clear" w:color="auto" w:fill="auto"/>
          </w:tcPr>
          <w:p w14:paraId="4807B205" w14:textId="2CC7BBCA" w:rsidR="000F182F" w:rsidRPr="00240496" w:rsidRDefault="00B40F71" w:rsidP="005B5130">
            <w:pPr>
              <w:ind w:left="63" w:hanging="49"/>
              <w:cnfStyle w:val="000000100000" w:firstRow="0" w:lastRow="0" w:firstColumn="0" w:lastColumn="0" w:oddVBand="0" w:evenVBand="0" w:oddHBand="1" w:evenHBand="0" w:firstRowFirstColumn="0" w:firstRowLastColumn="0" w:lastRowFirstColumn="0" w:lastRowLastColumn="0"/>
              <w:rPr>
                <w:sz w:val="20"/>
              </w:rPr>
            </w:pPr>
            <w:r>
              <w:rPr>
                <w:sz w:val="20"/>
              </w:rPr>
              <w:t xml:space="preserve">This document replaces the </w:t>
            </w:r>
            <w:r w:rsidR="00C73372" w:rsidRPr="00B40F71">
              <w:rPr>
                <w:i/>
                <w:sz w:val="20"/>
              </w:rPr>
              <w:t>ICD</w:t>
            </w:r>
            <w:r w:rsidR="00992DB2" w:rsidRPr="00B40F71">
              <w:rPr>
                <w:i/>
                <w:sz w:val="20"/>
              </w:rPr>
              <w:noBreakHyphen/>
            </w:r>
            <w:r w:rsidR="00C73372" w:rsidRPr="00B40F71">
              <w:rPr>
                <w:i/>
                <w:sz w:val="20"/>
              </w:rPr>
              <w:t>10</w:t>
            </w:r>
            <w:r w:rsidR="00992DB2" w:rsidRPr="00B40F71">
              <w:rPr>
                <w:i/>
                <w:sz w:val="20"/>
              </w:rPr>
              <w:noBreakHyphen/>
            </w:r>
            <w:r w:rsidR="00C73372" w:rsidRPr="00B40F71">
              <w:rPr>
                <w:i/>
                <w:sz w:val="20"/>
              </w:rPr>
              <w:t>AM/ACHI/ACS Governance and Consultation</w:t>
            </w:r>
            <w:r w:rsidR="00C73372" w:rsidRPr="00240496">
              <w:rPr>
                <w:sz w:val="20"/>
              </w:rPr>
              <w:t xml:space="preserve"> (September 2019) </w:t>
            </w:r>
            <w:r w:rsidR="00F003B3" w:rsidRPr="00240496">
              <w:rPr>
                <w:sz w:val="20"/>
              </w:rPr>
              <w:t xml:space="preserve">and </w:t>
            </w:r>
            <w:r w:rsidR="006909CD" w:rsidRPr="00B40F71">
              <w:rPr>
                <w:i/>
                <w:sz w:val="20"/>
              </w:rPr>
              <w:t>AR-DRG Governance and Consultation Process</w:t>
            </w:r>
            <w:r w:rsidR="006909CD" w:rsidRPr="00240496">
              <w:rPr>
                <w:sz w:val="20"/>
              </w:rPr>
              <w:t xml:space="preserve"> (September 2017)</w:t>
            </w:r>
            <w:r>
              <w:rPr>
                <w:sz w:val="20"/>
              </w:rPr>
              <w:t xml:space="preserve"> documents</w:t>
            </w:r>
            <w:r w:rsidR="00F003B3" w:rsidRPr="00240496">
              <w:rPr>
                <w:sz w:val="20"/>
              </w:rPr>
              <w:t xml:space="preserve">. </w:t>
            </w:r>
          </w:p>
          <w:p w14:paraId="27B4D7D4" w14:textId="77777777" w:rsidR="0094003E" w:rsidRDefault="00B40F71" w:rsidP="005B5130">
            <w:pPr>
              <w:ind w:left="63" w:hanging="49"/>
              <w:cnfStyle w:val="000000100000" w:firstRow="0" w:lastRow="0" w:firstColumn="0" w:lastColumn="0" w:oddVBand="0" w:evenVBand="0" w:oddHBand="1" w:evenHBand="0" w:firstRowFirstColumn="0" w:firstRowLastColumn="0" w:lastRowFirstColumn="0" w:lastRowLastColumn="0"/>
              <w:rPr>
                <w:sz w:val="20"/>
              </w:rPr>
            </w:pPr>
            <w:r>
              <w:rPr>
                <w:sz w:val="20"/>
              </w:rPr>
              <w:t>I</w:t>
            </w:r>
            <w:r w:rsidR="00F003B3" w:rsidRPr="00240496">
              <w:rPr>
                <w:sz w:val="20"/>
              </w:rPr>
              <w:t xml:space="preserve">nformation </w:t>
            </w:r>
            <w:r w:rsidR="000F182F" w:rsidRPr="00240496">
              <w:rPr>
                <w:sz w:val="20"/>
              </w:rPr>
              <w:t xml:space="preserve">has been incorporated in </w:t>
            </w:r>
            <w:r w:rsidR="00F003B3" w:rsidRPr="00240496">
              <w:rPr>
                <w:sz w:val="20"/>
              </w:rPr>
              <w:t xml:space="preserve">response to the </w:t>
            </w:r>
            <w:r w:rsidR="000F182F" w:rsidRPr="00240496">
              <w:rPr>
                <w:i/>
                <w:sz w:val="20"/>
              </w:rPr>
              <w:t xml:space="preserve">Consultation and review of the AR-DRG and </w:t>
            </w:r>
            <w:r w:rsidR="000F182F" w:rsidRPr="00240496">
              <w:rPr>
                <w:i/>
                <w:sz w:val="20"/>
              </w:rPr>
              <w:br/>
              <w:t>ICD-10-AM/ACHI/ACS Classification Systems</w:t>
            </w:r>
            <w:r w:rsidR="000F182F" w:rsidRPr="00240496">
              <w:rPr>
                <w:sz w:val="20"/>
              </w:rPr>
              <w:t xml:space="preserve"> (February 2020).</w:t>
            </w:r>
            <w:r>
              <w:rPr>
                <w:sz w:val="20"/>
              </w:rPr>
              <w:t xml:space="preserve"> </w:t>
            </w:r>
          </w:p>
          <w:p w14:paraId="2AB832E7" w14:textId="3A60FA13" w:rsidR="00B40F71" w:rsidRPr="00240496" w:rsidRDefault="00B40F71" w:rsidP="00B40F71">
            <w:pPr>
              <w:ind w:left="0" w:firstLine="14"/>
              <w:cnfStyle w:val="000000100000" w:firstRow="0" w:lastRow="0" w:firstColumn="0" w:lastColumn="0" w:oddVBand="0" w:evenVBand="0" w:oddHBand="1" w:evenHBand="0" w:firstRowFirstColumn="0" w:firstRowLastColumn="0" w:lastRowFirstColumn="0" w:lastRowLastColumn="0"/>
              <w:rPr>
                <w:sz w:val="20"/>
              </w:rPr>
            </w:pPr>
            <w:r>
              <w:rPr>
                <w:sz w:val="20"/>
              </w:rPr>
              <w:t>Feedback received in October/November 2020 after review from IHPA’s technical and clinical advisory groups, and endorsed from IHPA’s Jurisdictional Advisory Committee in December 2020.</w:t>
            </w:r>
          </w:p>
        </w:tc>
      </w:tr>
    </w:tbl>
    <w:p w14:paraId="0DA64E34" w14:textId="1D5AD150" w:rsidR="00BC1032" w:rsidRDefault="00C123C0" w:rsidP="00065A1C">
      <w:pPr>
        <w:pStyle w:val="Report"/>
        <w:ind w:left="0" w:firstLine="0"/>
      </w:pPr>
      <w:r w:rsidRPr="00C123C0">
        <w:t>Governance framework for the development of the admitted care classifications</w:t>
      </w:r>
      <w:r w:rsidR="00065A1C">
        <w:t xml:space="preserve"> – </w:t>
      </w:r>
      <w:r w:rsidR="00065A1C">
        <w:br/>
        <w:t>ICD-10-AM/ACHI/ACS Twelfth Edition and AR-DRG Version 11.0</w:t>
      </w:r>
      <w:r w:rsidR="00B608AF">
        <w:br/>
      </w:r>
    </w:p>
    <w:p w14:paraId="4012CA7A" w14:textId="77777777" w:rsidR="00BC1032" w:rsidRDefault="00BC1032" w:rsidP="00BC1032"/>
    <w:p w14:paraId="2BEE7CE5" w14:textId="7A67ABB4" w:rsidR="00BC1032" w:rsidRDefault="00BC1032" w:rsidP="00BC1032">
      <w:r>
        <w:t xml:space="preserve">© Independent Hospital Pricing Authority </w:t>
      </w:r>
      <w:r w:rsidR="007B325E">
        <w:t>20</w:t>
      </w:r>
      <w:r w:rsidR="00FC0709">
        <w:t>20</w:t>
      </w:r>
    </w:p>
    <w:p w14:paraId="773A171C" w14:textId="77777777" w:rsidR="00BC1032" w:rsidRDefault="00BC1032" w:rsidP="00065A1C">
      <w:pPr>
        <w:ind w:left="357" w:firstLine="0"/>
      </w:pPr>
      <w:r>
        <w:t xml:space="preserve">This publication is available for your use under a </w:t>
      </w:r>
      <w:hyperlink r:id="rId9"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0" w:history="1">
        <w:r w:rsidRPr="002A4C1B">
          <w:t>the Creative Commons website</w:t>
        </w:r>
      </w:hyperlink>
      <w:r>
        <w:t>.</w:t>
      </w:r>
    </w:p>
    <w:p w14:paraId="0A9576AD" w14:textId="77777777" w:rsidR="00BC1032" w:rsidRDefault="00BC1032" w:rsidP="00BC1032">
      <w:r w:rsidRPr="006150B7">
        <w:rPr>
          <w:rFonts w:cs="Calibri"/>
          <w:noProof/>
          <w:sz w:val="24"/>
        </w:rPr>
        <w:drawing>
          <wp:inline distT="0" distB="0" distL="0" distR="0" wp14:anchorId="09E79BB3" wp14:editId="294DB589">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22F674BC" w14:textId="77777777" w:rsidR="00BC1032" w:rsidRDefault="00BC1032" w:rsidP="00065A1C">
      <w:pPr>
        <w:ind w:left="357" w:firstLine="0"/>
      </w:pPr>
      <w:r>
        <w:t xml:space="preserve">Use of Independent Hospital Pricing Authority material under a </w:t>
      </w:r>
      <w:hyperlink r:id="rId12"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63E91860" w14:textId="77777777" w:rsidR="00BC1032" w:rsidRPr="002A4C1B" w:rsidRDefault="00BC1032" w:rsidP="00BC1032">
      <w:pPr>
        <w:rPr>
          <w:i/>
        </w:rPr>
      </w:pPr>
      <w:r w:rsidRPr="002A4C1B">
        <w:rPr>
          <w:i/>
        </w:rPr>
        <w:t>Independent Hospital Pricing Authority material used 'as supplied'.</w:t>
      </w:r>
    </w:p>
    <w:p w14:paraId="0059110B" w14:textId="77777777" w:rsidR="00BC1032" w:rsidRDefault="00BC1032" w:rsidP="00065A1C">
      <w:pPr>
        <w:ind w:left="357" w:firstLine="0"/>
      </w:pPr>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3EF7144"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p w14:paraId="43D9263B" w14:textId="77777777" w:rsidR="007E239C" w:rsidRPr="005575AC" w:rsidRDefault="007E239C" w:rsidP="005B5130">
      <w:pPr>
        <w:spacing w:after="1080"/>
        <w:rPr>
          <w:b/>
          <w:sz w:val="64"/>
          <w:szCs w:val="64"/>
        </w:rPr>
      </w:pPr>
      <w:r w:rsidRPr="005575AC">
        <w:rPr>
          <w:b/>
          <w:sz w:val="64"/>
          <w:szCs w:val="64"/>
        </w:rPr>
        <w:lastRenderedPageBreak/>
        <w:t>Table of Contents</w:t>
      </w:r>
    </w:p>
    <w:p w14:paraId="3D965198" w14:textId="5C620612" w:rsidR="005B5130" w:rsidRDefault="002175EF">
      <w:pPr>
        <w:pStyle w:val="TOC1"/>
        <w:tabs>
          <w:tab w:val="right" w:leader="dot" w:pos="9435"/>
        </w:tabs>
        <w:rPr>
          <w:rFonts w:asciiTheme="minorHAnsi" w:eastAsiaTheme="minorEastAsia" w:hAnsiTheme="minorHAnsi" w:cstheme="minorBidi"/>
          <w:b w:val="0"/>
          <w:szCs w:val="22"/>
        </w:rPr>
      </w:pPr>
      <w:r>
        <w:rPr>
          <w:szCs w:val="22"/>
        </w:rPr>
        <w:fldChar w:fldCharType="begin"/>
      </w:r>
      <w:r>
        <w:rPr>
          <w:szCs w:val="22"/>
        </w:rPr>
        <w:instrText xml:space="preserve"> TOC \o "1-3" \h \z \u </w:instrText>
      </w:r>
      <w:r>
        <w:rPr>
          <w:szCs w:val="22"/>
        </w:rPr>
        <w:fldChar w:fldCharType="separate"/>
      </w:r>
      <w:hyperlink w:anchor="_Toc57217907" w:history="1">
        <w:r w:rsidR="005B5130" w:rsidRPr="004A1CC8">
          <w:rPr>
            <w:rStyle w:val="Hyperlink"/>
          </w:rPr>
          <w:t>Abbreviations</w:t>
        </w:r>
        <w:r w:rsidR="005B5130">
          <w:rPr>
            <w:webHidden/>
          </w:rPr>
          <w:tab/>
        </w:r>
        <w:r w:rsidR="005B5130">
          <w:rPr>
            <w:webHidden/>
          </w:rPr>
          <w:fldChar w:fldCharType="begin"/>
        </w:r>
        <w:r w:rsidR="005B5130">
          <w:rPr>
            <w:webHidden/>
          </w:rPr>
          <w:instrText xml:space="preserve"> PAGEREF _Toc57217907 \h </w:instrText>
        </w:r>
        <w:r w:rsidR="005B5130">
          <w:rPr>
            <w:webHidden/>
          </w:rPr>
        </w:r>
        <w:r w:rsidR="005B5130">
          <w:rPr>
            <w:webHidden/>
          </w:rPr>
          <w:fldChar w:fldCharType="separate"/>
        </w:r>
        <w:r w:rsidR="005B5130">
          <w:rPr>
            <w:webHidden/>
          </w:rPr>
          <w:t>4</w:t>
        </w:r>
        <w:r w:rsidR="005B5130">
          <w:rPr>
            <w:webHidden/>
          </w:rPr>
          <w:fldChar w:fldCharType="end"/>
        </w:r>
      </w:hyperlink>
    </w:p>
    <w:p w14:paraId="4AC51686" w14:textId="620A0DB6" w:rsidR="005B5130" w:rsidRDefault="009C6416">
      <w:pPr>
        <w:pStyle w:val="TOC1"/>
        <w:tabs>
          <w:tab w:val="left" w:pos="993"/>
          <w:tab w:val="right" w:leader="dot" w:pos="9435"/>
        </w:tabs>
        <w:rPr>
          <w:rFonts w:asciiTheme="minorHAnsi" w:eastAsiaTheme="minorEastAsia" w:hAnsiTheme="minorHAnsi" w:cstheme="minorBidi"/>
          <w:b w:val="0"/>
          <w:szCs w:val="22"/>
        </w:rPr>
      </w:pPr>
      <w:hyperlink w:anchor="_Toc57217908" w:history="1">
        <w:r w:rsidR="005B5130" w:rsidRPr="004A1CC8">
          <w:rPr>
            <w:rStyle w:val="Hyperlink"/>
          </w:rPr>
          <w:t>1.</w:t>
        </w:r>
        <w:r w:rsidR="005B5130">
          <w:rPr>
            <w:rFonts w:asciiTheme="minorHAnsi" w:eastAsiaTheme="minorEastAsia" w:hAnsiTheme="minorHAnsi" w:cstheme="minorBidi"/>
            <w:b w:val="0"/>
            <w:szCs w:val="22"/>
          </w:rPr>
          <w:tab/>
        </w:r>
        <w:r w:rsidR="005B5130" w:rsidRPr="004A1CC8">
          <w:rPr>
            <w:rStyle w:val="Hyperlink"/>
          </w:rPr>
          <w:t>Purpose</w:t>
        </w:r>
        <w:r w:rsidR="005B5130">
          <w:rPr>
            <w:webHidden/>
          </w:rPr>
          <w:tab/>
        </w:r>
        <w:r w:rsidR="005B5130">
          <w:rPr>
            <w:webHidden/>
          </w:rPr>
          <w:fldChar w:fldCharType="begin"/>
        </w:r>
        <w:r w:rsidR="005B5130">
          <w:rPr>
            <w:webHidden/>
          </w:rPr>
          <w:instrText xml:space="preserve"> PAGEREF _Toc57217908 \h </w:instrText>
        </w:r>
        <w:r w:rsidR="005B5130">
          <w:rPr>
            <w:webHidden/>
          </w:rPr>
        </w:r>
        <w:r w:rsidR="005B5130">
          <w:rPr>
            <w:webHidden/>
          </w:rPr>
          <w:fldChar w:fldCharType="separate"/>
        </w:r>
        <w:r w:rsidR="005B5130">
          <w:rPr>
            <w:webHidden/>
          </w:rPr>
          <w:t>5</w:t>
        </w:r>
        <w:r w:rsidR="005B5130">
          <w:rPr>
            <w:webHidden/>
          </w:rPr>
          <w:fldChar w:fldCharType="end"/>
        </w:r>
      </w:hyperlink>
    </w:p>
    <w:p w14:paraId="05FDF883" w14:textId="1C19EF41" w:rsidR="005B5130" w:rsidRDefault="009C6416">
      <w:pPr>
        <w:pStyle w:val="TOC1"/>
        <w:tabs>
          <w:tab w:val="left" w:pos="993"/>
          <w:tab w:val="right" w:leader="dot" w:pos="9435"/>
        </w:tabs>
        <w:rPr>
          <w:rFonts w:asciiTheme="minorHAnsi" w:eastAsiaTheme="minorEastAsia" w:hAnsiTheme="minorHAnsi" w:cstheme="minorBidi"/>
          <w:b w:val="0"/>
          <w:szCs w:val="22"/>
        </w:rPr>
      </w:pPr>
      <w:hyperlink w:anchor="_Toc57217909" w:history="1">
        <w:r w:rsidR="005B5130" w:rsidRPr="004A1CC8">
          <w:rPr>
            <w:rStyle w:val="Hyperlink"/>
            <w:lang w:eastAsia="en-US"/>
          </w:rPr>
          <w:t>2.</w:t>
        </w:r>
        <w:r w:rsidR="005B5130">
          <w:rPr>
            <w:rFonts w:asciiTheme="minorHAnsi" w:eastAsiaTheme="minorEastAsia" w:hAnsiTheme="minorHAnsi" w:cstheme="minorBidi"/>
            <w:b w:val="0"/>
            <w:szCs w:val="22"/>
          </w:rPr>
          <w:tab/>
        </w:r>
        <w:r w:rsidR="005B5130" w:rsidRPr="004A1CC8">
          <w:rPr>
            <w:rStyle w:val="Hyperlink"/>
            <w:lang w:eastAsia="en-US"/>
          </w:rPr>
          <w:t>Background</w:t>
        </w:r>
        <w:r w:rsidR="005B5130">
          <w:rPr>
            <w:webHidden/>
          </w:rPr>
          <w:tab/>
        </w:r>
        <w:r w:rsidR="005B5130">
          <w:rPr>
            <w:webHidden/>
          </w:rPr>
          <w:fldChar w:fldCharType="begin"/>
        </w:r>
        <w:r w:rsidR="005B5130">
          <w:rPr>
            <w:webHidden/>
          </w:rPr>
          <w:instrText xml:space="preserve"> PAGEREF _Toc57217909 \h </w:instrText>
        </w:r>
        <w:r w:rsidR="005B5130">
          <w:rPr>
            <w:webHidden/>
          </w:rPr>
        </w:r>
        <w:r w:rsidR="005B5130">
          <w:rPr>
            <w:webHidden/>
          </w:rPr>
          <w:fldChar w:fldCharType="separate"/>
        </w:r>
        <w:r w:rsidR="005B5130">
          <w:rPr>
            <w:webHidden/>
          </w:rPr>
          <w:t>6</w:t>
        </w:r>
        <w:r w:rsidR="005B5130">
          <w:rPr>
            <w:webHidden/>
          </w:rPr>
          <w:fldChar w:fldCharType="end"/>
        </w:r>
      </w:hyperlink>
    </w:p>
    <w:p w14:paraId="7B33674B" w14:textId="6189892C" w:rsidR="005B5130" w:rsidRDefault="009C6416" w:rsidP="005B5130">
      <w:pPr>
        <w:pStyle w:val="TOC2"/>
        <w:rPr>
          <w:rFonts w:asciiTheme="minorHAnsi" w:eastAsiaTheme="minorEastAsia" w:hAnsiTheme="minorHAnsi" w:cstheme="minorBidi"/>
          <w:szCs w:val="22"/>
        </w:rPr>
      </w:pPr>
      <w:hyperlink w:anchor="_Toc57217910" w:history="1">
        <w:r w:rsidR="005B5130" w:rsidRPr="004A1CC8">
          <w:rPr>
            <w:rStyle w:val="Hyperlink"/>
            <w:lang w:eastAsia="en-US"/>
          </w:rPr>
          <w:t>2.1</w:t>
        </w:r>
        <w:r w:rsidR="005B5130">
          <w:rPr>
            <w:rFonts w:asciiTheme="minorHAnsi" w:eastAsiaTheme="minorEastAsia" w:hAnsiTheme="minorHAnsi" w:cstheme="minorBidi"/>
            <w:szCs w:val="22"/>
          </w:rPr>
          <w:tab/>
        </w:r>
        <w:r w:rsidR="005B5130" w:rsidRPr="004A1CC8">
          <w:rPr>
            <w:rStyle w:val="Hyperlink"/>
            <w:lang w:eastAsia="en-US"/>
          </w:rPr>
          <w:t>Admitted care classification systems</w:t>
        </w:r>
        <w:r w:rsidR="005B5130">
          <w:rPr>
            <w:webHidden/>
          </w:rPr>
          <w:tab/>
        </w:r>
        <w:r w:rsidR="005B5130">
          <w:rPr>
            <w:webHidden/>
          </w:rPr>
          <w:fldChar w:fldCharType="begin"/>
        </w:r>
        <w:r w:rsidR="005B5130">
          <w:rPr>
            <w:webHidden/>
          </w:rPr>
          <w:instrText xml:space="preserve"> PAGEREF _Toc57217910 \h </w:instrText>
        </w:r>
        <w:r w:rsidR="005B5130">
          <w:rPr>
            <w:webHidden/>
          </w:rPr>
        </w:r>
        <w:r w:rsidR="005B5130">
          <w:rPr>
            <w:webHidden/>
          </w:rPr>
          <w:fldChar w:fldCharType="separate"/>
        </w:r>
        <w:r w:rsidR="005B5130">
          <w:rPr>
            <w:webHidden/>
          </w:rPr>
          <w:t>6</w:t>
        </w:r>
        <w:r w:rsidR="005B5130">
          <w:rPr>
            <w:webHidden/>
          </w:rPr>
          <w:fldChar w:fldCharType="end"/>
        </w:r>
      </w:hyperlink>
    </w:p>
    <w:p w14:paraId="7E0EA0CD" w14:textId="07D0446D" w:rsidR="005B5130" w:rsidRDefault="009C6416" w:rsidP="005B5130">
      <w:pPr>
        <w:pStyle w:val="TOC2"/>
        <w:rPr>
          <w:rFonts w:asciiTheme="minorHAnsi" w:eastAsiaTheme="minorEastAsia" w:hAnsiTheme="minorHAnsi" w:cstheme="minorBidi"/>
          <w:szCs w:val="22"/>
        </w:rPr>
      </w:pPr>
      <w:hyperlink w:anchor="_Toc57217911" w:history="1">
        <w:r w:rsidR="005B5130" w:rsidRPr="004A1CC8">
          <w:rPr>
            <w:rStyle w:val="Hyperlink"/>
            <w:lang w:eastAsia="en-US"/>
          </w:rPr>
          <w:t>2.2</w:t>
        </w:r>
        <w:r w:rsidR="005B5130">
          <w:rPr>
            <w:rFonts w:asciiTheme="minorHAnsi" w:eastAsiaTheme="minorEastAsia" w:hAnsiTheme="minorHAnsi" w:cstheme="minorBidi"/>
            <w:szCs w:val="22"/>
          </w:rPr>
          <w:tab/>
        </w:r>
        <w:r w:rsidR="005B5130" w:rsidRPr="004A1CC8">
          <w:rPr>
            <w:rStyle w:val="Hyperlink"/>
            <w:lang w:eastAsia="en-US"/>
          </w:rPr>
          <w:t>Processes related to classification development</w:t>
        </w:r>
        <w:r w:rsidR="005B5130">
          <w:rPr>
            <w:webHidden/>
          </w:rPr>
          <w:tab/>
        </w:r>
        <w:r w:rsidR="005B5130">
          <w:rPr>
            <w:webHidden/>
          </w:rPr>
          <w:fldChar w:fldCharType="begin"/>
        </w:r>
        <w:r w:rsidR="005B5130">
          <w:rPr>
            <w:webHidden/>
          </w:rPr>
          <w:instrText xml:space="preserve"> PAGEREF _Toc57217911 \h </w:instrText>
        </w:r>
        <w:r w:rsidR="005B5130">
          <w:rPr>
            <w:webHidden/>
          </w:rPr>
        </w:r>
        <w:r w:rsidR="005B5130">
          <w:rPr>
            <w:webHidden/>
          </w:rPr>
          <w:fldChar w:fldCharType="separate"/>
        </w:r>
        <w:r w:rsidR="005B5130">
          <w:rPr>
            <w:webHidden/>
          </w:rPr>
          <w:t>7</w:t>
        </w:r>
        <w:r w:rsidR="005B5130">
          <w:rPr>
            <w:webHidden/>
          </w:rPr>
          <w:fldChar w:fldCharType="end"/>
        </w:r>
      </w:hyperlink>
    </w:p>
    <w:p w14:paraId="123BE2B8" w14:textId="2866EDC2" w:rsidR="005B5130" w:rsidRDefault="009C6416">
      <w:pPr>
        <w:pStyle w:val="TOC1"/>
        <w:tabs>
          <w:tab w:val="left" w:pos="993"/>
          <w:tab w:val="right" w:leader="dot" w:pos="9435"/>
        </w:tabs>
        <w:rPr>
          <w:rFonts w:asciiTheme="minorHAnsi" w:eastAsiaTheme="minorEastAsia" w:hAnsiTheme="minorHAnsi" w:cstheme="minorBidi"/>
          <w:b w:val="0"/>
          <w:szCs w:val="22"/>
        </w:rPr>
      </w:pPr>
      <w:hyperlink w:anchor="_Toc57217912" w:history="1">
        <w:r w:rsidR="005B5130" w:rsidRPr="004A1CC8">
          <w:rPr>
            <w:rStyle w:val="Hyperlink"/>
            <w:lang w:eastAsia="en-US"/>
          </w:rPr>
          <w:t>3.</w:t>
        </w:r>
        <w:r w:rsidR="005B5130">
          <w:rPr>
            <w:rFonts w:asciiTheme="minorHAnsi" w:eastAsiaTheme="minorEastAsia" w:hAnsiTheme="minorHAnsi" w:cstheme="minorBidi"/>
            <w:b w:val="0"/>
            <w:szCs w:val="22"/>
          </w:rPr>
          <w:tab/>
        </w:r>
        <w:r w:rsidR="005B5130" w:rsidRPr="004A1CC8">
          <w:rPr>
            <w:rStyle w:val="Hyperlink"/>
            <w:lang w:eastAsia="en-US"/>
          </w:rPr>
          <w:t>Development principles</w:t>
        </w:r>
        <w:r w:rsidR="005B5130">
          <w:rPr>
            <w:webHidden/>
          </w:rPr>
          <w:tab/>
        </w:r>
        <w:r w:rsidR="005B5130">
          <w:rPr>
            <w:webHidden/>
          </w:rPr>
          <w:fldChar w:fldCharType="begin"/>
        </w:r>
        <w:r w:rsidR="005B5130">
          <w:rPr>
            <w:webHidden/>
          </w:rPr>
          <w:instrText xml:space="preserve"> PAGEREF _Toc57217912 \h </w:instrText>
        </w:r>
        <w:r w:rsidR="005B5130">
          <w:rPr>
            <w:webHidden/>
          </w:rPr>
        </w:r>
        <w:r w:rsidR="005B5130">
          <w:rPr>
            <w:webHidden/>
          </w:rPr>
          <w:fldChar w:fldCharType="separate"/>
        </w:r>
        <w:r w:rsidR="005B5130">
          <w:rPr>
            <w:webHidden/>
          </w:rPr>
          <w:t>8</w:t>
        </w:r>
        <w:r w:rsidR="005B5130">
          <w:rPr>
            <w:webHidden/>
          </w:rPr>
          <w:fldChar w:fldCharType="end"/>
        </w:r>
      </w:hyperlink>
    </w:p>
    <w:p w14:paraId="1E756544" w14:textId="283BA248" w:rsidR="005B5130" w:rsidRDefault="009C6416" w:rsidP="005B5130">
      <w:pPr>
        <w:pStyle w:val="TOC2"/>
        <w:rPr>
          <w:rFonts w:asciiTheme="minorHAnsi" w:eastAsiaTheme="minorEastAsia" w:hAnsiTheme="minorHAnsi" w:cstheme="minorBidi"/>
          <w:szCs w:val="22"/>
        </w:rPr>
      </w:pPr>
      <w:hyperlink w:anchor="_Toc57217913" w:history="1">
        <w:r w:rsidR="005B5130" w:rsidRPr="004A1CC8">
          <w:rPr>
            <w:rStyle w:val="Hyperlink"/>
          </w:rPr>
          <w:t>3.1</w:t>
        </w:r>
        <w:r w:rsidR="005B5130">
          <w:rPr>
            <w:rFonts w:asciiTheme="minorHAnsi" w:eastAsiaTheme="minorEastAsia" w:hAnsiTheme="minorHAnsi" w:cstheme="minorBidi"/>
            <w:szCs w:val="22"/>
          </w:rPr>
          <w:tab/>
        </w:r>
        <w:r w:rsidR="005B5130" w:rsidRPr="004A1CC8">
          <w:rPr>
            <w:rStyle w:val="Hyperlink"/>
          </w:rPr>
          <w:t>Process principles</w:t>
        </w:r>
        <w:r w:rsidR="005B5130">
          <w:rPr>
            <w:webHidden/>
          </w:rPr>
          <w:tab/>
        </w:r>
        <w:r w:rsidR="005B5130">
          <w:rPr>
            <w:webHidden/>
          </w:rPr>
          <w:fldChar w:fldCharType="begin"/>
        </w:r>
        <w:r w:rsidR="005B5130">
          <w:rPr>
            <w:webHidden/>
          </w:rPr>
          <w:instrText xml:space="preserve"> PAGEREF _Toc57217913 \h </w:instrText>
        </w:r>
        <w:r w:rsidR="005B5130">
          <w:rPr>
            <w:webHidden/>
          </w:rPr>
        </w:r>
        <w:r w:rsidR="005B5130">
          <w:rPr>
            <w:webHidden/>
          </w:rPr>
          <w:fldChar w:fldCharType="separate"/>
        </w:r>
        <w:r w:rsidR="005B5130">
          <w:rPr>
            <w:webHidden/>
          </w:rPr>
          <w:t>8</w:t>
        </w:r>
        <w:r w:rsidR="005B5130">
          <w:rPr>
            <w:webHidden/>
          </w:rPr>
          <w:fldChar w:fldCharType="end"/>
        </w:r>
      </w:hyperlink>
    </w:p>
    <w:p w14:paraId="18BAB2EE" w14:textId="7D249CCD" w:rsidR="005B5130" w:rsidRDefault="009C6416" w:rsidP="00F62BB2">
      <w:pPr>
        <w:pStyle w:val="TOC3"/>
        <w:rPr>
          <w:rFonts w:asciiTheme="minorHAnsi" w:eastAsiaTheme="minorEastAsia" w:hAnsiTheme="minorHAnsi" w:cstheme="minorBidi"/>
          <w:noProof/>
          <w:szCs w:val="22"/>
        </w:rPr>
      </w:pPr>
      <w:hyperlink w:anchor="_Toc57217914" w:history="1">
        <w:r w:rsidR="005B5130" w:rsidRPr="004A1CC8">
          <w:rPr>
            <w:rStyle w:val="Hyperlink"/>
            <w:noProof/>
          </w:rPr>
          <w:t>3.1.1</w:t>
        </w:r>
        <w:r w:rsidR="005B5130">
          <w:rPr>
            <w:rFonts w:asciiTheme="minorHAnsi" w:eastAsiaTheme="minorEastAsia" w:hAnsiTheme="minorHAnsi" w:cstheme="minorBidi"/>
            <w:noProof/>
            <w:szCs w:val="22"/>
          </w:rPr>
          <w:tab/>
        </w:r>
        <w:r w:rsidR="005B5130" w:rsidRPr="004A1CC8">
          <w:rPr>
            <w:rStyle w:val="Hyperlink"/>
            <w:noProof/>
          </w:rPr>
          <w:t>Transparency</w:t>
        </w:r>
        <w:r w:rsidR="005B5130">
          <w:rPr>
            <w:noProof/>
            <w:webHidden/>
          </w:rPr>
          <w:tab/>
        </w:r>
        <w:r w:rsidR="005B5130">
          <w:rPr>
            <w:noProof/>
            <w:webHidden/>
          </w:rPr>
          <w:fldChar w:fldCharType="begin"/>
        </w:r>
        <w:r w:rsidR="005B5130">
          <w:rPr>
            <w:noProof/>
            <w:webHidden/>
          </w:rPr>
          <w:instrText xml:space="preserve"> PAGEREF _Toc57217914 \h </w:instrText>
        </w:r>
        <w:r w:rsidR="005B5130">
          <w:rPr>
            <w:noProof/>
            <w:webHidden/>
          </w:rPr>
        </w:r>
        <w:r w:rsidR="005B5130">
          <w:rPr>
            <w:noProof/>
            <w:webHidden/>
          </w:rPr>
          <w:fldChar w:fldCharType="separate"/>
        </w:r>
        <w:r w:rsidR="005B5130">
          <w:rPr>
            <w:noProof/>
            <w:webHidden/>
          </w:rPr>
          <w:t>8</w:t>
        </w:r>
        <w:r w:rsidR="005B5130">
          <w:rPr>
            <w:noProof/>
            <w:webHidden/>
          </w:rPr>
          <w:fldChar w:fldCharType="end"/>
        </w:r>
      </w:hyperlink>
    </w:p>
    <w:p w14:paraId="4D6F040A" w14:textId="65DE92A3" w:rsidR="005B5130" w:rsidRDefault="009C6416" w:rsidP="00F62BB2">
      <w:pPr>
        <w:pStyle w:val="TOC3"/>
        <w:rPr>
          <w:rFonts w:asciiTheme="minorHAnsi" w:eastAsiaTheme="minorEastAsia" w:hAnsiTheme="minorHAnsi" w:cstheme="minorBidi"/>
          <w:noProof/>
          <w:szCs w:val="22"/>
        </w:rPr>
      </w:pPr>
      <w:hyperlink w:anchor="_Toc57217915" w:history="1">
        <w:r w:rsidR="005B5130" w:rsidRPr="004A1CC8">
          <w:rPr>
            <w:rStyle w:val="Hyperlink"/>
            <w:noProof/>
          </w:rPr>
          <w:t>3.1.2</w:t>
        </w:r>
        <w:r w:rsidR="005B5130">
          <w:rPr>
            <w:rFonts w:asciiTheme="minorHAnsi" w:eastAsiaTheme="minorEastAsia" w:hAnsiTheme="minorHAnsi" w:cstheme="minorBidi"/>
            <w:noProof/>
            <w:szCs w:val="22"/>
          </w:rPr>
          <w:tab/>
        </w:r>
        <w:r w:rsidR="005B5130" w:rsidRPr="004A1CC8">
          <w:rPr>
            <w:rStyle w:val="Hyperlink"/>
            <w:noProof/>
          </w:rPr>
          <w:t>Respect of process</w:t>
        </w:r>
        <w:r w:rsidR="005B5130">
          <w:rPr>
            <w:noProof/>
            <w:webHidden/>
          </w:rPr>
          <w:tab/>
        </w:r>
        <w:r w:rsidR="005B5130">
          <w:rPr>
            <w:noProof/>
            <w:webHidden/>
          </w:rPr>
          <w:fldChar w:fldCharType="begin"/>
        </w:r>
        <w:r w:rsidR="005B5130">
          <w:rPr>
            <w:noProof/>
            <w:webHidden/>
          </w:rPr>
          <w:instrText xml:space="preserve"> PAGEREF _Toc57217915 \h </w:instrText>
        </w:r>
        <w:r w:rsidR="005B5130">
          <w:rPr>
            <w:noProof/>
            <w:webHidden/>
          </w:rPr>
        </w:r>
        <w:r w:rsidR="005B5130">
          <w:rPr>
            <w:noProof/>
            <w:webHidden/>
          </w:rPr>
          <w:fldChar w:fldCharType="separate"/>
        </w:r>
        <w:r w:rsidR="005B5130">
          <w:rPr>
            <w:noProof/>
            <w:webHidden/>
          </w:rPr>
          <w:t>9</w:t>
        </w:r>
        <w:r w:rsidR="005B5130">
          <w:rPr>
            <w:noProof/>
            <w:webHidden/>
          </w:rPr>
          <w:fldChar w:fldCharType="end"/>
        </w:r>
      </w:hyperlink>
    </w:p>
    <w:p w14:paraId="36FADA96" w14:textId="7E730E28" w:rsidR="005B5130" w:rsidRDefault="009C6416" w:rsidP="00F62BB2">
      <w:pPr>
        <w:pStyle w:val="TOC3"/>
        <w:rPr>
          <w:rFonts w:asciiTheme="minorHAnsi" w:eastAsiaTheme="minorEastAsia" w:hAnsiTheme="minorHAnsi" w:cstheme="minorBidi"/>
          <w:noProof/>
          <w:szCs w:val="22"/>
        </w:rPr>
      </w:pPr>
      <w:hyperlink w:anchor="_Toc57217916" w:history="1">
        <w:r w:rsidR="005B5130" w:rsidRPr="004A1CC8">
          <w:rPr>
            <w:rStyle w:val="Hyperlink"/>
            <w:noProof/>
          </w:rPr>
          <w:t>3.1.3</w:t>
        </w:r>
        <w:r w:rsidR="005B5130">
          <w:rPr>
            <w:rFonts w:asciiTheme="minorHAnsi" w:eastAsiaTheme="minorEastAsia" w:hAnsiTheme="minorHAnsi" w:cstheme="minorBidi"/>
            <w:noProof/>
            <w:szCs w:val="22"/>
          </w:rPr>
          <w:tab/>
        </w:r>
        <w:r w:rsidR="005B5130" w:rsidRPr="004A1CC8">
          <w:rPr>
            <w:rStyle w:val="Hyperlink"/>
            <w:noProof/>
          </w:rPr>
          <w:t>Decisions are evidence-based</w:t>
        </w:r>
        <w:r w:rsidR="005B5130">
          <w:rPr>
            <w:noProof/>
            <w:webHidden/>
          </w:rPr>
          <w:tab/>
        </w:r>
        <w:r w:rsidR="005B5130">
          <w:rPr>
            <w:noProof/>
            <w:webHidden/>
          </w:rPr>
          <w:fldChar w:fldCharType="begin"/>
        </w:r>
        <w:r w:rsidR="005B5130">
          <w:rPr>
            <w:noProof/>
            <w:webHidden/>
          </w:rPr>
          <w:instrText xml:space="preserve"> PAGEREF _Toc57217916 \h </w:instrText>
        </w:r>
        <w:r w:rsidR="005B5130">
          <w:rPr>
            <w:noProof/>
            <w:webHidden/>
          </w:rPr>
        </w:r>
        <w:r w:rsidR="005B5130">
          <w:rPr>
            <w:noProof/>
            <w:webHidden/>
          </w:rPr>
          <w:fldChar w:fldCharType="separate"/>
        </w:r>
        <w:r w:rsidR="005B5130">
          <w:rPr>
            <w:noProof/>
            <w:webHidden/>
          </w:rPr>
          <w:t>9</w:t>
        </w:r>
        <w:r w:rsidR="005B5130">
          <w:rPr>
            <w:noProof/>
            <w:webHidden/>
          </w:rPr>
          <w:fldChar w:fldCharType="end"/>
        </w:r>
      </w:hyperlink>
    </w:p>
    <w:p w14:paraId="50A075FF" w14:textId="3CB89498" w:rsidR="005B5130" w:rsidRDefault="009C6416" w:rsidP="005B5130">
      <w:pPr>
        <w:pStyle w:val="TOC2"/>
        <w:rPr>
          <w:rFonts w:asciiTheme="minorHAnsi" w:eastAsiaTheme="minorEastAsia" w:hAnsiTheme="minorHAnsi" w:cstheme="minorBidi"/>
          <w:szCs w:val="22"/>
        </w:rPr>
      </w:pPr>
      <w:hyperlink w:anchor="_Toc57217917" w:history="1">
        <w:r w:rsidR="005B5130" w:rsidRPr="004A1CC8">
          <w:rPr>
            <w:rStyle w:val="Hyperlink"/>
          </w:rPr>
          <w:t>3.2</w:t>
        </w:r>
        <w:r w:rsidR="005B5130">
          <w:rPr>
            <w:rFonts w:asciiTheme="minorHAnsi" w:eastAsiaTheme="minorEastAsia" w:hAnsiTheme="minorHAnsi" w:cstheme="minorBidi"/>
            <w:szCs w:val="22"/>
          </w:rPr>
          <w:tab/>
        </w:r>
        <w:r w:rsidR="005B5130" w:rsidRPr="004A1CC8">
          <w:rPr>
            <w:rStyle w:val="Hyperlink"/>
          </w:rPr>
          <w:t>ICD-10-AM/ACHI/ACS principles</w:t>
        </w:r>
        <w:r w:rsidR="005B5130">
          <w:rPr>
            <w:webHidden/>
          </w:rPr>
          <w:tab/>
        </w:r>
        <w:r w:rsidR="005B5130">
          <w:rPr>
            <w:webHidden/>
          </w:rPr>
          <w:fldChar w:fldCharType="begin"/>
        </w:r>
        <w:r w:rsidR="005B5130">
          <w:rPr>
            <w:webHidden/>
          </w:rPr>
          <w:instrText xml:space="preserve"> PAGEREF _Toc57217917 \h </w:instrText>
        </w:r>
        <w:r w:rsidR="005B5130">
          <w:rPr>
            <w:webHidden/>
          </w:rPr>
        </w:r>
        <w:r w:rsidR="005B5130">
          <w:rPr>
            <w:webHidden/>
          </w:rPr>
          <w:fldChar w:fldCharType="separate"/>
        </w:r>
        <w:r w:rsidR="005B5130">
          <w:rPr>
            <w:webHidden/>
          </w:rPr>
          <w:t>9</w:t>
        </w:r>
        <w:r w:rsidR="005B5130">
          <w:rPr>
            <w:webHidden/>
          </w:rPr>
          <w:fldChar w:fldCharType="end"/>
        </w:r>
      </w:hyperlink>
    </w:p>
    <w:p w14:paraId="36DB98BF" w14:textId="55B15297" w:rsidR="005B5130" w:rsidRDefault="009C6416" w:rsidP="00F62BB2">
      <w:pPr>
        <w:pStyle w:val="TOC3"/>
        <w:rPr>
          <w:rFonts w:asciiTheme="minorHAnsi" w:eastAsiaTheme="minorEastAsia" w:hAnsiTheme="minorHAnsi" w:cstheme="minorBidi"/>
          <w:noProof/>
          <w:szCs w:val="22"/>
        </w:rPr>
      </w:pPr>
      <w:hyperlink w:anchor="_Toc57217918" w:history="1">
        <w:r w:rsidR="005B5130" w:rsidRPr="004A1CC8">
          <w:rPr>
            <w:rStyle w:val="Hyperlink"/>
            <w:noProof/>
          </w:rPr>
          <w:t>3.2.1</w:t>
        </w:r>
        <w:r w:rsidR="005B5130">
          <w:rPr>
            <w:rFonts w:asciiTheme="minorHAnsi" w:eastAsiaTheme="minorEastAsia" w:hAnsiTheme="minorHAnsi" w:cstheme="minorBidi"/>
            <w:noProof/>
            <w:szCs w:val="22"/>
          </w:rPr>
          <w:tab/>
        </w:r>
        <w:r w:rsidR="005B5130" w:rsidRPr="004A1CC8">
          <w:rPr>
            <w:rStyle w:val="Hyperlink"/>
            <w:noProof/>
          </w:rPr>
          <w:t>Decision principles</w:t>
        </w:r>
        <w:r w:rsidR="005B5130">
          <w:rPr>
            <w:noProof/>
            <w:webHidden/>
          </w:rPr>
          <w:tab/>
        </w:r>
        <w:r w:rsidR="005B5130">
          <w:rPr>
            <w:noProof/>
            <w:webHidden/>
          </w:rPr>
          <w:fldChar w:fldCharType="begin"/>
        </w:r>
        <w:r w:rsidR="005B5130">
          <w:rPr>
            <w:noProof/>
            <w:webHidden/>
          </w:rPr>
          <w:instrText xml:space="preserve"> PAGEREF _Toc57217918 \h </w:instrText>
        </w:r>
        <w:r w:rsidR="005B5130">
          <w:rPr>
            <w:noProof/>
            <w:webHidden/>
          </w:rPr>
        </w:r>
        <w:r w:rsidR="005B5130">
          <w:rPr>
            <w:noProof/>
            <w:webHidden/>
          </w:rPr>
          <w:fldChar w:fldCharType="separate"/>
        </w:r>
        <w:r w:rsidR="005B5130">
          <w:rPr>
            <w:noProof/>
            <w:webHidden/>
          </w:rPr>
          <w:t>9</w:t>
        </w:r>
        <w:r w:rsidR="005B5130">
          <w:rPr>
            <w:noProof/>
            <w:webHidden/>
          </w:rPr>
          <w:fldChar w:fldCharType="end"/>
        </w:r>
      </w:hyperlink>
    </w:p>
    <w:p w14:paraId="217F9A73" w14:textId="618FDD9F" w:rsidR="005B5130" w:rsidRDefault="009C6416" w:rsidP="00F62BB2">
      <w:pPr>
        <w:pStyle w:val="TOC3"/>
        <w:rPr>
          <w:rFonts w:asciiTheme="minorHAnsi" w:eastAsiaTheme="minorEastAsia" w:hAnsiTheme="minorHAnsi" w:cstheme="minorBidi"/>
          <w:noProof/>
          <w:szCs w:val="22"/>
        </w:rPr>
      </w:pPr>
      <w:hyperlink w:anchor="_Toc57217919" w:history="1">
        <w:r w:rsidR="005B5130" w:rsidRPr="004A1CC8">
          <w:rPr>
            <w:rStyle w:val="Hyperlink"/>
            <w:noProof/>
          </w:rPr>
          <w:t>3.2.2</w:t>
        </w:r>
        <w:r w:rsidR="005B5130">
          <w:rPr>
            <w:rFonts w:asciiTheme="minorHAnsi" w:eastAsiaTheme="minorEastAsia" w:hAnsiTheme="minorHAnsi" w:cstheme="minorBidi"/>
            <w:noProof/>
            <w:szCs w:val="22"/>
          </w:rPr>
          <w:tab/>
        </w:r>
        <w:r w:rsidR="005B5130" w:rsidRPr="004A1CC8">
          <w:rPr>
            <w:rStyle w:val="Hyperlink"/>
            <w:noProof/>
          </w:rPr>
          <w:t>Prioritisation principles</w:t>
        </w:r>
        <w:r w:rsidR="005B5130">
          <w:rPr>
            <w:noProof/>
            <w:webHidden/>
          </w:rPr>
          <w:tab/>
        </w:r>
        <w:r w:rsidR="005B5130">
          <w:rPr>
            <w:noProof/>
            <w:webHidden/>
          </w:rPr>
          <w:fldChar w:fldCharType="begin"/>
        </w:r>
        <w:r w:rsidR="005B5130">
          <w:rPr>
            <w:noProof/>
            <w:webHidden/>
          </w:rPr>
          <w:instrText xml:space="preserve"> PAGEREF _Toc57217919 \h </w:instrText>
        </w:r>
        <w:r w:rsidR="005B5130">
          <w:rPr>
            <w:noProof/>
            <w:webHidden/>
          </w:rPr>
        </w:r>
        <w:r w:rsidR="005B5130">
          <w:rPr>
            <w:noProof/>
            <w:webHidden/>
          </w:rPr>
          <w:fldChar w:fldCharType="separate"/>
        </w:r>
        <w:r w:rsidR="005B5130">
          <w:rPr>
            <w:noProof/>
            <w:webHidden/>
          </w:rPr>
          <w:t>10</w:t>
        </w:r>
        <w:r w:rsidR="005B5130">
          <w:rPr>
            <w:noProof/>
            <w:webHidden/>
          </w:rPr>
          <w:fldChar w:fldCharType="end"/>
        </w:r>
      </w:hyperlink>
    </w:p>
    <w:p w14:paraId="3754F70F" w14:textId="60A480FB" w:rsidR="005B5130" w:rsidRDefault="009C6416" w:rsidP="00F62BB2">
      <w:pPr>
        <w:pStyle w:val="TOC3"/>
        <w:rPr>
          <w:rFonts w:asciiTheme="minorHAnsi" w:eastAsiaTheme="minorEastAsia" w:hAnsiTheme="minorHAnsi" w:cstheme="minorBidi"/>
          <w:noProof/>
          <w:szCs w:val="22"/>
        </w:rPr>
      </w:pPr>
      <w:hyperlink w:anchor="_Toc57217920" w:history="1">
        <w:r w:rsidR="005B5130" w:rsidRPr="004A1CC8">
          <w:rPr>
            <w:rStyle w:val="Hyperlink"/>
            <w:noProof/>
          </w:rPr>
          <w:t>3.2.3</w:t>
        </w:r>
        <w:r w:rsidR="005B5130">
          <w:rPr>
            <w:rFonts w:asciiTheme="minorHAnsi" w:eastAsiaTheme="minorEastAsia" w:hAnsiTheme="minorHAnsi" w:cstheme="minorBidi"/>
            <w:noProof/>
            <w:szCs w:val="22"/>
          </w:rPr>
          <w:tab/>
        </w:r>
        <w:r w:rsidR="005B5130" w:rsidRPr="004A1CC8">
          <w:rPr>
            <w:rStyle w:val="Hyperlink"/>
            <w:noProof/>
          </w:rPr>
          <w:t>Development principles</w:t>
        </w:r>
        <w:r w:rsidR="005B5130">
          <w:rPr>
            <w:noProof/>
            <w:webHidden/>
          </w:rPr>
          <w:tab/>
        </w:r>
        <w:r w:rsidR="005B5130">
          <w:rPr>
            <w:noProof/>
            <w:webHidden/>
          </w:rPr>
          <w:fldChar w:fldCharType="begin"/>
        </w:r>
        <w:r w:rsidR="005B5130">
          <w:rPr>
            <w:noProof/>
            <w:webHidden/>
          </w:rPr>
          <w:instrText xml:space="preserve"> PAGEREF _Toc57217920 \h </w:instrText>
        </w:r>
        <w:r w:rsidR="005B5130">
          <w:rPr>
            <w:noProof/>
            <w:webHidden/>
          </w:rPr>
        </w:r>
        <w:r w:rsidR="005B5130">
          <w:rPr>
            <w:noProof/>
            <w:webHidden/>
          </w:rPr>
          <w:fldChar w:fldCharType="separate"/>
        </w:r>
        <w:r w:rsidR="005B5130">
          <w:rPr>
            <w:noProof/>
            <w:webHidden/>
          </w:rPr>
          <w:t>11</w:t>
        </w:r>
        <w:r w:rsidR="005B5130">
          <w:rPr>
            <w:noProof/>
            <w:webHidden/>
          </w:rPr>
          <w:fldChar w:fldCharType="end"/>
        </w:r>
      </w:hyperlink>
    </w:p>
    <w:p w14:paraId="5196C6A7" w14:textId="1210DFF9" w:rsidR="005B5130" w:rsidRDefault="009C6416" w:rsidP="005B5130">
      <w:pPr>
        <w:pStyle w:val="TOC2"/>
        <w:rPr>
          <w:rFonts w:asciiTheme="minorHAnsi" w:eastAsiaTheme="minorEastAsia" w:hAnsiTheme="minorHAnsi" w:cstheme="minorBidi"/>
          <w:szCs w:val="22"/>
        </w:rPr>
      </w:pPr>
      <w:hyperlink w:anchor="_Toc57217921" w:history="1">
        <w:r w:rsidR="005B5130" w:rsidRPr="004A1CC8">
          <w:rPr>
            <w:rStyle w:val="Hyperlink"/>
          </w:rPr>
          <w:t>3.3</w:t>
        </w:r>
        <w:r w:rsidR="005B5130">
          <w:rPr>
            <w:rFonts w:asciiTheme="minorHAnsi" w:eastAsiaTheme="minorEastAsia" w:hAnsiTheme="minorHAnsi" w:cstheme="minorBidi"/>
            <w:szCs w:val="22"/>
          </w:rPr>
          <w:tab/>
        </w:r>
        <w:r w:rsidR="005B5130" w:rsidRPr="004A1CC8">
          <w:rPr>
            <w:rStyle w:val="Hyperlink"/>
          </w:rPr>
          <w:t>AR-DRG principles</w:t>
        </w:r>
        <w:r w:rsidR="005B5130">
          <w:rPr>
            <w:webHidden/>
          </w:rPr>
          <w:tab/>
        </w:r>
        <w:r w:rsidR="005B5130">
          <w:rPr>
            <w:webHidden/>
          </w:rPr>
          <w:fldChar w:fldCharType="begin"/>
        </w:r>
        <w:r w:rsidR="005B5130">
          <w:rPr>
            <w:webHidden/>
          </w:rPr>
          <w:instrText xml:space="preserve"> PAGEREF _Toc57217921 \h </w:instrText>
        </w:r>
        <w:r w:rsidR="005B5130">
          <w:rPr>
            <w:webHidden/>
          </w:rPr>
        </w:r>
        <w:r w:rsidR="005B5130">
          <w:rPr>
            <w:webHidden/>
          </w:rPr>
          <w:fldChar w:fldCharType="separate"/>
        </w:r>
        <w:r w:rsidR="005B5130">
          <w:rPr>
            <w:webHidden/>
          </w:rPr>
          <w:t>12</w:t>
        </w:r>
        <w:r w:rsidR="005B5130">
          <w:rPr>
            <w:webHidden/>
          </w:rPr>
          <w:fldChar w:fldCharType="end"/>
        </w:r>
      </w:hyperlink>
    </w:p>
    <w:p w14:paraId="204FC418" w14:textId="7423E8C1" w:rsidR="005B5130" w:rsidRDefault="009C6416" w:rsidP="00F62BB2">
      <w:pPr>
        <w:pStyle w:val="TOC3"/>
        <w:rPr>
          <w:rFonts w:asciiTheme="minorHAnsi" w:eastAsiaTheme="minorEastAsia" w:hAnsiTheme="minorHAnsi" w:cstheme="minorBidi"/>
          <w:noProof/>
          <w:szCs w:val="22"/>
        </w:rPr>
      </w:pPr>
      <w:hyperlink w:anchor="_Toc57217922" w:history="1">
        <w:r w:rsidR="005B5130" w:rsidRPr="004A1CC8">
          <w:rPr>
            <w:rStyle w:val="Hyperlink"/>
            <w:noProof/>
          </w:rPr>
          <w:t>3.3.1</w:t>
        </w:r>
        <w:r w:rsidR="005B5130">
          <w:rPr>
            <w:rFonts w:asciiTheme="minorHAnsi" w:eastAsiaTheme="minorEastAsia" w:hAnsiTheme="minorHAnsi" w:cstheme="minorBidi"/>
            <w:noProof/>
            <w:szCs w:val="22"/>
          </w:rPr>
          <w:tab/>
        </w:r>
        <w:r w:rsidR="005B5130" w:rsidRPr="004A1CC8">
          <w:rPr>
            <w:rStyle w:val="Hyperlink"/>
            <w:noProof/>
          </w:rPr>
          <w:t>Decision principles</w:t>
        </w:r>
        <w:r w:rsidR="005B5130">
          <w:rPr>
            <w:noProof/>
            <w:webHidden/>
          </w:rPr>
          <w:tab/>
        </w:r>
        <w:r w:rsidR="005B5130">
          <w:rPr>
            <w:noProof/>
            <w:webHidden/>
          </w:rPr>
          <w:fldChar w:fldCharType="begin"/>
        </w:r>
        <w:r w:rsidR="005B5130">
          <w:rPr>
            <w:noProof/>
            <w:webHidden/>
          </w:rPr>
          <w:instrText xml:space="preserve"> PAGEREF _Toc57217922 \h </w:instrText>
        </w:r>
        <w:r w:rsidR="005B5130">
          <w:rPr>
            <w:noProof/>
            <w:webHidden/>
          </w:rPr>
        </w:r>
        <w:r w:rsidR="005B5130">
          <w:rPr>
            <w:noProof/>
            <w:webHidden/>
          </w:rPr>
          <w:fldChar w:fldCharType="separate"/>
        </w:r>
        <w:r w:rsidR="005B5130">
          <w:rPr>
            <w:noProof/>
            <w:webHidden/>
          </w:rPr>
          <w:t>12</w:t>
        </w:r>
        <w:r w:rsidR="005B5130">
          <w:rPr>
            <w:noProof/>
            <w:webHidden/>
          </w:rPr>
          <w:fldChar w:fldCharType="end"/>
        </w:r>
      </w:hyperlink>
    </w:p>
    <w:p w14:paraId="2F2294E0" w14:textId="483FBDEE" w:rsidR="005B5130" w:rsidRDefault="009C6416" w:rsidP="00F62BB2">
      <w:pPr>
        <w:pStyle w:val="TOC3"/>
        <w:rPr>
          <w:rFonts w:asciiTheme="minorHAnsi" w:eastAsiaTheme="minorEastAsia" w:hAnsiTheme="minorHAnsi" w:cstheme="minorBidi"/>
          <w:noProof/>
          <w:szCs w:val="22"/>
        </w:rPr>
      </w:pPr>
      <w:hyperlink w:anchor="_Toc57217923" w:history="1">
        <w:r w:rsidR="005B5130" w:rsidRPr="004A1CC8">
          <w:rPr>
            <w:rStyle w:val="Hyperlink"/>
            <w:noProof/>
          </w:rPr>
          <w:t>3.3.2</w:t>
        </w:r>
        <w:r w:rsidR="005B5130">
          <w:rPr>
            <w:rFonts w:asciiTheme="minorHAnsi" w:eastAsiaTheme="minorEastAsia" w:hAnsiTheme="minorHAnsi" w:cstheme="minorBidi"/>
            <w:noProof/>
            <w:szCs w:val="22"/>
          </w:rPr>
          <w:tab/>
        </w:r>
        <w:r w:rsidR="005B5130" w:rsidRPr="004A1CC8">
          <w:rPr>
            <w:rStyle w:val="Hyperlink"/>
            <w:noProof/>
          </w:rPr>
          <w:t>Prioritisation principles</w:t>
        </w:r>
        <w:r w:rsidR="005B5130">
          <w:rPr>
            <w:noProof/>
            <w:webHidden/>
          </w:rPr>
          <w:tab/>
        </w:r>
        <w:r w:rsidR="005B5130">
          <w:rPr>
            <w:noProof/>
            <w:webHidden/>
          </w:rPr>
          <w:fldChar w:fldCharType="begin"/>
        </w:r>
        <w:r w:rsidR="005B5130">
          <w:rPr>
            <w:noProof/>
            <w:webHidden/>
          </w:rPr>
          <w:instrText xml:space="preserve"> PAGEREF _Toc57217923 \h </w:instrText>
        </w:r>
        <w:r w:rsidR="005B5130">
          <w:rPr>
            <w:noProof/>
            <w:webHidden/>
          </w:rPr>
        </w:r>
        <w:r w:rsidR="005B5130">
          <w:rPr>
            <w:noProof/>
            <w:webHidden/>
          </w:rPr>
          <w:fldChar w:fldCharType="separate"/>
        </w:r>
        <w:r w:rsidR="005B5130">
          <w:rPr>
            <w:noProof/>
            <w:webHidden/>
          </w:rPr>
          <w:t>12</w:t>
        </w:r>
        <w:r w:rsidR="005B5130">
          <w:rPr>
            <w:noProof/>
            <w:webHidden/>
          </w:rPr>
          <w:fldChar w:fldCharType="end"/>
        </w:r>
      </w:hyperlink>
    </w:p>
    <w:p w14:paraId="5CB62C24" w14:textId="2E13CBB3" w:rsidR="005B5130" w:rsidRDefault="009C6416" w:rsidP="00F62BB2">
      <w:pPr>
        <w:pStyle w:val="TOC3"/>
        <w:rPr>
          <w:rFonts w:asciiTheme="minorHAnsi" w:eastAsiaTheme="minorEastAsia" w:hAnsiTheme="minorHAnsi" w:cstheme="minorBidi"/>
          <w:noProof/>
          <w:szCs w:val="22"/>
        </w:rPr>
      </w:pPr>
      <w:hyperlink w:anchor="_Toc57217924" w:history="1">
        <w:r w:rsidR="005B5130" w:rsidRPr="004A1CC8">
          <w:rPr>
            <w:rStyle w:val="Hyperlink"/>
            <w:noProof/>
          </w:rPr>
          <w:t>3.3.3</w:t>
        </w:r>
        <w:r w:rsidR="005B5130">
          <w:rPr>
            <w:rFonts w:asciiTheme="minorHAnsi" w:eastAsiaTheme="minorEastAsia" w:hAnsiTheme="minorHAnsi" w:cstheme="minorBidi"/>
            <w:noProof/>
            <w:szCs w:val="22"/>
          </w:rPr>
          <w:tab/>
        </w:r>
        <w:r w:rsidR="005B5130" w:rsidRPr="004A1CC8">
          <w:rPr>
            <w:rStyle w:val="Hyperlink"/>
            <w:noProof/>
          </w:rPr>
          <w:t>Development principles</w:t>
        </w:r>
        <w:r w:rsidR="005B5130">
          <w:rPr>
            <w:noProof/>
            <w:webHidden/>
          </w:rPr>
          <w:tab/>
        </w:r>
        <w:r w:rsidR="005B5130">
          <w:rPr>
            <w:noProof/>
            <w:webHidden/>
          </w:rPr>
          <w:fldChar w:fldCharType="begin"/>
        </w:r>
        <w:r w:rsidR="005B5130">
          <w:rPr>
            <w:noProof/>
            <w:webHidden/>
          </w:rPr>
          <w:instrText xml:space="preserve"> PAGEREF _Toc57217924 \h </w:instrText>
        </w:r>
        <w:r w:rsidR="005B5130">
          <w:rPr>
            <w:noProof/>
            <w:webHidden/>
          </w:rPr>
        </w:r>
        <w:r w:rsidR="005B5130">
          <w:rPr>
            <w:noProof/>
            <w:webHidden/>
          </w:rPr>
          <w:fldChar w:fldCharType="separate"/>
        </w:r>
        <w:r w:rsidR="005B5130">
          <w:rPr>
            <w:noProof/>
            <w:webHidden/>
          </w:rPr>
          <w:t>14</w:t>
        </w:r>
        <w:r w:rsidR="005B5130">
          <w:rPr>
            <w:noProof/>
            <w:webHidden/>
          </w:rPr>
          <w:fldChar w:fldCharType="end"/>
        </w:r>
      </w:hyperlink>
    </w:p>
    <w:p w14:paraId="53C847F4" w14:textId="1B353A8C" w:rsidR="005B5130" w:rsidRDefault="009C6416">
      <w:pPr>
        <w:pStyle w:val="TOC1"/>
        <w:tabs>
          <w:tab w:val="left" w:pos="993"/>
          <w:tab w:val="right" w:leader="dot" w:pos="9435"/>
        </w:tabs>
        <w:rPr>
          <w:rFonts w:asciiTheme="minorHAnsi" w:eastAsiaTheme="minorEastAsia" w:hAnsiTheme="minorHAnsi" w:cstheme="minorBidi"/>
          <w:b w:val="0"/>
          <w:szCs w:val="22"/>
        </w:rPr>
      </w:pPr>
      <w:hyperlink w:anchor="_Toc57217925" w:history="1">
        <w:r w:rsidR="005B5130" w:rsidRPr="004A1CC8">
          <w:rPr>
            <w:rStyle w:val="Hyperlink"/>
            <w:lang w:eastAsia="en-US"/>
          </w:rPr>
          <w:t>4.</w:t>
        </w:r>
        <w:r w:rsidR="005B5130">
          <w:rPr>
            <w:rFonts w:asciiTheme="minorHAnsi" w:eastAsiaTheme="minorEastAsia" w:hAnsiTheme="minorHAnsi" w:cstheme="minorBidi"/>
            <w:b w:val="0"/>
            <w:szCs w:val="22"/>
          </w:rPr>
          <w:tab/>
        </w:r>
        <w:r w:rsidR="005B5130" w:rsidRPr="004A1CC8">
          <w:rPr>
            <w:rStyle w:val="Hyperlink"/>
            <w:lang w:eastAsia="en-US"/>
          </w:rPr>
          <w:t>Classification development process</w:t>
        </w:r>
        <w:r w:rsidR="005B5130">
          <w:rPr>
            <w:webHidden/>
          </w:rPr>
          <w:tab/>
        </w:r>
        <w:r w:rsidR="005B5130">
          <w:rPr>
            <w:webHidden/>
          </w:rPr>
          <w:fldChar w:fldCharType="begin"/>
        </w:r>
        <w:r w:rsidR="005B5130">
          <w:rPr>
            <w:webHidden/>
          </w:rPr>
          <w:instrText xml:space="preserve"> PAGEREF _Toc57217925 \h </w:instrText>
        </w:r>
        <w:r w:rsidR="005B5130">
          <w:rPr>
            <w:webHidden/>
          </w:rPr>
        </w:r>
        <w:r w:rsidR="005B5130">
          <w:rPr>
            <w:webHidden/>
          </w:rPr>
          <w:fldChar w:fldCharType="separate"/>
        </w:r>
        <w:r w:rsidR="005B5130">
          <w:rPr>
            <w:webHidden/>
          </w:rPr>
          <w:t>17</w:t>
        </w:r>
        <w:r w:rsidR="005B5130">
          <w:rPr>
            <w:webHidden/>
          </w:rPr>
          <w:fldChar w:fldCharType="end"/>
        </w:r>
      </w:hyperlink>
    </w:p>
    <w:p w14:paraId="457D448A" w14:textId="550F64A4" w:rsidR="005B5130" w:rsidRDefault="009C6416" w:rsidP="005B5130">
      <w:pPr>
        <w:pStyle w:val="TOC2"/>
        <w:rPr>
          <w:rFonts w:asciiTheme="minorHAnsi" w:eastAsiaTheme="minorEastAsia" w:hAnsiTheme="minorHAnsi" w:cstheme="minorBidi"/>
          <w:szCs w:val="22"/>
        </w:rPr>
      </w:pPr>
      <w:hyperlink w:anchor="_Toc57217926" w:history="1">
        <w:r w:rsidR="005B5130" w:rsidRPr="004A1CC8">
          <w:rPr>
            <w:rStyle w:val="Hyperlink"/>
          </w:rPr>
          <w:t>4.1</w:t>
        </w:r>
        <w:r w:rsidR="005B5130">
          <w:rPr>
            <w:rFonts w:asciiTheme="minorHAnsi" w:eastAsiaTheme="minorEastAsia" w:hAnsiTheme="minorHAnsi" w:cstheme="minorBidi"/>
            <w:szCs w:val="22"/>
          </w:rPr>
          <w:tab/>
        </w:r>
        <w:r w:rsidR="005B5130" w:rsidRPr="004A1CC8">
          <w:rPr>
            <w:rStyle w:val="Hyperlink"/>
          </w:rPr>
          <w:t>Development cycle timelines and milestones</w:t>
        </w:r>
        <w:r w:rsidR="005B5130">
          <w:rPr>
            <w:webHidden/>
          </w:rPr>
          <w:tab/>
        </w:r>
        <w:r w:rsidR="005B5130">
          <w:rPr>
            <w:webHidden/>
          </w:rPr>
          <w:fldChar w:fldCharType="begin"/>
        </w:r>
        <w:r w:rsidR="005B5130">
          <w:rPr>
            <w:webHidden/>
          </w:rPr>
          <w:instrText xml:space="preserve"> PAGEREF _Toc57217926 \h </w:instrText>
        </w:r>
        <w:r w:rsidR="005B5130">
          <w:rPr>
            <w:webHidden/>
          </w:rPr>
        </w:r>
        <w:r w:rsidR="005B5130">
          <w:rPr>
            <w:webHidden/>
          </w:rPr>
          <w:fldChar w:fldCharType="separate"/>
        </w:r>
        <w:r w:rsidR="005B5130">
          <w:rPr>
            <w:webHidden/>
          </w:rPr>
          <w:t>17</w:t>
        </w:r>
        <w:r w:rsidR="005B5130">
          <w:rPr>
            <w:webHidden/>
          </w:rPr>
          <w:fldChar w:fldCharType="end"/>
        </w:r>
      </w:hyperlink>
    </w:p>
    <w:p w14:paraId="71BB475C" w14:textId="2334073B" w:rsidR="005B5130" w:rsidRDefault="009C6416" w:rsidP="005B5130">
      <w:pPr>
        <w:pStyle w:val="TOC2"/>
        <w:rPr>
          <w:rFonts w:asciiTheme="minorHAnsi" w:eastAsiaTheme="minorEastAsia" w:hAnsiTheme="minorHAnsi" w:cstheme="minorBidi"/>
          <w:szCs w:val="22"/>
        </w:rPr>
      </w:pPr>
      <w:hyperlink w:anchor="_Toc57217927" w:history="1">
        <w:r w:rsidR="005B5130" w:rsidRPr="004A1CC8">
          <w:rPr>
            <w:rStyle w:val="Hyperlink"/>
          </w:rPr>
          <w:t>4.2</w:t>
        </w:r>
        <w:r w:rsidR="005B5130">
          <w:rPr>
            <w:rFonts w:asciiTheme="minorHAnsi" w:eastAsiaTheme="minorEastAsia" w:hAnsiTheme="minorHAnsi" w:cstheme="minorBidi"/>
            <w:szCs w:val="22"/>
          </w:rPr>
          <w:tab/>
        </w:r>
        <w:r w:rsidR="005B5130" w:rsidRPr="004A1CC8">
          <w:rPr>
            <w:rStyle w:val="Hyperlink"/>
          </w:rPr>
          <w:t>Inputs</w:t>
        </w:r>
        <w:r w:rsidR="005B5130">
          <w:rPr>
            <w:webHidden/>
          </w:rPr>
          <w:tab/>
        </w:r>
        <w:r w:rsidR="005B5130">
          <w:rPr>
            <w:webHidden/>
          </w:rPr>
          <w:fldChar w:fldCharType="begin"/>
        </w:r>
        <w:r w:rsidR="005B5130">
          <w:rPr>
            <w:webHidden/>
          </w:rPr>
          <w:instrText xml:space="preserve"> PAGEREF _Toc57217927 \h </w:instrText>
        </w:r>
        <w:r w:rsidR="005B5130">
          <w:rPr>
            <w:webHidden/>
          </w:rPr>
        </w:r>
        <w:r w:rsidR="005B5130">
          <w:rPr>
            <w:webHidden/>
          </w:rPr>
          <w:fldChar w:fldCharType="separate"/>
        </w:r>
        <w:r w:rsidR="005B5130">
          <w:rPr>
            <w:webHidden/>
          </w:rPr>
          <w:t>17</w:t>
        </w:r>
        <w:r w:rsidR="005B5130">
          <w:rPr>
            <w:webHidden/>
          </w:rPr>
          <w:fldChar w:fldCharType="end"/>
        </w:r>
      </w:hyperlink>
    </w:p>
    <w:p w14:paraId="38AD7D79" w14:textId="3DC9897B" w:rsidR="005B5130" w:rsidRDefault="009C6416" w:rsidP="005B5130">
      <w:pPr>
        <w:pStyle w:val="TOC2"/>
        <w:rPr>
          <w:rFonts w:asciiTheme="minorHAnsi" w:eastAsiaTheme="minorEastAsia" w:hAnsiTheme="minorHAnsi" w:cstheme="minorBidi"/>
          <w:szCs w:val="22"/>
        </w:rPr>
      </w:pPr>
      <w:hyperlink w:anchor="_Toc57217928" w:history="1">
        <w:r w:rsidR="005B5130" w:rsidRPr="004A1CC8">
          <w:rPr>
            <w:rStyle w:val="Hyperlink"/>
          </w:rPr>
          <w:t>4.3</w:t>
        </w:r>
        <w:r w:rsidR="005B5130">
          <w:rPr>
            <w:rFonts w:asciiTheme="minorHAnsi" w:eastAsiaTheme="minorEastAsia" w:hAnsiTheme="minorHAnsi" w:cstheme="minorBidi"/>
            <w:szCs w:val="22"/>
          </w:rPr>
          <w:tab/>
        </w:r>
        <w:r w:rsidR="005B5130" w:rsidRPr="004A1CC8">
          <w:rPr>
            <w:rStyle w:val="Hyperlink"/>
          </w:rPr>
          <w:t>Advisory groups</w:t>
        </w:r>
        <w:r w:rsidR="005B5130">
          <w:rPr>
            <w:webHidden/>
          </w:rPr>
          <w:tab/>
        </w:r>
        <w:r w:rsidR="005B5130">
          <w:rPr>
            <w:webHidden/>
          </w:rPr>
          <w:fldChar w:fldCharType="begin"/>
        </w:r>
        <w:r w:rsidR="005B5130">
          <w:rPr>
            <w:webHidden/>
          </w:rPr>
          <w:instrText xml:space="preserve"> PAGEREF _Toc57217928 \h </w:instrText>
        </w:r>
        <w:r w:rsidR="005B5130">
          <w:rPr>
            <w:webHidden/>
          </w:rPr>
        </w:r>
        <w:r w:rsidR="005B5130">
          <w:rPr>
            <w:webHidden/>
          </w:rPr>
          <w:fldChar w:fldCharType="separate"/>
        </w:r>
        <w:r w:rsidR="005B5130">
          <w:rPr>
            <w:webHidden/>
          </w:rPr>
          <w:t>18</w:t>
        </w:r>
        <w:r w:rsidR="005B5130">
          <w:rPr>
            <w:webHidden/>
          </w:rPr>
          <w:fldChar w:fldCharType="end"/>
        </w:r>
      </w:hyperlink>
    </w:p>
    <w:p w14:paraId="72B357E8" w14:textId="1A4FC1E0" w:rsidR="005B5130" w:rsidRDefault="009C6416" w:rsidP="005B5130">
      <w:pPr>
        <w:pStyle w:val="TOC2"/>
        <w:rPr>
          <w:rFonts w:asciiTheme="minorHAnsi" w:eastAsiaTheme="minorEastAsia" w:hAnsiTheme="minorHAnsi" w:cstheme="minorBidi"/>
          <w:szCs w:val="22"/>
        </w:rPr>
      </w:pPr>
      <w:hyperlink w:anchor="_Toc57217929" w:history="1">
        <w:r w:rsidR="005B5130" w:rsidRPr="004A1CC8">
          <w:rPr>
            <w:rStyle w:val="Hyperlink"/>
          </w:rPr>
          <w:t>4.4</w:t>
        </w:r>
        <w:r w:rsidR="005B5130">
          <w:rPr>
            <w:rFonts w:asciiTheme="minorHAnsi" w:eastAsiaTheme="minorEastAsia" w:hAnsiTheme="minorHAnsi" w:cstheme="minorBidi"/>
            <w:szCs w:val="22"/>
          </w:rPr>
          <w:tab/>
        </w:r>
        <w:r w:rsidR="005B5130" w:rsidRPr="004A1CC8">
          <w:rPr>
            <w:rStyle w:val="Hyperlink"/>
          </w:rPr>
          <w:t>Consultation and endorsement committees</w:t>
        </w:r>
        <w:r w:rsidR="005B5130">
          <w:rPr>
            <w:webHidden/>
          </w:rPr>
          <w:tab/>
        </w:r>
        <w:r w:rsidR="005B5130">
          <w:rPr>
            <w:webHidden/>
          </w:rPr>
          <w:fldChar w:fldCharType="begin"/>
        </w:r>
        <w:r w:rsidR="005B5130">
          <w:rPr>
            <w:webHidden/>
          </w:rPr>
          <w:instrText xml:space="preserve"> PAGEREF _Toc57217929 \h </w:instrText>
        </w:r>
        <w:r w:rsidR="005B5130">
          <w:rPr>
            <w:webHidden/>
          </w:rPr>
        </w:r>
        <w:r w:rsidR="005B5130">
          <w:rPr>
            <w:webHidden/>
          </w:rPr>
          <w:fldChar w:fldCharType="separate"/>
        </w:r>
        <w:r w:rsidR="005B5130">
          <w:rPr>
            <w:webHidden/>
          </w:rPr>
          <w:t>18</w:t>
        </w:r>
        <w:r w:rsidR="005B5130">
          <w:rPr>
            <w:webHidden/>
          </w:rPr>
          <w:fldChar w:fldCharType="end"/>
        </w:r>
      </w:hyperlink>
    </w:p>
    <w:p w14:paraId="65404E06" w14:textId="3060BD1A" w:rsidR="005B5130" w:rsidRDefault="009C6416" w:rsidP="005B5130">
      <w:pPr>
        <w:pStyle w:val="TOC2"/>
        <w:rPr>
          <w:rFonts w:asciiTheme="minorHAnsi" w:eastAsiaTheme="minorEastAsia" w:hAnsiTheme="minorHAnsi" w:cstheme="minorBidi"/>
          <w:szCs w:val="22"/>
        </w:rPr>
      </w:pPr>
      <w:hyperlink w:anchor="_Toc57217930" w:history="1">
        <w:r w:rsidR="005B5130" w:rsidRPr="004A1CC8">
          <w:rPr>
            <w:rStyle w:val="Hyperlink"/>
          </w:rPr>
          <w:t>4.5</w:t>
        </w:r>
        <w:r w:rsidR="005B5130">
          <w:rPr>
            <w:rFonts w:asciiTheme="minorHAnsi" w:eastAsiaTheme="minorEastAsia" w:hAnsiTheme="minorHAnsi" w:cstheme="minorBidi"/>
            <w:szCs w:val="22"/>
          </w:rPr>
          <w:tab/>
        </w:r>
        <w:r w:rsidR="005B5130" w:rsidRPr="004A1CC8">
          <w:rPr>
            <w:rStyle w:val="Hyperlink"/>
          </w:rPr>
          <w:t>Classification approval by the Pricing Authority</w:t>
        </w:r>
        <w:r w:rsidR="005B5130">
          <w:rPr>
            <w:webHidden/>
          </w:rPr>
          <w:tab/>
        </w:r>
        <w:r w:rsidR="005B5130">
          <w:rPr>
            <w:webHidden/>
          </w:rPr>
          <w:fldChar w:fldCharType="begin"/>
        </w:r>
        <w:r w:rsidR="005B5130">
          <w:rPr>
            <w:webHidden/>
          </w:rPr>
          <w:instrText xml:space="preserve"> PAGEREF _Toc57217930 \h </w:instrText>
        </w:r>
        <w:r w:rsidR="005B5130">
          <w:rPr>
            <w:webHidden/>
          </w:rPr>
        </w:r>
        <w:r w:rsidR="005B5130">
          <w:rPr>
            <w:webHidden/>
          </w:rPr>
          <w:fldChar w:fldCharType="separate"/>
        </w:r>
        <w:r w:rsidR="005B5130">
          <w:rPr>
            <w:webHidden/>
          </w:rPr>
          <w:t>19</w:t>
        </w:r>
        <w:r w:rsidR="005B5130">
          <w:rPr>
            <w:webHidden/>
          </w:rPr>
          <w:fldChar w:fldCharType="end"/>
        </w:r>
      </w:hyperlink>
    </w:p>
    <w:p w14:paraId="6EFE2800" w14:textId="0299A372" w:rsidR="005B5130" w:rsidRDefault="009C6416">
      <w:pPr>
        <w:pStyle w:val="TOC1"/>
        <w:tabs>
          <w:tab w:val="left" w:pos="993"/>
          <w:tab w:val="right" w:leader="dot" w:pos="9435"/>
        </w:tabs>
        <w:rPr>
          <w:rFonts w:asciiTheme="minorHAnsi" w:eastAsiaTheme="minorEastAsia" w:hAnsiTheme="minorHAnsi" w:cstheme="minorBidi"/>
          <w:b w:val="0"/>
          <w:szCs w:val="22"/>
        </w:rPr>
      </w:pPr>
      <w:hyperlink w:anchor="_Toc57217931" w:history="1">
        <w:r w:rsidR="005B5130" w:rsidRPr="004A1CC8">
          <w:rPr>
            <w:rStyle w:val="Hyperlink"/>
            <w:lang w:eastAsia="en-US"/>
          </w:rPr>
          <w:t>5.</w:t>
        </w:r>
        <w:r w:rsidR="005B5130">
          <w:rPr>
            <w:rFonts w:asciiTheme="minorHAnsi" w:eastAsiaTheme="minorEastAsia" w:hAnsiTheme="minorHAnsi" w:cstheme="minorBidi"/>
            <w:b w:val="0"/>
            <w:szCs w:val="22"/>
          </w:rPr>
          <w:tab/>
        </w:r>
        <w:r w:rsidR="005B5130" w:rsidRPr="004A1CC8">
          <w:rPr>
            <w:rStyle w:val="Hyperlink"/>
            <w:lang w:eastAsia="en-US"/>
          </w:rPr>
          <w:t>Development cycle outputs</w:t>
        </w:r>
        <w:r w:rsidR="005B5130">
          <w:rPr>
            <w:webHidden/>
          </w:rPr>
          <w:tab/>
        </w:r>
        <w:r w:rsidR="005B5130">
          <w:rPr>
            <w:webHidden/>
          </w:rPr>
          <w:fldChar w:fldCharType="begin"/>
        </w:r>
        <w:r w:rsidR="005B5130">
          <w:rPr>
            <w:webHidden/>
          </w:rPr>
          <w:instrText xml:space="preserve"> PAGEREF _Toc57217931 \h </w:instrText>
        </w:r>
        <w:r w:rsidR="005B5130">
          <w:rPr>
            <w:webHidden/>
          </w:rPr>
        </w:r>
        <w:r w:rsidR="005B5130">
          <w:rPr>
            <w:webHidden/>
          </w:rPr>
          <w:fldChar w:fldCharType="separate"/>
        </w:r>
        <w:r w:rsidR="005B5130">
          <w:rPr>
            <w:webHidden/>
          </w:rPr>
          <w:t>21</w:t>
        </w:r>
        <w:r w:rsidR="005B5130">
          <w:rPr>
            <w:webHidden/>
          </w:rPr>
          <w:fldChar w:fldCharType="end"/>
        </w:r>
      </w:hyperlink>
    </w:p>
    <w:p w14:paraId="27517074" w14:textId="15FEF483" w:rsidR="005B5130" w:rsidRDefault="009C6416" w:rsidP="005B5130">
      <w:pPr>
        <w:pStyle w:val="TOC2"/>
        <w:rPr>
          <w:rFonts w:asciiTheme="minorHAnsi" w:eastAsiaTheme="minorEastAsia" w:hAnsiTheme="minorHAnsi" w:cstheme="minorBidi"/>
          <w:szCs w:val="22"/>
        </w:rPr>
      </w:pPr>
      <w:hyperlink w:anchor="_Toc57217932" w:history="1">
        <w:r w:rsidR="005B5130" w:rsidRPr="004A1CC8">
          <w:rPr>
            <w:rStyle w:val="Hyperlink"/>
          </w:rPr>
          <w:t>5.1</w:t>
        </w:r>
        <w:r w:rsidR="005B5130">
          <w:rPr>
            <w:rFonts w:asciiTheme="minorHAnsi" w:eastAsiaTheme="minorEastAsia" w:hAnsiTheme="minorHAnsi" w:cstheme="minorBidi"/>
            <w:szCs w:val="22"/>
          </w:rPr>
          <w:tab/>
        </w:r>
        <w:r w:rsidR="005B5130" w:rsidRPr="004A1CC8">
          <w:rPr>
            <w:rStyle w:val="Hyperlink"/>
          </w:rPr>
          <w:t>New edition education</w:t>
        </w:r>
        <w:r w:rsidR="005B5130">
          <w:rPr>
            <w:webHidden/>
          </w:rPr>
          <w:tab/>
        </w:r>
        <w:r w:rsidR="005B5130">
          <w:rPr>
            <w:webHidden/>
          </w:rPr>
          <w:fldChar w:fldCharType="begin"/>
        </w:r>
        <w:r w:rsidR="005B5130">
          <w:rPr>
            <w:webHidden/>
          </w:rPr>
          <w:instrText xml:space="preserve"> PAGEREF _Toc57217932 \h </w:instrText>
        </w:r>
        <w:r w:rsidR="005B5130">
          <w:rPr>
            <w:webHidden/>
          </w:rPr>
        </w:r>
        <w:r w:rsidR="005B5130">
          <w:rPr>
            <w:webHidden/>
          </w:rPr>
          <w:fldChar w:fldCharType="separate"/>
        </w:r>
        <w:r w:rsidR="005B5130">
          <w:rPr>
            <w:webHidden/>
          </w:rPr>
          <w:t>21</w:t>
        </w:r>
        <w:r w:rsidR="005B5130">
          <w:rPr>
            <w:webHidden/>
          </w:rPr>
          <w:fldChar w:fldCharType="end"/>
        </w:r>
      </w:hyperlink>
    </w:p>
    <w:p w14:paraId="7A53CDB5" w14:textId="080D2B52" w:rsidR="005B5130" w:rsidRDefault="009C6416" w:rsidP="005B5130">
      <w:pPr>
        <w:pStyle w:val="TOC2"/>
        <w:rPr>
          <w:rFonts w:asciiTheme="minorHAnsi" w:eastAsiaTheme="minorEastAsia" w:hAnsiTheme="minorHAnsi" w:cstheme="minorBidi"/>
          <w:szCs w:val="22"/>
        </w:rPr>
      </w:pPr>
      <w:hyperlink w:anchor="_Toc57217933" w:history="1">
        <w:r w:rsidR="005B5130" w:rsidRPr="004A1CC8">
          <w:rPr>
            <w:rStyle w:val="Hyperlink"/>
          </w:rPr>
          <w:t>5.2</w:t>
        </w:r>
        <w:r w:rsidR="005B5130">
          <w:rPr>
            <w:rFonts w:asciiTheme="minorHAnsi" w:eastAsiaTheme="minorEastAsia" w:hAnsiTheme="minorHAnsi" w:cstheme="minorBidi"/>
            <w:szCs w:val="22"/>
          </w:rPr>
          <w:tab/>
        </w:r>
        <w:r w:rsidR="005B5130" w:rsidRPr="004A1CC8">
          <w:rPr>
            <w:rStyle w:val="Hyperlink"/>
          </w:rPr>
          <w:t>Classification products</w:t>
        </w:r>
        <w:r w:rsidR="005B5130">
          <w:rPr>
            <w:webHidden/>
          </w:rPr>
          <w:tab/>
        </w:r>
        <w:r w:rsidR="005B5130">
          <w:rPr>
            <w:webHidden/>
          </w:rPr>
          <w:fldChar w:fldCharType="begin"/>
        </w:r>
        <w:r w:rsidR="005B5130">
          <w:rPr>
            <w:webHidden/>
          </w:rPr>
          <w:instrText xml:space="preserve"> PAGEREF _Toc57217933 \h </w:instrText>
        </w:r>
        <w:r w:rsidR="005B5130">
          <w:rPr>
            <w:webHidden/>
          </w:rPr>
        </w:r>
        <w:r w:rsidR="005B5130">
          <w:rPr>
            <w:webHidden/>
          </w:rPr>
          <w:fldChar w:fldCharType="separate"/>
        </w:r>
        <w:r w:rsidR="005B5130">
          <w:rPr>
            <w:webHidden/>
          </w:rPr>
          <w:t>21</w:t>
        </w:r>
        <w:r w:rsidR="005B5130">
          <w:rPr>
            <w:webHidden/>
          </w:rPr>
          <w:fldChar w:fldCharType="end"/>
        </w:r>
      </w:hyperlink>
    </w:p>
    <w:p w14:paraId="7C07821A" w14:textId="7A110CD1" w:rsidR="005B5130" w:rsidRDefault="009C6416" w:rsidP="00F62BB2">
      <w:pPr>
        <w:pStyle w:val="TOC3"/>
        <w:rPr>
          <w:rFonts w:asciiTheme="minorHAnsi" w:eastAsiaTheme="minorEastAsia" w:hAnsiTheme="minorHAnsi" w:cstheme="minorBidi"/>
          <w:noProof/>
          <w:szCs w:val="22"/>
        </w:rPr>
      </w:pPr>
      <w:hyperlink w:anchor="_Toc57217934" w:history="1">
        <w:r w:rsidR="005B5130" w:rsidRPr="004A1CC8">
          <w:rPr>
            <w:rStyle w:val="Hyperlink"/>
            <w:noProof/>
          </w:rPr>
          <w:t>5.2.1</w:t>
        </w:r>
        <w:r w:rsidR="005B5130">
          <w:rPr>
            <w:rFonts w:asciiTheme="minorHAnsi" w:eastAsiaTheme="minorEastAsia" w:hAnsiTheme="minorHAnsi" w:cstheme="minorBidi"/>
            <w:noProof/>
            <w:szCs w:val="22"/>
          </w:rPr>
          <w:tab/>
        </w:r>
        <w:r w:rsidR="005B5130" w:rsidRPr="004A1CC8">
          <w:rPr>
            <w:rStyle w:val="Hyperlink"/>
            <w:noProof/>
          </w:rPr>
          <w:t>ICD-10-AM/ACHI/ACS products</w:t>
        </w:r>
        <w:r w:rsidR="005B5130">
          <w:rPr>
            <w:noProof/>
            <w:webHidden/>
          </w:rPr>
          <w:tab/>
        </w:r>
        <w:r w:rsidR="005B5130">
          <w:rPr>
            <w:noProof/>
            <w:webHidden/>
          </w:rPr>
          <w:fldChar w:fldCharType="begin"/>
        </w:r>
        <w:r w:rsidR="005B5130">
          <w:rPr>
            <w:noProof/>
            <w:webHidden/>
          </w:rPr>
          <w:instrText xml:space="preserve"> PAGEREF _Toc57217934 \h </w:instrText>
        </w:r>
        <w:r w:rsidR="005B5130">
          <w:rPr>
            <w:noProof/>
            <w:webHidden/>
          </w:rPr>
        </w:r>
        <w:r w:rsidR="005B5130">
          <w:rPr>
            <w:noProof/>
            <w:webHidden/>
          </w:rPr>
          <w:fldChar w:fldCharType="separate"/>
        </w:r>
        <w:r w:rsidR="005B5130">
          <w:rPr>
            <w:noProof/>
            <w:webHidden/>
          </w:rPr>
          <w:t>21</w:t>
        </w:r>
        <w:r w:rsidR="005B5130">
          <w:rPr>
            <w:noProof/>
            <w:webHidden/>
          </w:rPr>
          <w:fldChar w:fldCharType="end"/>
        </w:r>
      </w:hyperlink>
    </w:p>
    <w:p w14:paraId="47170845" w14:textId="0AB7DA8D" w:rsidR="005B5130" w:rsidRDefault="009C6416" w:rsidP="00F62BB2">
      <w:pPr>
        <w:pStyle w:val="TOC3"/>
        <w:rPr>
          <w:rFonts w:asciiTheme="minorHAnsi" w:eastAsiaTheme="minorEastAsia" w:hAnsiTheme="minorHAnsi" w:cstheme="minorBidi"/>
          <w:noProof/>
          <w:szCs w:val="22"/>
        </w:rPr>
      </w:pPr>
      <w:hyperlink w:anchor="_Toc57217935" w:history="1">
        <w:r w:rsidR="005B5130" w:rsidRPr="004A1CC8">
          <w:rPr>
            <w:rStyle w:val="Hyperlink"/>
            <w:noProof/>
          </w:rPr>
          <w:t>5.2.2</w:t>
        </w:r>
        <w:r w:rsidR="005B5130">
          <w:rPr>
            <w:rFonts w:asciiTheme="minorHAnsi" w:eastAsiaTheme="minorEastAsia" w:hAnsiTheme="minorHAnsi" w:cstheme="minorBidi"/>
            <w:noProof/>
            <w:szCs w:val="22"/>
          </w:rPr>
          <w:tab/>
        </w:r>
        <w:r w:rsidR="005B5130" w:rsidRPr="004A1CC8">
          <w:rPr>
            <w:rStyle w:val="Hyperlink"/>
            <w:noProof/>
          </w:rPr>
          <w:t>AR-DRG products</w:t>
        </w:r>
        <w:r w:rsidR="005B5130">
          <w:rPr>
            <w:noProof/>
            <w:webHidden/>
          </w:rPr>
          <w:tab/>
        </w:r>
        <w:r w:rsidR="005B5130">
          <w:rPr>
            <w:noProof/>
            <w:webHidden/>
          </w:rPr>
          <w:fldChar w:fldCharType="begin"/>
        </w:r>
        <w:r w:rsidR="005B5130">
          <w:rPr>
            <w:noProof/>
            <w:webHidden/>
          </w:rPr>
          <w:instrText xml:space="preserve"> PAGEREF _Toc57217935 \h </w:instrText>
        </w:r>
        <w:r w:rsidR="005B5130">
          <w:rPr>
            <w:noProof/>
            <w:webHidden/>
          </w:rPr>
        </w:r>
        <w:r w:rsidR="005B5130">
          <w:rPr>
            <w:noProof/>
            <w:webHidden/>
          </w:rPr>
          <w:fldChar w:fldCharType="separate"/>
        </w:r>
        <w:r w:rsidR="005B5130">
          <w:rPr>
            <w:noProof/>
            <w:webHidden/>
          </w:rPr>
          <w:t>22</w:t>
        </w:r>
        <w:r w:rsidR="005B5130">
          <w:rPr>
            <w:noProof/>
            <w:webHidden/>
          </w:rPr>
          <w:fldChar w:fldCharType="end"/>
        </w:r>
      </w:hyperlink>
    </w:p>
    <w:p w14:paraId="5C559691" w14:textId="0BF127F3" w:rsidR="00443B5F" w:rsidRDefault="002175EF" w:rsidP="00B1453F">
      <w:pPr>
        <w:rPr>
          <w:noProof/>
          <w:szCs w:val="22"/>
        </w:rPr>
      </w:pPr>
      <w:r>
        <w:rPr>
          <w:noProof/>
          <w:szCs w:val="22"/>
        </w:rPr>
        <w:fldChar w:fldCharType="end"/>
      </w:r>
    </w:p>
    <w:p w14:paraId="03898318" w14:textId="696644C4" w:rsidR="00026E99" w:rsidRPr="00B1453F" w:rsidRDefault="002D0751" w:rsidP="009578A4">
      <w:pPr>
        <w:pStyle w:val="Heading1"/>
        <w:numPr>
          <w:ilvl w:val="0"/>
          <w:numId w:val="0"/>
        </w:numPr>
        <w:rPr>
          <w:noProof/>
        </w:rPr>
      </w:pPr>
      <w:bookmarkStart w:id="3" w:name="_Toc347693231"/>
      <w:bookmarkStart w:id="4" w:name="_Toc57217907"/>
      <w:bookmarkStart w:id="5" w:name="_Toc482794050"/>
      <w:bookmarkStart w:id="6" w:name="_Toc347821118"/>
      <w:bookmarkStart w:id="7" w:name="_Toc412213498"/>
      <w:bookmarkEnd w:id="3"/>
      <w:r>
        <w:lastRenderedPageBreak/>
        <w:t>A</w:t>
      </w:r>
      <w:r w:rsidR="00026E99" w:rsidRPr="00B1453F">
        <w:t>bbreviations</w:t>
      </w:r>
      <w:bookmarkEnd w:id="4"/>
    </w:p>
    <w:tbl>
      <w:tblPr>
        <w:tblW w:w="9498" w:type="dxa"/>
        <w:tblLook w:val="01E0" w:firstRow="1" w:lastRow="1" w:firstColumn="1" w:lastColumn="1" w:noHBand="0" w:noVBand="0"/>
        <w:tblDescription w:val="list of acronyms and abbreviations which appear in the Dispute Resolution Framework, version 2.0."/>
      </w:tblPr>
      <w:tblGrid>
        <w:gridCol w:w="2835"/>
        <w:gridCol w:w="6663"/>
      </w:tblGrid>
      <w:tr w:rsidR="00026E99" w:rsidRPr="008646D6" w14:paraId="28E60FC8" w14:textId="77777777" w:rsidTr="00065A1C">
        <w:trPr>
          <w:trHeight w:val="397"/>
        </w:trPr>
        <w:tc>
          <w:tcPr>
            <w:tcW w:w="2835" w:type="dxa"/>
            <w:vAlign w:val="center"/>
          </w:tcPr>
          <w:p w14:paraId="4D76F075"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ABF</w:t>
            </w:r>
          </w:p>
        </w:tc>
        <w:tc>
          <w:tcPr>
            <w:tcW w:w="6663" w:type="dxa"/>
            <w:vAlign w:val="center"/>
          </w:tcPr>
          <w:p w14:paraId="66F38FF1" w14:textId="77777777" w:rsidR="00026E99" w:rsidRPr="0008760F" w:rsidRDefault="00026E99" w:rsidP="00065A1C">
            <w:pPr>
              <w:spacing w:after="0"/>
              <w:ind w:left="171" w:firstLine="0"/>
            </w:pPr>
            <w:r>
              <w:t>Activity based funding</w:t>
            </w:r>
          </w:p>
        </w:tc>
      </w:tr>
      <w:tr w:rsidR="00026E99" w:rsidRPr="008646D6" w14:paraId="0FF544BD" w14:textId="77777777" w:rsidTr="00065A1C">
        <w:trPr>
          <w:trHeight w:val="397"/>
        </w:trPr>
        <w:tc>
          <w:tcPr>
            <w:tcW w:w="2835" w:type="dxa"/>
            <w:vAlign w:val="center"/>
          </w:tcPr>
          <w:p w14:paraId="1CF82F78"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ACE</w:t>
            </w:r>
          </w:p>
        </w:tc>
        <w:tc>
          <w:tcPr>
            <w:tcW w:w="6663" w:type="dxa"/>
            <w:vAlign w:val="center"/>
          </w:tcPr>
          <w:p w14:paraId="7841D0D4" w14:textId="77777777" w:rsidR="00026E99" w:rsidRDefault="00026E99" w:rsidP="00065A1C">
            <w:pPr>
              <w:spacing w:after="0"/>
              <w:ind w:left="171" w:firstLine="0"/>
              <w:rPr>
                <w:rFonts w:cs="Arial"/>
                <w:szCs w:val="22"/>
              </w:rPr>
            </w:pPr>
            <w:r>
              <w:rPr>
                <w:rFonts w:cs="Arial"/>
                <w:szCs w:val="22"/>
              </w:rPr>
              <w:t>Australian Classification Exchange</w:t>
            </w:r>
          </w:p>
        </w:tc>
      </w:tr>
      <w:tr w:rsidR="00026E99" w:rsidRPr="008646D6" w14:paraId="466522FA" w14:textId="77777777" w:rsidTr="00065A1C">
        <w:trPr>
          <w:trHeight w:val="397"/>
        </w:trPr>
        <w:tc>
          <w:tcPr>
            <w:tcW w:w="2835" w:type="dxa"/>
            <w:vAlign w:val="center"/>
          </w:tcPr>
          <w:p w14:paraId="4F5AB38B"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ADA</w:t>
            </w:r>
          </w:p>
        </w:tc>
        <w:tc>
          <w:tcPr>
            <w:tcW w:w="6663" w:type="dxa"/>
            <w:vAlign w:val="center"/>
          </w:tcPr>
          <w:p w14:paraId="65A6ADC4" w14:textId="77777777" w:rsidR="00026E99" w:rsidRDefault="00026E99" w:rsidP="00065A1C">
            <w:pPr>
              <w:spacing w:after="0"/>
              <w:ind w:left="171" w:firstLine="0"/>
              <w:rPr>
                <w:rFonts w:cs="Arial"/>
                <w:szCs w:val="22"/>
              </w:rPr>
            </w:pPr>
            <w:r w:rsidRPr="00443B5F">
              <w:t>Australian Schedule of Dental Services and Glossary</w:t>
            </w:r>
          </w:p>
        </w:tc>
      </w:tr>
      <w:tr w:rsidR="00026E99" w:rsidRPr="008646D6" w14:paraId="78AEFBA3" w14:textId="77777777" w:rsidTr="00065A1C">
        <w:trPr>
          <w:trHeight w:val="397"/>
        </w:trPr>
        <w:tc>
          <w:tcPr>
            <w:tcW w:w="2835" w:type="dxa"/>
            <w:vAlign w:val="center"/>
          </w:tcPr>
          <w:p w14:paraId="30FBA471"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ADRG</w:t>
            </w:r>
          </w:p>
        </w:tc>
        <w:tc>
          <w:tcPr>
            <w:tcW w:w="6663" w:type="dxa"/>
            <w:vAlign w:val="center"/>
          </w:tcPr>
          <w:p w14:paraId="40E051CD" w14:textId="77777777" w:rsidR="00026E99" w:rsidRDefault="00026E99" w:rsidP="00065A1C">
            <w:pPr>
              <w:spacing w:after="0"/>
              <w:ind w:left="171" w:firstLine="0"/>
              <w:rPr>
                <w:rFonts w:cs="Arial"/>
                <w:szCs w:val="22"/>
              </w:rPr>
            </w:pPr>
            <w:r>
              <w:rPr>
                <w:rFonts w:cs="Arial"/>
                <w:szCs w:val="22"/>
              </w:rPr>
              <w:t>Adjacent Diagnosis Related Groups</w:t>
            </w:r>
          </w:p>
        </w:tc>
      </w:tr>
      <w:tr w:rsidR="00026E99" w:rsidRPr="008646D6" w14:paraId="76663E2B" w14:textId="77777777" w:rsidTr="00065A1C">
        <w:trPr>
          <w:trHeight w:val="397"/>
        </w:trPr>
        <w:tc>
          <w:tcPr>
            <w:tcW w:w="2835" w:type="dxa"/>
            <w:vAlign w:val="center"/>
          </w:tcPr>
          <w:p w14:paraId="6BF89812"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APC NMDS</w:t>
            </w:r>
          </w:p>
        </w:tc>
        <w:tc>
          <w:tcPr>
            <w:tcW w:w="6663" w:type="dxa"/>
            <w:vAlign w:val="center"/>
          </w:tcPr>
          <w:p w14:paraId="3AEECE1F" w14:textId="77777777" w:rsidR="00026E99" w:rsidRDefault="00026E99" w:rsidP="00065A1C">
            <w:pPr>
              <w:spacing w:after="0"/>
              <w:ind w:left="171" w:firstLine="0"/>
              <w:rPr>
                <w:rFonts w:cs="Arial"/>
                <w:szCs w:val="22"/>
              </w:rPr>
            </w:pPr>
            <w:r w:rsidRPr="001974B5">
              <w:rPr>
                <w:rFonts w:cs="Arial"/>
              </w:rPr>
              <w:t>Admitted Patient Care N</w:t>
            </w:r>
            <w:r>
              <w:rPr>
                <w:rFonts w:cs="Arial"/>
              </w:rPr>
              <w:t xml:space="preserve">ational </w:t>
            </w:r>
            <w:r w:rsidRPr="001974B5">
              <w:rPr>
                <w:rFonts w:cs="Arial"/>
              </w:rPr>
              <w:t>M</w:t>
            </w:r>
            <w:r>
              <w:rPr>
                <w:rFonts w:cs="Arial"/>
              </w:rPr>
              <w:t xml:space="preserve">inimum </w:t>
            </w:r>
            <w:r w:rsidRPr="001974B5">
              <w:rPr>
                <w:rFonts w:cs="Arial"/>
              </w:rPr>
              <w:t>D</w:t>
            </w:r>
            <w:r>
              <w:rPr>
                <w:rFonts w:cs="Arial"/>
              </w:rPr>
              <w:t>ata Set</w:t>
            </w:r>
          </w:p>
        </w:tc>
      </w:tr>
      <w:tr w:rsidR="00026E99" w:rsidRPr="008646D6" w14:paraId="03DF5711" w14:textId="77777777" w:rsidTr="00065A1C">
        <w:trPr>
          <w:trHeight w:val="397"/>
        </w:trPr>
        <w:tc>
          <w:tcPr>
            <w:tcW w:w="2835" w:type="dxa"/>
            <w:vAlign w:val="center"/>
          </w:tcPr>
          <w:p w14:paraId="4B6BFFB1" w14:textId="6FAD0DBD" w:rsidR="00026E99" w:rsidRPr="001D3D49" w:rsidRDefault="00026E99" w:rsidP="00065A1C">
            <w:pPr>
              <w:adjustRightInd w:val="0"/>
              <w:snapToGrid w:val="0"/>
              <w:spacing w:after="0" w:line="264" w:lineRule="auto"/>
              <w:ind w:left="171" w:firstLine="0"/>
              <w:rPr>
                <w:rFonts w:cs="Arial"/>
                <w:b/>
              </w:rPr>
            </w:pPr>
            <w:r w:rsidRPr="001D3D49">
              <w:rPr>
                <w:rFonts w:cs="Arial"/>
                <w:b/>
              </w:rPr>
              <w:t>AR-DRG</w:t>
            </w:r>
            <w:r w:rsidR="00D4618F">
              <w:rPr>
                <w:rFonts w:cs="Arial"/>
                <w:b/>
              </w:rPr>
              <w:t>s</w:t>
            </w:r>
          </w:p>
        </w:tc>
        <w:tc>
          <w:tcPr>
            <w:tcW w:w="6663" w:type="dxa"/>
            <w:vAlign w:val="center"/>
          </w:tcPr>
          <w:p w14:paraId="093CFDC0" w14:textId="77777777" w:rsidR="00026E99" w:rsidRPr="0008760F" w:rsidRDefault="00026E99" w:rsidP="00065A1C">
            <w:pPr>
              <w:spacing w:after="0"/>
              <w:ind w:left="171" w:firstLine="0"/>
            </w:pPr>
            <w:r w:rsidRPr="0008760F">
              <w:t>Australian Refined Diagnosis Related Groups</w:t>
            </w:r>
          </w:p>
        </w:tc>
      </w:tr>
      <w:tr w:rsidR="00026E99" w:rsidRPr="008646D6" w14:paraId="30AAC886" w14:textId="77777777" w:rsidTr="00065A1C">
        <w:trPr>
          <w:trHeight w:val="397"/>
        </w:trPr>
        <w:tc>
          <w:tcPr>
            <w:tcW w:w="2835" w:type="dxa"/>
            <w:vAlign w:val="center"/>
          </w:tcPr>
          <w:p w14:paraId="2A1BD003"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CCAG</w:t>
            </w:r>
          </w:p>
        </w:tc>
        <w:tc>
          <w:tcPr>
            <w:tcW w:w="6663" w:type="dxa"/>
            <w:vAlign w:val="center"/>
          </w:tcPr>
          <w:p w14:paraId="0807DCB5" w14:textId="77777777" w:rsidR="00026E99" w:rsidRPr="0008760F" w:rsidRDefault="00026E99" w:rsidP="00065A1C">
            <w:pPr>
              <w:spacing w:after="0"/>
              <w:ind w:left="171" w:firstLine="0"/>
            </w:pPr>
            <w:r w:rsidRPr="0008760F">
              <w:t>Classifications Clinical Advisory Group</w:t>
            </w:r>
          </w:p>
        </w:tc>
      </w:tr>
      <w:tr w:rsidR="00026E99" w:rsidRPr="008646D6" w14:paraId="2980E8E6" w14:textId="77777777" w:rsidTr="00065A1C">
        <w:trPr>
          <w:trHeight w:val="397"/>
        </w:trPr>
        <w:tc>
          <w:tcPr>
            <w:tcW w:w="2835" w:type="dxa"/>
            <w:vAlign w:val="center"/>
          </w:tcPr>
          <w:p w14:paraId="22DB7C12"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CHADx</w:t>
            </w:r>
          </w:p>
        </w:tc>
        <w:tc>
          <w:tcPr>
            <w:tcW w:w="6663" w:type="dxa"/>
            <w:vAlign w:val="center"/>
          </w:tcPr>
          <w:p w14:paraId="59338BA4" w14:textId="77777777" w:rsidR="00026E99" w:rsidRPr="0008760F" w:rsidRDefault="00026E99" w:rsidP="00065A1C">
            <w:pPr>
              <w:spacing w:after="0"/>
              <w:ind w:left="171" w:firstLine="0"/>
            </w:pPr>
            <w:r w:rsidRPr="00167025">
              <w:t>Classification of Hospital Acquired Diagnoses</w:t>
            </w:r>
          </w:p>
        </w:tc>
      </w:tr>
      <w:tr w:rsidR="00026E99" w:rsidRPr="008646D6" w14:paraId="2393B829" w14:textId="77777777" w:rsidTr="00065A1C">
        <w:trPr>
          <w:trHeight w:val="397"/>
        </w:trPr>
        <w:tc>
          <w:tcPr>
            <w:tcW w:w="2835" w:type="dxa"/>
            <w:vAlign w:val="center"/>
          </w:tcPr>
          <w:p w14:paraId="51737C9F"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ECC</w:t>
            </w:r>
          </w:p>
        </w:tc>
        <w:tc>
          <w:tcPr>
            <w:tcW w:w="6663" w:type="dxa"/>
            <w:vAlign w:val="center"/>
          </w:tcPr>
          <w:p w14:paraId="5680BB06" w14:textId="77777777" w:rsidR="00026E99" w:rsidRDefault="00026E99" w:rsidP="00065A1C">
            <w:pPr>
              <w:spacing w:after="0"/>
              <w:ind w:left="171" w:firstLine="0"/>
            </w:pPr>
            <w:r>
              <w:t xml:space="preserve">Episode Clinical Complexity </w:t>
            </w:r>
          </w:p>
        </w:tc>
      </w:tr>
      <w:tr w:rsidR="00026E99" w:rsidRPr="008646D6" w14:paraId="7848C782" w14:textId="77777777" w:rsidTr="00065A1C">
        <w:trPr>
          <w:trHeight w:val="397"/>
        </w:trPr>
        <w:tc>
          <w:tcPr>
            <w:tcW w:w="2835" w:type="dxa"/>
            <w:vAlign w:val="center"/>
          </w:tcPr>
          <w:p w14:paraId="750CD4B5" w14:textId="77777777" w:rsidR="00026E99" w:rsidRPr="001D3D49" w:rsidRDefault="00026E99" w:rsidP="00065A1C">
            <w:pPr>
              <w:adjustRightInd w:val="0"/>
              <w:snapToGrid w:val="0"/>
              <w:spacing w:after="0" w:line="264" w:lineRule="auto"/>
              <w:ind w:left="171" w:firstLine="0"/>
              <w:rPr>
                <w:rFonts w:cs="Arial"/>
                <w:b/>
              </w:rPr>
            </w:pPr>
            <w:r>
              <w:rPr>
                <w:rFonts w:cs="Arial"/>
                <w:b/>
              </w:rPr>
              <w:t>ECCS</w:t>
            </w:r>
          </w:p>
        </w:tc>
        <w:tc>
          <w:tcPr>
            <w:tcW w:w="6663" w:type="dxa"/>
            <w:vAlign w:val="center"/>
          </w:tcPr>
          <w:p w14:paraId="08491F77" w14:textId="77777777" w:rsidR="00026E99" w:rsidRDefault="00026E99" w:rsidP="00065A1C">
            <w:pPr>
              <w:spacing w:after="0"/>
              <w:ind w:left="171" w:firstLine="0"/>
            </w:pPr>
            <w:r>
              <w:t>Episode Clinical Complexity Score</w:t>
            </w:r>
          </w:p>
        </w:tc>
      </w:tr>
      <w:tr w:rsidR="00026E99" w:rsidRPr="008646D6" w14:paraId="3841D286" w14:textId="77777777" w:rsidTr="00065A1C">
        <w:trPr>
          <w:trHeight w:val="397"/>
        </w:trPr>
        <w:tc>
          <w:tcPr>
            <w:tcW w:w="2835" w:type="dxa"/>
            <w:vAlign w:val="center"/>
          </w:tcPr>
          <w:p w14:paraId="1B1AB7AC"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ECL</w:t>
            </w:r>
          </w:p>
        </w:tc>
        <w:tc>
          <w:tcPr>
            <w:tcW w:w="6663" w:type="dxa"/>
            <w:vAlign w:val="center"/>
          </w:tcPr>
          <w:p w14:paraId="6B04F542" w14:textId="77777777" w:rsidR="00026E99" w:rsidRDefault="00026E99" w:rsidP="00065A1C">
            <w:pPr>
              <w:spacing w:after="0"/>
              <w:ind w:left="171" w:firstLine="0"/>
            </w:pPr>
            <w:r>
              <w:t>Electronic code list</w:t>
            </w:r>
          </w:p>
        </w:tc>
      </w:tr>
      <w:tr w:rsidR="00026E99" w:rsidRPr="008646D6" w14:paraId="1EBF76CB" w14:textId="77777777" w:rsidTr="00065A1C">
        <w:trPr>
          <w:trHeight w:val="397"/>
        </w:trPr>
        <w:tc>
          <w:tcPr>
            <w:tcW w:w="2835" w:type="dxa"/>
            <w:vAlign w:val="center"/>
          </w:tcPr>
          <w:p w14:paraId="503627BC"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DCL</w:t>
            </w:r>
          </w:p>
        </w:tc>
        <w:tc>
          <w:tcPr>
            <w:tcW w:w="6663" w:type="dxa"/>
            <w:vAlign w:val="center"/>
          </w:tcPr>
          <w:p w14:paraId="489F34F5" w14:textId="77777777" w:rsidR="00026E99" w:rsidRDefault="00026E99" w:rsidP="00065A1C">
            <w:pPr>
              <w:spacing w:after="0"/>
              <w:ind w:left="171" w:firstLine="0"/>
            </w:pPr>
            <w:r w:rsidRPr="00212E8D">
              <w:t>Diagnosis Complexity Levels</w:t>
            </w:r>
          </w:p>
        </w:tc>
      </w:tr>
      <w:tr w:rsidR="00026E99" w:rsidRPr="008646D6" w14:paraId="46FB6917" w14:textId="77777777" w:rsidTr="00065A1C">
        <w:trPr>
          <w:trHeight w:val="397"/>
        </w:trPr>
        <w:tc>
          <w:tcPr>
            <w:tcW w:w="2835" w:type="dxa"/>
            <w:vAlign w:val="center"/>
          </w:tcPr>
          <w:p w14:paraId="323D10C7"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DRG</w:t>
            </w:r>
          </w:p>
        </w:tc>
        <w:tc>
          <w:tcPr>
            <w:tcW w:w="6663" w:type="dxa"/>
            <w:vAlign w:val="center"/>
          </w:tcPr>
          <w:p w14:paraId="6BB9839F" w14:textId="77777777" w:rsidR="00026E99" w:rsidRPr="00212E8D" w:rsidRDefault="00026E99" w:rsidP="00065A1C">
            <w:pPr>
              <w:spacing w:after="0"/>
              <w:ind w:left="171" w:firstLine="0"/>
            </w:pPr>
            <w:r>
              <w:t>Diagnosis Related Group</w:t>
            </w:r>
          </w:p>
        </w:tc>
      </w:tr>
      <w:tr w:rsidR="00026E99" w:rsidRPr="008646D6" w14:paraId="6C554922" w14:textId="77777777" w:rsidTr="00065A1C">
        <w:trPr>
          <w:trHeight w:val="397"/>
        </w:trPr>
        <w:tc>
          <w:tcPr>
            <w:tcW w:w="2835" w:type="dxa"/>
            <w:vAlign w:val="center"/>
          </w:tcPr>
          <w:p w14:paraId="35FB7AC9"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DTG</w:t>
            </w:r>
          </w:p>
        </w:tc>
        <w:tc>
          <w:tcPr>
            <w:tcW w:w="6663" w:type="dxa"/>
            <w:vAlign w:val="center"/>
          </w:tcPr>
          <w:p w14:paraId="0BA24C49" w14:textId="77777777" w:rsidR="00026E99" w:rsidRDefault="00026E99" w:rsidP="00065A1C">
            <w:pPr>
              <w:spacing w:after="0"/>
              <w:ind w:left="171" w:firstLine="0"/>
            </w:pPr>
            <w:r>
              <w:t>Diagnosis Related</w:t>
            </w:r>
            <w:r w:rsidRPr="0008760F">
              <w:t xml:space="preserve"> </w:t>
            </w:r>
            <w:r>
              <w:t xml:space="preserve">Groups </w:t>
            </w:r>
            <w:r w:rsidRPr="0008760F">
              <w:t>Technical Group</w:t>
            </w:r>
          </w:p>
        </w:tc>
      </w:tr>
      <w:tr w:rsidR="00026E99" w:rsidRPr="008646D6" w14:paraId="5361EC51" w14:textId="77777777" w:rsidTr="00065A1C">
        <w:trPr>
          <w:trHeight w:val="397"/>
        </w:trPr>
        <w:tc>
          <w:tcPr>
            <w:tcW w:w="2835" w:type="dxa"/>
            <w:vAlign w:val="center"/>
          </w:tcPr>
          <w:p w14:paraId="1EE39B88"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HAC</w:t>
            </w:r>
          </w:p>
        </w:tc>
        <w:tc>
          <w:tcPr>
            <w:tcW w:w="6663" w:type="dxa"/>
            <w:vAlign w:val="center"/>
          </w:tcPr>
          <w:p w14:paraId="1CD285C1" w14:textId="77777777" w:rsidR="00026E99" w:rsidRDefault="00026E99" w:rsidP="00065A1C">
            <w:pPr>
              <w:spacing w:after="0"/>
              <w:ind w:left="171" w:firstLine="0"/>
            </w:pPr>
            <w:r w:rsidRPr="00167025">
              <w:t>Hospital Acquired Complications</w:t>
            </w:r>
          </w:p>
        </w:tc>
      </w:tr>
      <w:tr w:rsidR="00026E99" w:rsidRPr="008646D6" w14:paraId="1F840AFE" w14:textId="77777777" w:rsidTr="00065A1C">
        <w:trPr>
          <w:trHeight w:val="593"/>
        </w:trPr>
        <w:tc>
          <w:tcPr>
            <w:tcW w:w="2835" w:type="dxa"/>
            <w:vAlign w:val="center"/>
          </w:tcPr>
          <w:p w14:paraId="6EB3C9E5"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ICD-10</w:t>
            </w:r>
          </w:p>
        </w:tc>
        <w:tc>
          <w:tcPr>
            <w:tcW w:w="6663" w:type="dxa"/>
            <w:vAlign w:val="center"/>
          </w:tcPr>
          <w:p w14:paraId="02555AAB" w14:textId="77777777" w:rsidR="00026E99" w:rsidRDefault="00026E99" w:rsidP="00065A1C">
            <w:pPr>
              <w:spacing w:after="0"/>
              <w:ind w:left="171" w:firstLine="0"/>
            </w:pPr>
            <w:r w:rsidRPr="0008760F">
              <w:t>International Statistical Classification of Diseases and Related Health Problems, Tenth Revision</w:t>
            </w:r>
          </w:p>
        </w:tc>
      </w:tr>
      <w:tr w:rsidR="00026E99" w:rsidRPr="008646D6" w14:paraId="5224E67C" w14:textId="77777777" w:rsidTr="00065A1C">
        <w:trPr>
          <w:trHeight w:val="1140"/>
        </w:trPr>
        <w:tc>
          <w:tcPr>
            <w:tcW w:w="2835" w:type="dxa"/>
          </w:tcPr>
          <w:p w14:paraId="27A686F2"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ICD-10-AM/ACHI/ACS</w:t>
            </w:r>
          </w:p>
        </w:tc>
        <w:tc>
          <w:tcPr>
            <w:tcW w:w="6663" w:type="dxa"/>
          </w:tcPr>
          <w:p w14:paraId="3A93C622" w14:textId="6011B875" w:rsidR="00026E99" w:rsidRPr="0008760F" w:rsidRDefault="00026E99" w:rsidP="00A7052D">
            <w:pPr>
              <w:spacing w:after="0"/>
              <w:ind w:left="171" w:firstLine="0"/>
            </w:pPr>
            <w:r w:rsidRPr="0008760F">
              <w:t>International Statistical Classification of Diseases and Related Health Problems, Tenth Revision, Aus</w:t>
            </w:r>
            <w:r>
              <w:t xml:space="preserve">tralian Modification </w:t>
            </w:r>
            <w:r w:rsidR="00A7052D">
              <w:br/>
            </w:r>
            <w:r>
              <w:t>(ICD-10-AM)</w:t>
            </w:r>
            <w:r w:rsidRPr="0008760F">
              <w:t>/Australian Classificatio</w:t>
            </w:r>
            <w:r>
              <w:t>n of Health Interventions</w:t>
            </w:r>
            <w:r w:rsidRPr="0008760F">
              <w:t xml:space="preserve"> </w:t>
            </w:r>
            <w:r>
              <w:t>(ACHI)</w:t>
            </w:r>
            <w:r w:rsidRPr="0008760F">
              <w:t>/A</w:t>
            </w:r>
            <w:r>
              <w:t>ustralian Coding Standards (ACS)</w:t>
            </w:r>
          </w:p>
        </w:tc>
      </w:tr>
      <w:tr w:rsidR="00026E99" w:rsidRPr="008646D6" w14:paraId="697935AA" w14:textId="77777777" w:rsidTr="00065A1C">
        <w:trPr>
          <w:trHeight w:val="397"/>
        </w:trPr>
        <w:tc>
          <w:tcPr>
            <w:tcW w:w="2835" w:type="dxa"/>
            <w:vAlign w:val="center"/>
          </w:tcPr>
          <w:p w14:paraId="6CAAFE9B"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ICD-11</w:t>
            </w:r>
          </w:p>
        </w:tc>
        <w:tc>
          <w:tcPr>
            <w:tcW w:w="6663" w:type="dxa"/>
            <w:vAlign w:val="center"/>
          </w:tcPr>
          <w:p w14:paraId="76F67F29" w14:textId="070B53F9" w:rsidR="00026E99" w:rsidRPr="0008760F" w:rsidRDefault="0007728A" w:rsidP="00065A1C">
            <w:pPr>
              <w:spacing w:after="0"/>
              <w:ind w:left="171" w:firstLine="0"/>
            </w:pPr>
            <w:r w:rsidRPr="0007728A">
              <w:t>International Classification of Diseases</w:t>
            </w:r>
            <w:r>
              <w:t>,</w:t>
            </w:r>
            <w:r w:rsidRPr="0007728A">
              <w:t xml:space="preserve"> </w:t>
            </w:r>
            <w:r w:rsidR="00026E99">
              <w:t>Eleventh Revision</w:t>
            </w:r>
          </w:p>
        </w:tc>
      </w:tr>
      <w:tr w:rsidR="00026E99" w:rsidRPr="008646D6" w14:paraId="016B841A" w14:textId="77777777" w:rsidTr="00065A1C">
        <w:trPr>
          <w:trHeight w:val="397"/>
        </w:trPr>
        <w:tc>
          <w:tcPr>
            <w:tcW w:w="2835" w:type="dxa"/>
            <w:vAlign w:val="center"/>
          </w:tcPr>
          <w:p w14:paraId="6A0C98A4"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ICD-</w:t>
            </w:r>
            <w:r>
              <w:rPr>
                <w:rFonts w:cs="Arial"/>
                <w:b/>
              </w:rPr>
              <w:t>O</w:t>
            </w:r>
          </w:p>
        </w:tc>
        <w:tc>
          <w:tcPr>
            <w:tcW w:w="6663" w:type="dxa"/>
            <w:vAlign w:val="center"/>
          </w:tcPr>
          <w:p w14:paraId="0048BC46" w14:textId="383B588B" w:rsidR="00026E99" w:rsidRPr="0008760F" w:rsidRDefault="00026E99" w:rsidP="0007728A">
            <w:pPr>
              <w:spacing w:after="0"/>
              <w:ind w:left="171" w:firstLine="0"/>
            </w:pPr>
            <w:r>
              <w:t>International Classification of Disease</w:t>
            </w:r>
            <w:r w:rsidR="00A7052D">
              <w:t>s</w:t>
            </w:r>
            <w:r>
              <w:t xml:space="preserve"> </w:t>
            </w:r>
            <w:r w:rsidR="00A7052D">
              <w:t xml:space="preserve">for </w:t>
            </w:r>
            <w:r>
              <w:t>Oncology</w:t>
            </w:r>
          </w:p>
        </w:tc>
      </w:tr>
      <w:tr w:rsidR="00026E99" w:rsidRPr="008646D6" w14:paraId="68D96849" w14:textId="77777777" w:rsidTr="00065A1C">
        <w:trPr>
          <w:trHeight w:val="397"/>
        </w:trPr>
        <w:tc>
          <w:tcPr>
            <w:tcW w:w="2835" w:type="dxa"/>
            <w:vAlign w:val="center"/>
          </w:tcPr>
          <w:p w14:paraId="14B7958B"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ICHI</w:t>
            </w:r>
          </w:p>
        </w:tc>
        <w:tc>
          <w:tcPr>
            <w:tcW w:w="6663" w:type="dxa"/>
            <w:vAlign w:val="center"/>
          </w:tcPr>
          <w:p w14:paraId="61F0AAE8" w14:textId="77777777" w:rsidR="00026E99" w:rsidRDefault="00026E99" w:rsidP="00065A1C">
            <w:pPr>
              <w:spacing w:after="0"/>
              <w:ind w:left="171" w:firstLine="0"/>
            </w:pPr>
            <w:r>
              <w:t>International Classification of Health Interventions</w:t>
            </w:r>
          </w:p>
        </w:tc>
      </w:tr>
      <w:tr w:rsidR="00026E99" w:rsidRPr="008646D6" w14:paraId="4A8F7A75" w14:textId="77777777" w:rsidTr="00065A1C">
        <w:trPr>
          <w:trHeight w:val="397"/>
        </w:trPr>
        <w:tc>
          <w:tcPr>
            <w:tcW w:w="2835" w:type="dxa"/>
            <w:vAlign w:val="center"/>
          </w:tcPr>
          <w:p w14:paraId="7782A8D5"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IHPA</w:t>
            </w:r>
          </w:p>
        </w:tc>
        <w:tc>
          <w:tcPr>
            <w:tcW w:w="6663" w:type="dxa"/>
            <w:vAlign w:val="center"/>
          </w:tcPr>
          <w:p w14:paraId="6A93FE4B" w14:textId="77777777" w:rsidR="00026E99" w:rsidRPr="00016521" w:rsidRDefault="00026E99" w:rsidP="00065A1C">
            <w:pPr>
              <w:spacing w:after="0"/>
              <w:ind w:left="171" w:firstLine="0"/>
            </w:pPr>
            <w:r>
              <w:t>Independent Hospital Pricing Authority</w:t>
            </w:r>
          </w:p>
        </w:tc>
      </w:tr>
      <w:tr w:rsidR="00026E99" w:rsidRPr="008646D6" w14:paraId="19B00C98" w14:textId="77777777" w:rsidTr="00065A1C">
        <w:trPr>
          <w:trHeight w:val="397"/>
        </w:trPr>
        <w:tc>
          <w:tcPr>
            <w:tcW w:w="2835" w:type="dxa"/>
            <w:vAlign w:val="center"/>
          </w:tcPr>
          <w:p w14:paraId="7D59B3F7"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ITG</w:t>
            </w:r>
          </w:p>
        </w:tc>
        <w:tc>
          <w:tcPr>
            <w:tcW w:w="6663" w:type="dxa"/>
            <w:vAlign w:val="center"/>
          </w:tcPr>
          <w:p w14:paraId="755A0649" w14:textId="77777777" w:rsidR="00026E99" w:rsidRDefault="00026E99" w:rsidP="00065A1C">
            <w:pPr>
              <w:spacing w:after="0"/>
              <w:ind w:left="171" w:firstLine="0"/>
            </w:pPr>
            <w:r w:rsidRPr="00776472">
              <w:rPr>
                <w:rFonts w:cs="Arial"/>
              </w:rPr>
              <w:t>Internatio</w:t>
            </w:r>
            <w:r>
              <w:rPr>
                <w:rFonts w:cs="Arial"/>
              </w:rPr>
              <w:t>nal Classification of Diseases</w:t>
            </w:r>
            <w:r w:rsidRPr="0008760F">
              <w:t xml:space="preserve"> Technical Group</w:t>
            </w:r>
          </w:p>
        </w:tc>
      </w:tr>
      <w:tr w:rsidR="00026E99" w:rsidRPr="008646D6" w14:paraId="3D3BF609" w14:textId="77777777" w:rsidTr="00065A1C">
        <w:trPr>
          <w:trHeight w:val="397"/>
        </w:trPr>
        <w:tc>
          <w:tcPr>
            <w:tcW w:w="2835" w:type="dxa"/>
            <w:vAlign w:val="center"/>
          </w:tcPr>
          <w:p w14:paraId="11DFD041"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MBS</w:t>
            </w:r>
          </w:p>
        </w:tc>
        <w:tc>
          <w:tcPr>
            <w:tcW w:w="6663" w:type="dxa"/>
            <w:vAlign w:val="center"/>
          </w:tcPr>
          <w:p w14:paraId="52450775" w14:textId="77777777" w:rsidR="00026E99" w:rsidRPr="00776472" w:rsidRDefault="00026E99" w:rsidP="00065A1C">
            <w:pPr>
              <w:spacing w:after="0"/>
              <w:ind w:left="171" w:firstLine="0"/>
              <w:rPr>
                <w:rFonts w:cs="Arial"/>
              </w:rPr>
            </w:pPr>
            <w:r>
              <w:rPr>
                <w:rFonts w:cs="Arial"/>
                <w:szCs w:val="22"/>
              </w:rPr>
              <w:t>Medicare Benefits Schedule</w:t>
            </w:r>
          </w:p>
        </w:tc>
      </w:tr>
      <w:tr w:rsidR="00026E99" w:rsidRPr="008646D6" w14:paraId="17E1F5D8" w14:textId="77777777" w:rsidTr="00065A1C">
        <w:trPr>
          <w:trHeight w:val="397"/>
        </w:trPr>
        <w:tc>
          <w:tcPr>
            <w:tcW w:w="2835" w:type="dxa"/>
            <w:vAlign w:val="center"/>
          </w:tcPr>
          <w:p w14:paraId="405A8BA4"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MDC</w:t>
            </w:r>
          </w:p>
        </w:tc>
        <w:tc>
          <w:tcPr>
            <w:tcW w:w="6663" w:type="dxa"/>
            <w:vAlign w:val="center"/>
          </w:tcPr>
          <w:p w14:paraId="6CABDA48" w14:textId="77777777" w:rsidR="00026E99" w:rsidRDefault="00026E99" w:rsidP="00065A1C">
            <w:pPr>
              <w:spacing w:after="0"/>
              <w:ind w:left="171" w:firstLine="0"/>
              <w:rPr>
                <w:rFonts w:cs="Arial"/>
                <w:szCs w:val="22"/>
              </w:rPr>
            </w:pPr>
            <w:r>
              <w:rPr>
                <w:rFonts w:cs="Arial"/>
                <w:szCs w:val="22"/>
              </w:rPr>
              <w:t>Major Diagnostic Category</w:t>
            </w:r>
          </w:p>
        </w:tc>
      </w:tr>
      <w:tr w:rsidR="00026E99" w:rsidRPr="008646D6" w14:paraId="0BA3C7C3" w14:textId="77777777" w:rsidTr="00065A1C">
        <w:trPr>
          <w:trHeight w:val="397"/>
        </w:trPr>
        <w:tc>
          <w:tcPr>
            <w:tcW w:w="2835" w:type="dxa"/>
            <w:vAlign w:val="center"/>
          </w:tcPr>
          <w:p w14:paraId="52A11258"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NHDISC</w:t>
            </w:r>
          </w:p>
        </w:tc>
        <w:tc>
          <w:tcPr>
            <w:tcW w:w="6663" w:type="dxa"/>
            <w:vAlign w:val="center"/>
          </w:tcPr>
          <w:p w14:paraId="0849A0A0" w14:textId="77777777" w:rsidR="00026E99" w:rsidRDefault="00026E99" w:rsidP="00065A1C">
            <w:pPr>
              <w:spacing w:after="0"/>
              <w:ind w:left="171" w:firstLine="0"/>
              <w:rPr>
                <w:rFonts w:cs="Arial"/>
                <w:szCs w:val="22"/>
              </w:rPr>
            </w:pPr>
            <w:r>
              <w:rPr>
                <w:rFonts w:cs="Arial"/>
                <w:szCs w:val="22"/>
              </w:rPr>
              <w:t>National Health Data and Information Standards Committee</w:t>
            </w:r>
          </w:p>
        </w:tc>
      </w:tr>
      <w:tr w:rsidR="00026E99" w:rsidRPr="008646D6" w14:paraId="35AE1FCB" w14:textId="77777777" w:rsidTr="00065A1C">
        <w:trPr>
          <w:trHeight w:val="397"/>
        </w:trPr>
        <w:tc>
          <w:tcPr>
            <w:tcW w:w="2835" w:type="dxa"/>
            <w:vAlign w:val="center"/>
          </w:tcPr>
          <w:p w14:paraId="253328B5"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NHRA</w:t>
            </w:r>
          </w:p>
        </w:tc>
        <w:tc>
          <w:tcPr>
            <w:tcW w:w="6663" w:type="dxa"/>
            <w:vAlign w:val="center"/>
          </w:tcPr>
          <w:p w14:paraId="36AD6951" w14:textId="77777777" w:rsidR="00026E99" w:rsidRDefault="00026E99" w:rsidP="00065A1C">
            <w:pPr>
              <w:spacing w:after="0"/>
              <w:ind w:left="171" w:firstLine="0"/>
              <w:rPr>
                <w:rFonts w:cs="Arial"/>
                <w:szCs w:val="22"/>
              </w:rPr>
            </w:pPr>
            <w:r w:rsidRPr="003E4ED8">
              <w:t>National Health Reform Agreement</w:t>
            </w:r>
          </w:p>
        </w:tc>
      </w:tr>
      <w:tr w:rsidR="00026E99" w:rsidRPr="000B36E8" w14:paraId="6E8EB03C" w14:textId="77777777" w:rsidTr="00065A1C">
        <w:trPr>
          <w:trHeight w:val="397"/>
        </w:trPr>
        <w:tc>
          <w:tcPr>
            <w:tcW w:w="2835" w:type="dxa"/>
            <w:vAlign w:val="center"/>
          </w:tcPr>
          <w:p w14:paraId="740680A4" w14:textId="77777777" w:rsidR="00026E99" w:rsidRPr="001D3D49" w:rsidRDefault="00026E99" w:rsidP="00065A1C">
            <w:pPr>
              <w:adjustRightInd w:val="0"/>
              <w:snapToGrid w:val="0"/>
              <w:spacing w:after="0" w:line="264" w:lineRule="auto"/>
              <w:ind w:left="171" w:firstLine="0"/>
              <w:rPr>
                <w:rFonts w:cs="Arial"/>
                <w:b/>
              </w:rPr>
            </w:pPr>
            <w:r w:rsidRPr="001D3D49">
              <w:rPr>
                <w:rFonts w:cs="Arial"/>
                <w:b/>
              </w:rPr>
              <w:t>WHO</w:t>
            </w:r>
          </w:p>
        </w:tc>
        <w:tc>
          <w:tcPr>
            <w:tcW w:w="6663" w:type="dxa"/>
            <w:vAlign w:val="center"/>
          </w:tcPr>
          <w:p w14:paraId="388201E0" w14:textId="77777777" w:rsidR="00026E99" w:rsidRPr="00E45E62" w:rsidRDefault="00026E99" w:rsidP="00065A1C">
            <w:pPr>
              <w:spacing w:after="0"/>
              <w:ind w:left="171" w:firstLine="0"/>
            </w:pPr>
            <w:r>
              <w:t>World Health Organization</w:t>
            </w:r>
          </w:p>
        </w:tc>
      </w:tr>
    </w:tbl>
    <w:p w14:paraId="37E56CAA" w14:textId="7C61E827" w:rsidR="00F003B3" w:rsidRDefault="00F003B3" w:rsidP="009578A4">
      <w:pPr>
        <w:pStyle w:val="Heading1"/>
      </w:pPr>
      <w:bookmarkStart w:id="8" w:name="_Toc57217908"/>
      <w:r>
        <w:lastRenderedPageBreak/>
        <w:t>Purpose</w:t>
      </w:r>
      <w:bookmarkEnd w:id="8"/>
    </w:p>
    <w:p w14:paraId="4ECF7865" w14:textId="4BD7C07A" w:rsidR="00F003B3" w:rsidRDefault="00F003B3" w:rsidP="007C2F8A">
      <w:pPr>
        <w:ind w:left="0" w:firstLine="0"/>
      </w:pPr>
      <w:r>
        <w:t xml:space="preserve">The </w:t>
      </w:r>
      <w:r w:rsidR="00382B1E">
        <w:t>Independent Hospital Pricing Authority (IHPA) undertakes the development of classifications for admitted patient care</w:t>
      </w:r>
      <w:r>
        <w:t>. In Australia, the classification and standards used for admitted patient care include:</w:t>
      </w:r>
    </w:p>
    <w:p w14:paraId="084AA791" w14:textId="346DF0FB" w:rsidR="00F003B3" w:rsidRDefault="00F003B3" w:rsidP="007C2F8A">
      <w:pPr>
        <w:pStyle w:val="ListParagraph"/>
      </w:pPr>
      <w:r>
        <w:t>International Statistical Classification of Diseases and Related Health Problems, Tenth Revision, Australian Modification (ICD-10-AM)</w:t>
      </w:r>
    </w:p>
    <w:p w14:paraId="330B163B" w14:textId="23C66BC1" w:rsidR="00F003B3" w:rsidRDefault="00F003B3" w:rsidP="007C2F8A">
      <w:pPr>
        <w:pStyle w:val="ListParagraph"/>
      </w:pPr>
      <w:r>
        <w:t>Australian Classification of Health Interventions (ACHI)</w:t>
      </w:r>
    </w:p>
    <w:p w14:paraId="4B60A3E2" w14:textId="580744ED" w:rsidR="00F003B3" w:rsidRDefault="00F003B3" w:rsidP="007C2F8A">
      <w:pPr>
        <w:pStyle w:val="ListParagraph"/>
      </w:pPr>
      <w:r>
        <w:t>Australian Coding Standards (ACS)</w:t>
      </w:r>
    </w:p>
    <w:p w14:paraId="30FE1077" w14:textId="6C64974F" w:rsidR="00F003B3" w:rsidRDefault="00F003B3" w:rsidP="007C2F8A">
      <w:pPr>
        <w:pStyle w:val="ListParagraph"/>
      </w:pPr>
      <w:r>
        <w:t>Australian Refined Diagnosis Related Groups (AR-DRG</w:t>
      </w:r>
      <w:r w:rsidR="00D4618F">
        <w:t>s</w:t>
      </w:r>
      <w:r>
        <w:t>).</w:t>
      </w:r>
    </w:p>
    <w:p w14:paraId="68604019" w14:textId="56F94A9A" w:rsidR="004A7CA5" w:rsidRDefault="00F003B3" w:rsidP="007C2F8A">
      <w:pPr>
        <w:ind w:left="0" w:firstLine="0"/>
      </w:pPr>
      <w:r>
        <w:t xml:space="preserve">The </w:t>
      </w:r>
      <w:r w:rsidRPr="00F003B3">
        <w:rPr>
          <w:i/>
        </w:rPr>
        <w:t>Governance framework for the development of the admitted care classifications</w:t>
      </w:r>
      <w:r>
        <w:t xml:space="preserve"> (the Framework) outlines the classification development</w:t>
      </w:r>
      <w:r w:rsidR="003E0B3F">
        <w:t xml:space="preserve"> and approval</w:t>
      </w:r>
      <w:r>
        <w:t xml:space="preserve"> process, the guiding principles and classification products that are the result of the classification development cycle. </w:t>
      </w:r>
    </w:p>
    <w:p w14:paraId="67BA056D" w14:textId="05FC95EF" w:rsidR="004A7CA5" w:rsidRDefault="004A7CA5" w:rsidP="007C2F8A">
      <w:pPr>
        <w:ind w:left="0" w:firstLine="0"/>
      </w:pPr>
      <w:r>
        <w:t xml:space="preserve">The Framework </w:t>
      </w:r>
      <w:r w:rsidR="00382B1E">
        <w:t>is to</w:t>
      </w:r>
      <w:r w:rsidR="00D84679">
        <w:t xml:space="preserve"> be</w:t>
      </w:r>
      <w:r>
        <w:t xml:space="preserve"> updated with each new classification development cycle to ensure it, and the classifications that it governs, remain fit for purpose and relevant to the Australian healthcare system.</w:t>
      </w:r>
    </w:p>
    <w:p w14:paraId="5D996D7B" w14:textId="4E4888FF" w:rsidR="00065A1C" w:rsidRDefault="00065A1C" w:rsidP="007C2F8A">
      <w:pPr>
        <w:ind w:left="0" w:firstLine="0"/>
      </w:pPr>
      <w:r>
        <w:t xml:space="preserve">The governance arrangements outlined in this Framework </w:t>
      </w:r>
      <w:r w:rsidR="00617248">
        <w:t>are applicable</w:t>
      </w:r>
      <w:r>
        <w:t xml:space="preserve"> for the development of:</w:t>
      </w:r>
    </w:p>
    <w:p w14:paraId="425DB676" w14:textId="7E629E80" w:rsidR="00065A1C" w:rsidRDefault="00065A1C" w:rsidP="00A75859">
      <w:pPr>
        <w:pStyle w:val="ListParagraph"/>
        <w:numPr>
          <w:ilvl w:val="0"/>
          <w:numId w:val="18"/>
        </w:numPr>
      </w:pPr>
      <w:r>
        <w:t>ICD-10-AM/ACHI/ACS Twelfth Edition</w:t>
      </w:r>
    </w:p>
    <w:p w14:paraId="28679A19" w14:textId="3065E0AB" w:rsidR="00065A1C" w:rsidRDefault="00065A1C" w:rsidP="00A75859">
      <w:pPr>
        <w:pStyle w:val="ListParagraph"/>
        <w:numPr>
          <w:ilvl w:val="0"/>
          <w:numId w:val="18"/>
        </w:numPr>
      </w:pPr>
      <w:r>
        <w:t>AR-DRG Version 11.0</w:t>
      </w:r>
    </w:p>
    <w:p w14:paraId="68C9E88C" w14:textId="77777777" w:rsidR="00FC0776" w:rsidRDefault="00FC0776" w:rsidP="00B608AF">
      <w:pPr>
        <w:rPr>
          <w:rFonts w:asciiTheme="majorHAnsi" w:hAnsiTheme="majorHAnsi"/>
          <w:b/>
          <w:sz w:val="64"/>
          <w:szCs w:val="44"/>
          <w:lang w:eastAsia="en-US"/>
        </w:rPr>
      </w:pPr>
      <w:r>
        <w:rPr>
          <w:lang w:eastAsia="en-US"/>
        </w:rPr>
        <w:br w:type="page"/>
      </w:r>
    </w:p>
    <w:p w14:paraId="6219A398" w14:textId="6EC5235A" w:rsidR="00FC0776" w:rsidRDefault="00FC0776" w:rsidP="009578A4">
      <w:pPr>
        <w:pStyle w:val="Heading1"/>
        <w:rPr>
          <w:lang w:eastAsia="en-US"/>
        </w:rPr>
      </w:pPr>
      <w:bookmarkStart w:id="9" w:name="_Toc347821111"/>
      <w:bookmarkStart w:id="10" w:name="_Toc347693215"/>
      <w:bookmarkStart w:id="11" w:name="_Toc412213489"/>
      <w:bookmarkStart w:id="12" w:name="_Toc482794042"/>
      <w:bookmarkStart w:id="13" w:name="_Toc57217909"/>
      <w:r w:rsidRPr="004174F3">
        <w:rPr>
          <w:lang w:eastAsia="en-US"/>
        </w:rPr>
        <w:lastRenderedPageBreak/>
        <w:t>Background</w:t>
      </w:r>
      <w:bookmarkEnd w:id="9"/>
      <w:bookmarkEnd w:id="10"/>
      <w:bookmarkEnd w:id="11"/>
      <w:bookmarkEnd w:id="12"/>
      <w:bookmarkEnd w:id="13"/>
      <w:r>
        <w:rPr>
          <w:lang w:eastAsia="en-US"/>
        </w:rPr>
        <w:t xml:space="preserve"> </w:t>
      </w:r>
    </w:p>
    <w:p w14:paraId="62A25AE5" w14:textId="0C021953" w:rsidR="00FC0776" w:rsidRPr="00314E89" w:rsidRDefault="00FC0776" w:rsidP="007C2F8A">
      <w:pPr>
        <w:pStyle w:val="Heading2"/>
        <w:spacing w:before="120"/>
        <w:ind w:left="0" w:firstLine="0"/>
        <w:rPr>
          <w:caps/>
        </w:rPr>
      </w:pPr>
      <w:bookmarkStart w:id="14" w:name="_Toc57217910"/>
      <w:r>
        <w:rPr>
          <w:lang w:eastAsia="en-US"/>
        </w:rPr>
        <w:t>2.</w:t>
      </w:r>
      <w:r w:rsidR="001E3560">
        <w:rPr>
          <w:lang w:eastAsia="en-US"/>
        </w:rPr>
        <w:t>1</w:t>
      </w:r>
      <w:r w:rsidR="00026E99">
        <w:rPr>
          <w:lang w:eastAsia="en-US"/>
        </w:rPr>
        <w:tab/>
      </w:r>
      <w:r>
        <w:rPr>
          <w:lang w:eastAsia="en-US"/>
        </w:rPr>
        <w:t>Admitted care classification systems</w:t>
      </w:r>
      <w:bookmarkEnd w:id="14"/>
    </w:p>
    <w:p w14:paraId="0985FD41" w14:textId="256A55DF" w:rsidR="00FC0776" w:rsidRDefault="00FC0776" w:rsidP="007C2F8A">
      <w:pPr>
        <w:ind w:left="0" w:firstLine="0"/>
        <w:rPr>
          <w:rFonts w:cs="Arial"/>
          <w:szCs w:val="22"/>
        </w:rPr>
      </w:pPr>
      <w:r>
        <w:rPr>
          <w:rFonts w:cs="Arial"/>
          <w:szCs w:val="22"/>
        </w:rPr>
        <w:t>In Australia, the classification</w:t>
      </w:r>
      <w:r w:rsidR="00511EE1">
        <w:rPr>
          <w:rFonts w:cs="Arial"/>
          <w:szCs w:val="22"/>
        </w:rPr>
        <w:t>s</w:t>
      </w:r>
      <w:r>
        <w:rPr>
          <w:rFonts w:cs="Arial"/>
          <w:szCs w:val="22"/>
        </w:rPr>
        <w:t xml:space="preserve"> and standards used for admitted patient care </w:t>
      </w:r>
      <w:r w:rsidR="007D0C42">
        <w:rPr>
          <w:rFonts w:cs="Arial"/>
          <w:szCs w:val="22"/>
        </w:rPr>
        <w:t>are</w:t>
      </w:r>
      <w:r>
        <w:rPr>
          <w:rFonts w:cs="Arial"/>
          <w:szCs w:val="22"/>
        </w:rPr>
        <w:t>:</w:t>
      </w:r>
    </w:p>
    <w:p w14:paraId="323F8406" w14:textId="1230B7AB" w:rsidR="00FC0776" w:rsidRPr="00D519B4" w:rsidRDefault="00680761" w:rsidP="00A75859">
      <w:pPr>
        <w:pStyle w:val="ListParagraph"/>
        <w:numPr>
          <w:ilvl w:val="0"/>
          <w:numId w:val="13"/>
        </w:numPr>
        <w:ind w:left="714" w:hanging="357"/>
      </w:pPr>
      <w:r>
        <w:t xml:space="preserve">ICD-10-AM/ACHI/ACS </w:t>
      </w:r>
      <w:r w:rsidR="007D0C42">
        <w:t>that capture</w:t>
      </w:r>
      <w:r w:rsidR="00511EE1">
        <w:t>s</w:t>
      </w:r>
      <w:r>
        <w:t xml:space="preserve"> clinical activity in the admitted patient setting</w:t>
      </w:r>
    </w:p>
    <w:p w14:paraId="49B89AD8" w14:textId="6C27B638" w:rsidR="00FC0776" w:rsidRDefault="00680761" w:rsidP="00A75859">
      <w:pPr>
        <w:pStyle w:val="ListParagraph"/>
        <w:numPr>
          <w:ilvl w:val="0"/>
          <w:numId w:val="13"/>
        </w:numPr>
        <w:ind w:left="714" w:hanging="357"/>
      </w:pPr>
      <w:r>
        <w:t xml:space="preserve">AR-DRGs </w:t>
      </w:r>
      <w:r w:rsidR="007D0C42">
        <w:t>that</w:t>
      </w:r>
      <w:r>
        <w:t xml:space="preserve"> </w:t>
      </w:r>
      <w:r w:rsidR="00BB61DD">
        <w:t>relat</w:t>
      </w:r>
      <w:r w:rsidR="007D0C42">
        <w:t>e, or group,</w:t>
      </w:r>
      <w:r w:rsidR="00BB61DD">
        <w:t xml:space="preserve"> </w:t>
      </w:r>
      <w:r w:rsidR="00A068EF">
        <w:t>similar</w:t>
      </w:r>
      <w:r w:rsidR="00BB61DD">
        <w:t xml:space="preserve"> </w:t>
      </w:r>
      <w:r w:rsidR="007D0C42">
        <w:t>patient acute admitted</w:t>
      </w:r>
      <w:r w:rsidR="00BB61DD">
        <w:t xml:space="preserve"> </w:t>
      </w:r>
      <w:r w:rsidR="007D0C42">
        <w:t>episodes of care</w:t>
      </w:r>
      <w:r w:rsidR="00BB61DD">
        <w:t xml:space="preserve"> to the </w:t>
      </w:r>
      <w:r w:rsidR="00A068EF">
        <w:t>resources required</w:t>
      </w:r>
      <w:r w:rsidR="007D0C42">
        <w:t xml:space="preserve"> in </w:t>
      </w:r>
      <w:r w:rsidR="00511EE1">
        <w:t>treatment</w:t>
      </w:r>
      <w:r w:rsidR="00A068EF">
        <w:t>.</w:t>
      </w:r>
    </w:p>
    <w:p w14:paraId="0FEABFD7" w14:textId="2D247956" w:rsidR="00925911" w:rsidRDefault="00925911" w:rsidP="00065A1C">
      <w:pPr>
        <w:ind w:left="0" w:firstLine="0"/>
        <w:rPr>
          <w:rFonts w:cs="Arial"/>
          <w:szCs w:val="22"/>
        </w:rPr>
      </w:pPr>
      <w:r>
        <w:rPr>
          <w:rFonts w:cs="Arial"/>
          <w:szCs w:val="22"/>
        </w:rPr>
        <w:t xml:space="preserve">These classifications are interrelated but have different use cases </w:t>
      </w:r>
      <w:r w:rsidR="00382B1E">
        <w:rPr>
          <w:rFonts w:cs="Arial"/>
          <w:szCs w:val="22"/>
        </w:rPr>
        <w:t>as</w:t>
      </w:r>
      <w:r w:rsidR="00E6787E">
        <w:rPr>
          <w:rFonts w:cs="Arial"/>
          <w:szCs w:val="22"/>
        </w:rPr>
        <w:t xml:space="preserve"> </w:t>
      </w:r>
      <w:r>
        <w:rPr>
          <w:rFonts w:cs="Arial"/>
          <w:szCs w:val="22"/>
        </w:rPr>
        <w:t xml:space="preserve">illustrated in </w:t>
      </w:r>
      <w:r w:rsidR="00617248">
        <w:rPr>
          <w:rFonts w:cs="Arial"/>
          <w:szCs w:val="22"/>
        </w:rPr>
        <w:br/>
      </w:r>
      <w:r w:rsidRPr="00925911">
        <w:rPr>
          <w:rFonts w:cs="Arial"/>
          <w:b/>
          <w:szCs w:val="22"/>
        </w:rPr>
        <w:t>Figure 1</w:t>
      </w:r>
      <w:r>
        <w:rPr>
          <w:rFonts w:cs="Arial"/>
          <w:szCs w:val="22"/>
        </w:rPr>
        <w:t>.</w:t>
      </w:r>
    </w:p>
    <w:p w14:paraId="11B9ED28" w14:textId="4D9FB5C4" w:rsidR="00925911" w:rsidRPr="00925911" w:rsidRDefault="00925911" w:rsidP="00617248">
      <w:pPr>
        <w:ind w:left="0" w:firstLine="0"/>
        <w:rPr>
          <w:rFonts w:cs="Arial"/>
          <w:b/>
          <w:color w:val="004200" w:themeColor="accent1"/>
          <w:sz w:val="18"/>
          <w:szCs w:val="22"/>
        </w:rPr>
      </w:pPr>
      <w:r w:rsidRPr="00925911">
        <w:rPr>
          <w:b/>
          <w:color w:val="004200" w:themeColor="accent1"/>
          <w:sz w:val="18"/>
        </w:rPr>
        <w:t>Figure 1. ICD-10-AM/ACHI/ACS</w:t>
      </w:r>
      <w:r>
        <w:rPr>
          <w:b/>
          <w:color w:val="004200" w:themeColor="accent1"/>
          <w:sz w:val="18"/>
        </w:rPr>
        <w:t>,</w:t>
      </w:r>
      <w:r w:rsidRPr="00925911">
        <w:rPr>
          <w:b/>
          <w:color w:val="004200" w:themeColor="accent1"/>
          <w:sz w:val="18"/>
        </w:rPr>
        <w:t xml:space="preserve"> used for admitted patient care</w:t>
      </w:r>
      <w:r>
        <w:rPr>
          <w:b/>
          <w:color w:val="004200" w:themeColor="accent1"/>
          <w:sz w:val="18"/>
        </w:rPr>
        <w:t>,</w:t>
      </w:r>
      <w:r w:rsidRPr="00925911">
        <w:rPr>
          <w:b/>
          <w:color w:val="004200" w:themeColor="accent1"/>
          <w:sz w:val="18"/>
        </w:rPr>
        <w:t xml:space="preserve"> underpins AR-DRGs.</w:t>
      </w:r>
    </w:p>
    <w:p w14:paraId="1751412B" w14:textId="7BED024B" w:rsidR="00925911" w:rsidRDefault="0004165D" w:rsidP="00925911">
      <w:pPr>
        <w:jc w:val="center"/>
        <w:rPr>
          <w:rFonts w:cs="Arial"/>
          <w:szCs w:val="22"/>
        </w:rPr>
      </w:pPr>
      <w:r w:rsidRPr="0004165D">
        <w:rPr>
          <w:noProof/>
        </w:rPr>
        <w:t xml:space="preserve"> </w:t>
      </w:r>
      <w:r>
        <w:rPr>
          <w:noProof/>
        </w:rPr>
        <w:drawing>
          <wp:inline distT="0" distB="0" distL="0" distR="0" wp14:anchorId="278FF642" wp14:editId="7A32B0B4">
            <wp:extent cx="3276600" cy="26937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1805" cy="2698022"/>
                    </a:xfrm>
                    <a:prstGeom prst="rect">
                      <a:avLst/>
                    </a:prstGeom>
                  </pic:spPr>
                </pic:pic>
              </a:graphicData>
            </a:graphic>
          </wp:inline>
        </w:drawing>
      </w:r>
    </w:p>
    <w:p w14:paraId="731AAE53" w14:textId="55EBA1EB" w:rsidR="008056B0" w:rsidRPr="008056B0" w:rsidRDefault="008056B0" w:rsidP="008056B0">
      <w:pPr>
        <w:ind w:right="1507"/>
        <w:jc w:val="right"/>
        <w:rPr>
          <w:rFonts w:cs="Arial"/>
          <w:b/>
          <w:sz w:val="20"/>
          <w:szCs w:val="22"/>
        </w:rPr>
      </w:pPr>
      <w:r w:rsidRPr="008056B0">
        <w:rPr>
          <w:rFonts w:cs="Arial"/>
          <w:b/>
          <w:sz w:val="20"/>
          <w:szCs w:val="22"/>
        </w:rPr>
        <w:t>*</w:t>
      </w:r>
      <w:r w:rsidR="00AB7CED">
        <w:rPr>
          <w:rFonts w:cs="Arial"/>
          <w:b/>
          <w:sz w:val="20"/>
          <w:szCs w:val="22"/>
        </w:rPr>
        <w:t>AR-DRG</w:t>
      </w:r>
      <w:r w:rsidR="00D4618F">
        <w:rPr>
          <w:rFonts w:cs="Arial"/>
          <w:b/>
          <w:sz w:val="20"/>
          <w:szCs w:val="22"/>
        </w:rPr>
        <w:t>s</w:t>
      </w:r>
      <w:r w:rsidR="00AB7CED">
        <w:rPr>
          <w:rFonts w:cs="Arial"/>
          <w:b/>
          <w:sz w:val="20"/>
          <w:szCs w:val="22"/>
        </w:rPr>
        <w:t xml:space="preserve"> used for</w:t>
      </w:r>
      <w:r w:rsidRPr="008056B0">
        <w:rPr>
          <w:rFonts w:cs="Arial"/>
          <w:b/>
          <w:sz w:val="20"/>
          <w:szCs w:val="22"/>
        </w:rPr>
        <w:t xml:space="preserve"> acute care, newb</w:t>
      </w:r>
      <w:r>
        <w:rPr>
          <w:rFonts w:cs="Arial"/>
          <w:b/>
          <w:sz w:val="20"/>
          <w:szCs w:val="22"/>
        </w:rPr>
        <w:t>orn care and mental health care</w:t>
      </w:r>
    </w:p>
    <w:p w14:paraId="200A2AB5" w14:textId="77777777" w:rsidR="00A840A5" w:rsidRDefault="00FC0776" w:rsidP="007C2F8A">
      <w:pPr>
        <w:ind w:left="0" w:firstLine="0"/>
        <w:rPr>
          <w:rFonts w:cs="Arial"/>
          <w:szCs w:val="22"/>
        </w:rPr>
      </w:pPr>
      <w:r>
        <w:rPr>
          <w:rFonts w:cs="Arial"/>
          <w:szCs w:val="22"/>
        </w:rPr>
        <w:t xml:space="preserve">The ICD-10-AM is based on the World Health Organization’s (WHO) </w:t>
      </w:r>
      <w:r w:rsidRPr="00A068EF">
        <w:rPr>
          <w:rFonts w:cs="Arial"/>
          <w:szCs w:val="22"/>
        </w:rPr>
        <w:t>International Statistical Classification of Diseases and Related Health Problems, Tenth Revision</w:t>
      </w:r>
      <w:r>
        <w:rPr>
          <w:rFonts w:cs="Arial"/>
          <w:szCs w:val="22"/>
        </w:rPr>
        <w:t xml:space="preserve"> (ICD-10) and is utilised to classify diseases and other health related problems, while the ACHI classifies procedures and interventions and was originally based on the Medical Benefits Scheme (MBS). </w:t>
      </w:r>
    </w:p>
    <w:p w14:paraId="4A1920F1" w14:textId="14FAD427" w:rsidR="00FC0776" w:rsidRDefault="00FC0776" w:rsidP="007C2F8A">
      <w:pPr>
        <w:ind w:left="0" w:firstLine="0"/>
        <w:rPr>
          <w:rFonts w:cs="Arial"/>
          <w:szCs w:val="22"/>
        </w:rPr>
      </w:pPr>
      <w:r>
        <w:rPr>
          <w:rFonts w:cs="Arial"/>
          <w:szCs w:val="22"/>
        </w:rPr>
        <w:t xml:space="preserve">The ACS are a set of instructions </w:t>
      </w:r>
      <w:r w:rsidR="00382B1E">
        <w:rPr>
          <w:rFonts w:cs="Arial"/>
          <w:szCs w:val="22"/>
        </w:rPr>
        <w:t>that are</w:t>
      </w:r>
      <w:r w:rsidR="002D746B">
        <w:rPr>
          <w:rFonts w:cs="Arial"/>
          <w:szCs w:val="22"/>
        </w:rPr>
        <w:t xml:space="preserve"> applied in assigning</w:t>
      </w:r>
      <w:r>
        <w:rPr>
          <w:rFonts w:cs="Arial"/>
          <w:szCs w:val="22"/>
        </w:rPr>
        <w:t xml:space="preserve"> ICD-10-AM and ACHI</w:t>
      </w:r>
      <w:r w:rsidR="00382B1E">
        <w:rPr>
          <w:rFonts w:cs="Arial"/>
          <w:szCs w:val="22"/>
        </w:rPr>
        <w:t xml:space="preserve"> codes</w:t>
      </w:r>
      <w:r>
        <w:rPr>
          <w:rFonts w:cs="Arial"/>
          <w:szCs w:val="22"/>
        </w:rPr>
        <w:t xml:space="preserve"> to </w:t>
      </w:r>
      <w:r w:rsidR="002D746B">
        <w:rPr>
          <w:rFonts w:cs="Arial"/>
          <w:szCs w:val="22"/>
        </w:rPr>
        <w:t xml:space="preserve">promote consistency in the classification of admitted </w:t>
      </w:r>
      <w:r>
        <w:rPr>
          <w:rFonts w:cs="Arial"/>
          <w:szCs w:val="22"/>
        </w:rPr>
        <w:t xml:space="preserve">episodes of </w:t>
      </w:r>
      <w:r w:rsidR="00BF39BC">
        <w:rPr>
          <w:rFonts w:cs="Arial"/>
          <w:szCs w:val="22"/>
        </w:rPr>
        <w:t>care. C</w:t>
      </w:r>
      <w:r>
        <w:rPr>
          <w:rFonts w:cs="Arial"/>
          <w:szCs w:val="22"/>
        </w:rPr>
        <w:t xml:space="preserve">ollectively known as the ICD-10-AM/ACHI/ACS </w:t>
      </w:r>
      <w:r w:rsidR="00BF39BC">
        <w:rPr>
          <w:rFonts w:cs="Arial"/>
          <w:szCs w:val="22"/>
        </w:rPr>
        <w:t>classification system, it capture</w:t>
      </w:r>
      <w:r w:rsidR="00382B1E">
        <w:rPr>
          <w:rFonts w:cs="Arial"/>
          <w:szCs w:val="22"/>
        </w:rPr>
        <w:t>s</w:t>
      </w:r>
      <w:r w:rsidR="00BF39BC">
        <w:rPr>
          <w:rFonts w:cs="Arial"/>
          <w:szCs w:val="22"/>
        </w:rPr>
        <w:t xml:space="preserve"> clinical activity for admitted patient care, </w:t>
      </w:r>
      <w:r>
        <w:rPr>
          <w:rFonts w:cs="Arial"/>
          <w:szCs w:val="22"/>
        </w:rPr>
        <w:t xml:space="preserve">and </w:t>
      </w:r>
      <w:r w:rsidR="00382B1E">
        <w:rPr>
          <w:rFonts w:cs="Arial"/>
          <w:szCs w:val="22"/>
        </w:rPr>
        <w:t>has</w:t>
      </w:r>
      <w:r w:rsidR="002831F9">
        <w:rPr>
          <w:rFonts w:cs="Arial"/>
          <w:szCs w:val="22"/>
        </w:rPr>
        <w:t xml:space="preserve"> a number of purposes, including</w:t>
      </w:r>
      <w:r>
        <w:rPr>
          <w:rFonts w:cs="Arial"/>
          <w:szCs w:val="22"/>
        </w:rPr>
        <w:t>:</w:t>
      </w:r>
    </w:p>
    <w:p w14:paraId="41119A89" w14:textId="7000A54F" w:rsidR="00FC0776" w:rsidRDefault="002831F9" w:rsidP="00A75859">
      <w:pPr>
        <w:pStyle w:val="ListParagraph"/>
        <w:numPr>
          <w:ilvl w:val="0"/>
          <w:numId w:val="13"/>
        </w:numPr>
        <w:ind w:left="714" w:hanging="357"/>
      </w:pPr>
      <w:r>
        <w:t xml:space="preserve">identifying </w:t>
      </w:r>
      <w:r w:rsidR="006F33C3">
        <w:t>patterns and disease trends</w:t>
      </w:r>
    </w:p>
    <w:p w14:paraId="5B626391" w14:textId="63D2CA99" w:rsidR="00FC0776" w:rsidRDefault="002831F9" w:rsidP="00A75859">
      <w:pPr>
        <w:pStyle w:val="ListParagraph"/>
        <w:numPr>
          <w:ilvl w:val="0"/>
          <w:numId w:val="13"/>
        </w:numPr>
        <w:ind w:left="714" w:hanging="357"/>
      </w:pPr>
      <w:r>
        <w:t xml:space="preserve">clinical </w:t>
      </w:r>
      <w:r w:rsidR="006F33C3">
        <w:t>research and management</w:t>
      </w:r>
    </w:p>
    <w:p w14:paraId="68929DCC" w14:textId="28B33603" w:rsidR="00FC0776" w:rsidRPr="00A41815" w:rsidRDefault="002831F9" w:rsidP="00A75859">
      <w:pPr>
        <w:pStyle w:val="ListParagraph"/>
        <w:numPr>
          <w:ilvl w:val="0"/>
          <w:numId w:val="13"/>
        </w:numPr>
        <w:ind w:left="714" w:hanging="357"/>
      </w:pPr>
      <w:r>
        <w:t>r</w:t>
      </w:r>
      <w:r w:rsidRPr="00A41815">
        <w:t xml:space="preserve">esearch </w:t>
      </w:r>
      <w:r w:rsidR="006F33C3" w:rsidRPr="00A41815">
        <w:t>into the quality of healthcare and patient safety</w:t>
      </w:r>
      <w:r w:rsidR="00FC0776">
        <w:t>.</w:t>
      </w:r>
    </w:p>
    <w:p w14:paraId="5BBC7911" w14:textId="1609E8A2" w:rsidR="00FC0776" w:rsidRDefault="00FC0776" w:rsidP="007C2F8A">
      <w:pPr>
        <w:ind w:left="0" w:firstLine="0"/>
        <w:rPr>
          <w:rFonts w:cs="Arial"/>
          <w:szCs w:val="22"/>
        </w:rPr>
      </w:pPr>
      <w:r>
        <w:rPr>
          <w:rFonts w:cs="Arial"/>
          <w:szCs w:val="22"/>
        </w:rPr>
        <w:t>The AR-DRG classification uses</w:t>
      </w:r>
      <w:r w:rsidR="00BF39BC">
        <w:rPr>
          <w:rFonts w:cs="Arial"/>
          <w:szCs w:val="22"/>
        </w:rPr>
        <w:t xml:space="preserve"> </w:t>
      </w:r>
      <w:r w:rsidR="00E6787E">
        <w:rPr>
          <w:rFonts w:cs="Arial"/>
          <w:szCs w:val="22"/>
        </w:rPr>
        <w:t xml:space="preserve">data coded using </w:t>
      </w:r>
      <w:r w:rsidR="00BF39BC">
        <w:rPr>
          <w:rFonts w:cs="Arial"/>
          <w:szCs w:val="22"/>
        </w:rPr>
        <w:t>the</w:t>
      </w:r>
      <w:r>
        <w:rPr>
          <w:rFonts w:cs="Arial"/>
          <w:szCs w:val="22"/>
        </w:rPr>
        <w:t xml:space="preserve"> ICD-10-AM/ACHI/ACS </w:t>
      </w:r>
      <w:r w:rsidR="00BF39BC">
        <w:rPr>
          <w:rFonts w:cs="Arial"/>
          <w:szCs w:val="22"/>
        </w:rPr>
        <w:t>classification system</w:t>
      </w:r>
      <w:r>
        <w:rPr>
          <w:rFonts w:cs="Arial"/>
          <w:szCs w:val="22"/>
        </w:rPr>
        <w:t xml:space="preserve"> along with other routinely collected data to classify episodes of acute care </w:t>
      </w:r>
      <w:r>
        <w:t xml:space="preserve">in public and private hospitals across Australia. </w:t>
      </w:r>
      <w:r>
        <w:rPr>
          <w:rFonts w:cs="Arial"/>
          <w:szCs w:val="22"/>
        </w:rPr>
        <w:t xml:space="preserve">AR-DRGs provide a clinically meaningful way of relating the number and types of </w:t>
      </w:r>
      <w:r w:rsidR="00A20275">
        <w:rPr>
          <w:rFonts w:cs="Arial"/>
          <w:szCs w:val="22"/>
        </w:rPr>
        <w:t xml:space="preserve">acute </w:t>
      </w:r>
      <w:r>
        <w:rPr>
          <w:rFonts w:cs="Arial"/>
          <w:szCs w:val="22"/>
        </w:rPr>
        <w:t xml:space="preserve">admitted patients to the resources required by the hospital. </w:t>
      </w:r>
    </w:p>
    <w:p w14:paraId="309186A8" w14:textId="47F81198" w:rsidR="00FC0776" w:rsidRDefault="00857C73" w:rsidP="007C2F8A">
      <w:pPr>
        <w:ind w:left="0" w:firstLine="0"/>
        <w:rPr>
          <w:rFonts w:cs="Arial"/>
          <w:szCs w:val="22"/>
        </w:rPr>
      </w:pPr>
      <w:r>
        <w:rPr>
          <w:rFonts w:cs="Arial"/>
          <w:szCs w:val="22"/>
        </w:rPr>
        <w:lastRenderedPageBreak/>
        <w:t>AR-DRGs are used for a number of purposes, including:</w:t>
      </w:r>
    </w:p>
    <w:p w14:paraId="59E7977F" w14:textId="5913C9DD" w:rsidR="00FC0776" w:rsidRPr="00A53D9C" w:rsidRDefault="00A47FD3" w:rsidP="00A75859">
      <w:pPr>
        <w:pStyle w:val="ListParagraph"/>
        <w:numPr>
          <w:ilvl w:val="0"/>
          <w:numId w:val="13"/>
        </w:numPr>
        <w:ind w:left="714" w:hanging="357"/>
      </w:pPr>
      <w:r>
        <w:t>b</w:t>
      </w:r>
      <w:r w:rsidR="006F33C3" w:rsidRPr="00A53D9C">
        <w:t>enchmarking</w:t>
      </w:r>
    </w:p>
    <w:p w14:paraId="6ED90DD2" w14:textId="31C0EAE8" w:rsidR="00FC0776" w:rsidRPr="00A53D9C" w:rsidRDefault="00A47FD3" w:rsidP="00A75859">
      <w:pPr>
        <w:pStyle w:val="ListParagraph"/>
        <w:numPr>
          <w:ilvl w:val="0"/>
          <w:numId w:val="13"/>
        </w:numPr>
        <w:ind w:left="714" w:hanging="357"/>
      </w:pPr>
      <w:r>
        <w:t>e</w:t>
      </w:r>
      <w:r w:rsidR="006F33C3" w:rsidRPr="00A53D9C">
        <w:t>pidemiology</w:t>
      </w:r>
    </w:p>
    <w:p w14:paraId="17F42C79" w14:textId="49657D1A" w:rsidR="00FC0776" w:rsidRPr="00A53D9C" w:rsidRDefault="00A47FD3" w:rsidP="00A75859">
      <w:pPr>
        <w:pStyle w:val="ListParagraph"/>
        <w:numPr>
          <w:ilvl w:val="0"/>
          <w:numId w:val="13"/>
        </w:numPr>
        <w:ind w:left="714" w:hanging="357"/>
      </w:pPr>
      <w:r>
        <w:t>f</w:t>
      </w:r>
      <w:r w:rsidR="006F33C3" w:rsidRPr="00A53D9C">
        <w:t>acilitation of payment of services in the private healthcare sector</w:t>
      </w:r>
    </w:p>
    <w:p w14:paraId="0D5AE91D" w14:textId="16F5C5BB" w:rsidR="00FC0776" w:rsidRPr="00A53D9C" w:rsidRDefault="00A47FD3" w:rsidP="00A75859">
      <w:pPr>
        <w:pStyle w:val="ListParagraph"/>
        <w:numPr>
          <w:ilvl w:val="0"/>
          <w:numId w:val="13"/>
        </w:numPr>
        <w:ind w:left="714" w:hanging="357"/>
      </w:pPr>
      <w:r>
        <w:t>h</w:t>
      </w:r>
      <w:r w:rsidR="006F33C3" w:rsidRPr="00A53D9C">
        <w:t>ealth service planning</w:t>
      </w:r>
    </w:p>
    <w:p w14:paraId="73ADB820" w14:textId="6904830F" w:rsidR="00FC0776" w:rsidRDefault="00A47FD3" w:rsidP="00A75859">
      <w:pPr>
        <w:pStyle w:val="ListParagraph"/>
        <w:numPr>
          <w:ilvl w:val="0"/>
          <w:numId w:val="13"/>
        </w:numPr>
        <w:ind w:left="714" w:hanging="357"/>
      </w:pPr>
      <w:r>
        <w:t>p</w:t>
      </w:r>
      <w:r w:rsidR="006F33C3" w:rsidRPr="00A53D9C">
        <w:t>erformance management.</w:t>
      </w:r>
    </w:p>
    <w:p w14:paraId="6D24BB13" w14:textId="1604023A" w:rsidR="007D0C42" w:rsidRPr="00A53D9C" w:rsidRDefault="007D0C42" w:rsidP="007C2F8A">
      <w:pPr>
        <w:ind w:left="0" w:firstLine="0"/>
      </w:pPr>
      <w:r>
        <w:t>AR-DRG</w:t>
      </w:r>
      <w:r w:rsidR="00511EE1">
        <w:t>s capture acute admitted activity</w:t>
      </w:r>
      <w:r>
        <w:t xml:space="preserve"> and are utilised in </w:t>
      </w:r>
      <w:r w:rsidR="00511EE1">
        <w:t>calculating</w:t>
      </w:r>
      <w:r w:rsidR="00511EE1">
        <w:rPr>
          <w:rFonts w:cs="Arial"/>
          <w:szCs w:val="22"/>
        </w:rPr>
        <w:t xml:space="preserve"> the </w:t>
      </w:r>
      <w:r w:rsidR="00511EE1">
        <w:t>National Efficient Price for</w:t>
      </w:r>
      <w:r w:rsidR="00511EE1">
        <w:rPr>
          <w:rFonts w:cs="Arial"/>
          <w:szCs w:val="22"/>
        </w:rPr>
        <w:t xml:space="preserve"> public hospital </w:t>
      </w:r>
      <w:r w:rsidR="00EF0848">
        <w:rPr>
          <w:rFonts w:cs="Arial"/>
          <w:szCs w:val="22"/>
        </w:rPr>
        <w:t xml:space="preserve">activity based </w:t>
      </w:r>
      <w:r w:rsidR="00511EE1">
        <w:rPr>
          <w:rFonts w:cs="Arial"/>
          <w:szCs w:val="22"/>
        </w:rPr>
        <w:t>funding.</w:t>
      </w:r>
    </w:p>
    <w:p w14:paraId="367C6B06" w14:textId="158F5578" w:rsidR="00000B90" w:rsidRDefault="00000B90" w:rsidP="007C2F8A">
      <w:pPr>
        <w:pStyle w:val="Heading2"/>
        <w:spacing w:before="120"/>
        <w:ind w:left="0" w:firstLine="0"/>
        <w:rPr>
          <w:lang w:eastAsia="en-US"/>
        </w:rPr>
      </w:pPr>
      <w:bookmarkStart w:id="15" w:name="_Toc57217911"/>
      <w:r>
        <w:rPr>
          <w:lang w:eastAsia="en-US"/>
        </w:rPr>
        <w:t>2.</w:t>
      </w:r>
      <w:r w:rsidR="001E3560">
        <w:rPr>
          <w:lang w:eastAsia="en-US"/>
        </w:rPr>
        <w:t>2</w:t>
      </w:r>
      <w:r>
        <w:rPr>
          <w:lang w:eastAsia="en-US"/>
        </w:rPr>
        <w:tab/>
        <w:t>Processes related to classification development</w:t>
      </w:r>
      <w:bookmarkEnd w:id="15"/>
    </w:p>
    <w:p w14:paraId="074F63A1" w14:textId="05368F6A" w:rsidR="00000B90" w:rsidRDefault="00382B1E" w:rsidP="007C2F8A">
      <w:pPr>
        <w:ind w:left="0" w:firstLine="0"/>
      </w:pPr>
      <w:r>
        <w:t>I</w:t>
      </w:r>
      <w:r w:rsidR="00000B90">
        <w:t xml:space="preserve">nformation </w:t>
      </w:r>
      <w:r>
        <w:t>on other processes related to classification development not covered by the Framework are f</w:t>
      </w:r>
      <w:r w:rsidR="00000B90">
        <w:t xml:space="preserve">ound on </w:t>
      </w:r>
      <w:r w:rsidR="0004165D">
        <w:t xml:space="preserve">the following </w:t>
      </w:r>
      <w:r w:rsidR="00000B90">
        <w:t>website</w:t>
      </w:r>
      <w:r w:rsidR="00DE247E">
        <w:t>s</w:t>
      </w:r>
      <w:r w:rsidR="00000B90">
        <w:t>:</w:t>
      </w:r>
    </w:p>
    <w:p w14:paraId="5996A46A" w14:textId="482728DC" w:rsidR="00BF39BC" w:rsidRDefault="00BF39BC" w:rsidP="00A840A5">
      <w:pPr>
        <w:pStyle w:val="ListParagraph"/>
      </w:pPr>
      <w:r>
        <w:t>Submission of classification queries</w:t>
      </w:r>
      <w:r w:rsidR="0004165D">
        <w:t xml:space="preserve"> via the Australian Classification Exchange (ACE)</w:t>
      </w:r>
      <w:r>
        <w:t xml:space="preserve">: </w:t>
      </w:r>
      <w:hyperlink r:id="rId14" w:history="1">
        <w:r w:rsidR="0015003E">
          <w:rPr>
            <w:rStyle w:val="Hyperlink"/>
          </w:rPr>
          <w:t>ace.ihpa.gov.au/Submissions.aspx</w:t>
        </w:r>
      </w:hyperlink>
    </w:p>
    <w:p w14:paraId="7BD546EC" w14:textId="3213A990" w:rsidR="00BF39BC" w:rsidRDefault="00BF39BC" w:rsidP="00A840A5">
      <w:pPr>
        <w:pStyle w:val="ListParagraph"/>
      </w:pPr>
      <w:r>
        <w:t xml:space="preserve">Product purchase and distribution: </w:t>
      </w:r>
      <w:hyperlink r:id="rId15" w:history="1">
        <w:r w:rsidR="0015003E">
          <w:rPr>
            <w:rStyle w:val="Hyperlink"/>
          </w:rPr>
          <w:t>ar-drg.laneprint.com.au</w:t>
        </w:r>
      </w:hyperlink>
      <w:r>
        <w:t xml:space="preserve"> </w:t>
      </w:r>
    </w:p>
    <w:p w14:paraId="34F93E1F" w14:textId="4150D842" w:rsidR="00000B90" w:rsidRDefault="00000B90" w:rsidP="00A840A5">
      <w:pPr>
        <w:pStyle w:val="ListParagraph"/>
      </w:pPr>
      <w:r>
        <w:t xml:space="preserve">Licencing arrangements: </w:t>
      </w:r>
      <w:hyperlink r:id="rId16" w:history="1">
        <w:r w:rsidR="0015003E">
          <w:rPr>
            <w:rStyle w:val="Hyperlink"/>
          </w:rPr>
          <w:t>www.ihpa.gov.au/what-we-do/products/admitted-acute-care-products-and-licences</w:t>
        </w:r>
      </w:hyperlink>
    </w:p>
    <w:p w14:paraId="0C3D2A38" w14:textId="5BF14BEF" w:rsidR="00FA2D32" w:rsidRDefault="00FA2D32" w:rsidP="007C2F8A">
      <w:pPr>
        <w:ind w:left="0" w:firstLine="0"/>
      </w:pPr>
      <w:r>
        <w:t>For further information related to classification development please contact IHPA</w:t>
      </w:r>
      <w:r w:rsidR="00DE247E">
        <w:t>:</w:t>
      </w:r>
    </w:p>
    <w:p w14:paraId="054643D6" w14:textId="4028F926" w:rsidR="00FA2D32" w:rsidRDefault="00FA2D32" w:rsidP="00B608AF">
      <w:pPr>
        <w:ind w:left="720"/>
      </w:pPr>
      <w:r>
        <w:t>Email:</w:t>
      </w:r>
      <w:r>
        <w:tab/>
      </w:r>
      <w:r>
        <w:tab/>
      </w:r>
      <w:hyperlink r:id="rId17" w:history="1">
        <w:r w:rsidRPr="00633D8F">
          <w:rPr>
            <w:rStyle w:val="Hyperlink"/>
          </w:rPr>
          <w:t>enquiries.ihpa@ihpa.gov.au</w:t>
        </w:r>
      </w:hyperlink>
      <w:r>
        <w:t xml:space="preserve"> </w:t>
      </w:r>
    </w:p>
    <w:p w14:paraId="2D4C48A7" w14:textId="604BBEFF" w:rsidR="00FC0776" w:rsidRPr="00680761" w:rsidRDefault="00FA2D32" w:rsidP="00B608AF">
      <w:pPr>
        <w:ind w:left="720"/>
      </w:pPr>
      <w:r>
        <w:t>Phone:</w:t>
      </w:r>
      <w:r>
        <w:tab/>
      </w:r>
      <w:r>
        <w:tab/>
        <w:t>(02) 8215 1100</w:t>
      </w:r>
    </w:p>
    <w:p w14:paraId="3F6B10C0" w14:textId="52052578" w:rsidR="00C73372" w:rsidRDefault="005575AC" w:rsidP="009578A4">
      <w:pPr>
        <w:pStyle w:val="Heading1"/>
        <w:rPr>
          <w:lang w:eastAsia="en-US"/>
        </w:rPr>
      </w:pPr>
      <w:bookmarkStart w:id="16" w:name="_Ref46320489"/>
      <w:bookmarkStart w:id="17" w:name="_Ref46320532"/>
      <w:bookmarkStart w:id="18" w:name="_Toc57217912"/>
      <w:bookmarkEnd w:id="5"/>
      <w:bookmarkEnd w:id="6"/>
      <w:bookmarkEnd w:id="7"/>
      <w:r>
        <w:rPr>
          <w:lang w:eastAsia="en-US"/>
        </w:rPr>
        <w:lastRenderedPageBreak/>
        <w:t>Development principles</w:t>
      </w:r>
      <w:bookmarkEnd w:id="16"/>
      <w:bookmarkEnd w:id="17"/>
      <w:bookmarkEnd w:id="18"/>
    </w:p>
    <w:p w14:paraId="4995D791" w14:textId="42E4D5F3" w:rsidR="00AD7218" w:rsidRDefault="00AD7218" w:rsidP="00395F33">
      <w:pPr>
        <w:pStyle w:val="Default"/>
        <w:spacing w:before="120"/>
        <w:ind w:left="0" w:firstLine="0"/>
        <w:rPr>
          <w:sz w:val="22"/>
          <w:szCs w:val="22"/>
        </w:rPr>
      </w:pPr>
      <w:r>
        <w:rPr>
          <w:sz w:val="22"/>
          <w:szCs w:val="22"/>
        </w:rPr>
        <w:t xml:space="preserve">The admitted care classifications are developed using a principles-based approach. Four types of principles are used across the development cycle and ensure that the classifications are fit for purpose. These principles are illustrated in </w:t>
      </w:r>
      <w:r w:rsidRPr="00946062">
        <w:rPr>
          <w:b/>
          <w:sz w:val="22"/>
          <w:szCs w:val="22"/>
        </w:rPr>
        <w:t xml:space="preserve">Figure </w:t>
      </w:r>
      <w:r w:rsidR="00925911">
        <w:rPr>
          <w:b/>
          <w:sz w:val="22"/>
          <w:szCs w:val="22"/>
        </w:rPr>
        <w:t>2</w:t>
      </w:r>
      <w:r>
        <w:rPr>
          <w:sz w:val="22"/>
          <w:szCs w:val="22"/>
        </w:rPr>
        <w:t>.</w:t>
      </w:r>
    </w:p>
    <w:p w14:paraId="7B213CD8" w14:textId="568B9B90" w:rsidR="00287F52" w:rsidRDefault="00AD7218" w:rsidP="00617248">
      <w:pPr>
        <w:pStyle w:val="FigureHeading"/>
        <w:ind w:left="0" w:firstLine="0"/>
        <w:rPr>
          <w:rFonts w:cs="Arial"/>
        </w:rPr>
      </w:pPr>
      <w:r w:rsidRPr="00747974">
        <w:t xml:space="preserve">Figure </w:t>
      </w:r>
      <w:r w:rsidR="00925911">
        <w:t>2</w:t>
      </w:r>
      <w:r w:rsidRPr="00747974">
        <w:t xml:space="preserve">. </w:t>
      </w:r>
      <w:r w:rsidR="00CD7407" w:rsidRPr="00747974">
        <w:t>Four types of principles guiding the classification development cycle.</w:t>
      </w:r>
      <w:r w:rsidR="00CD7407">
        <w:t xml:space="preserve"> </w:t>
      </w:r>
      <w:r w:rsidR="00CD7407" w:rsidRPr="00CD7407">
        <w:rPr>
          <w:rFonts w:cs="Arial"/>
          <w:noProof/>
        </w:rPr>
        <w:t xml:space="preserve"> </w:t>
      </w:r>
    </w:p>
    <w:p w14:paraId="2D43DCEE" w14:textId="44FA6C39" w:rsidR="00443B5F" w:rsidRDefault="00520FD5" w:rsidP="00520FD5">
      <w:pPr>
        <w:pStyle w:val="Default"/>
        <w:spacing w:before="120"/>
        <w:jc w:val="center"/>
        <w:rPr>
          <w:sz w:val="22"/>
          <w:szCs w:val="22"/>
        </w:rPr>
      </w:pPr>
      <w:r>
        <w:rPr>
          <w:noProof/>
        </w:rPr>
        <w:drawing>
          <wp:inline distT="0" distB="0" distL="0" distR="0" wp14:anchorId="5616B30D" wp14:editId="1F723C81">
            <wp:extent cx="5367647" cy="3003495"/>
            <wp:effectExtent l="0" t="0" r="508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6125" cy="3008239"/>
                    </a:xfrm>
                    <a:prstGeom prst="rect">
                      <a:avLst/>
                    </a:prstGeom>
                  </pic:spPr>
                </pic:pic>
              </a:graphicData>
            </a:graphic>
          </wp:inline>
        </w:drawing>
      </w:r>
    </w:p>
    <w:p w14:paraId="469F99E4" w14:textId="2E26AA18" w:rsidR="00747974" w:rsidRDefault="00747974" w:rsidP="00395F33">
      <w:pPr>
        <w:pStyle w:val="Default"/>
        <w:spacing w:before="120"/>
        <w:ind w:left="0" w:firstLine="0"/>
        <w:rPr>
          <w:sz w:val="22"/>
          <w:szCs w:val="22"/>
        </w:rPr>
      </w:pPr>
      <w:r>
        <w:rPr>
          <w:sz w:val="22"/>
          <w:szCs w:val="22"/>
        </w:rPr>
        <w:t>The process principles apply across all aspects of the classification development cycle.</w:t>
      </w:r>
    </w:p>
    <w:p w14:paraId="1AEF299E" w14:textId="427FCE44" w:rsidR="00747974" w:rsidRDefault="00747974" w:rsidP="00395F33">
      <w:pPr>
        <w:pStyle w:val="Default"/>
        <w:spacing w:before="120"/>
        <w:ind w:left="0" w:firstLine="0"/>
        <w:rPr>
          <w:sz w:val="22"/>
          <w:szCs w:val="22"/>
        </w:rPr>
      </w:pPr>
      <w:r>
        <w:rPr>
          <w:sz w:val="22"/>
          <w:szCs w:val="22"/>
        </w:rPr>
        <w:t xml:space="preserve">The </w:t>
      </w:r>
      <w:r w:rsidRPr="00540BAE">
        <w:rPr>
          <w:sz w:val="22"/>
          <w:szCs w:val="22"/>
        </w:rPr>
        <w:t xml:space="preserve">decision principles, prioritisation principles and development principles </w:t>
      </w:r>
      <w:r>
        <w:rPr>
          <w:sz w:val="22"/>
          <w:szCs w:val="22"/>
        </w:rPr>
        <w:t xml:space="preserve">are specific to the development of each classification system. </w:t>
      </w:r>
    </w:p>
    <w:p w14:paraId="6D73BD3F" w14:textId="0F3937FB" w:rsidR="00C73372" w:rsidRPr="003E4ED8" w:rsidRDefault="00AD7218" w:rsidP="00FF0171">
      <w:pPr>
        <w:pStyle w:val="Heading2"/>
        <w:spacing w:before="120"/>
        <w:ind w:left="0" w:firstLine="0"/>
        <w:rPr>
          <w:caps/>
        </w:rPr>
      </w:pPr>
      <w:bookmarkStart w:id="19" w:name="_Toc57217913"/>
      <w:r>
        <w:t>3</w:t>
      </w:r>
      <w:r w:rsidR="00795191">
        <w:t>.1</w:t>
      </w:r>
      <w:r w:rsidR="00026E99">
        <w:tab/>
      </w:r>
      <w:r w:rsidR="009D1FB0">
        <w:t>Process principles</w:t>
      </w:r>
      <w:bookmarkEnd w:id="19"/>
      <w:r w:rsidR="00283AE1">
        <w:t xml:space="preserve"> </w:t>
      </w:r>
    </w:p>
    <w:p w14:paraId="0C301E70" w14:textId="4BD2B109" w:rsidR="00C73372" w:rsidRDefault="00443B5F" w:rsidP="00395F33">
      <w:pPr>
        <w:pStyle w:val="BodyText"/>
        <w:ind w:left="0" w:firstLine="0"/>
      </w:pPr>
      <w:r>
        <w:t xml:space="preserve">The </w:t>
      </w:r>
      <w:r w:rsidR="000D73B5" w:rsidRPr="00443B5F">
        <w:t xml:space="preserve">process </w:t>
      </w:r>
      <w:r w:rsidRPr="007F3612">
        <w:t>principles</w:t>
      </w:r>
      <w:r w:rsidRPr="00443B5F">
        <w:t xml:space="preserve"> identify the overarching values strived for, and the steps taken to achieve these values, during the process of reviewing and developing refinements to the acute care classifications.</w:t>
      </w:r>
    </w:p>
    <w:p w14:paraId="24523CAC" w14:textId="3FED2634" w:rsidR="00443B5F" w:rsidRPr="00BF3C7D" w:rsidRDefault="006F33C3" w:rsidP="00B608AF">
      <w:pPr>
        <w:pStyle w:val="Heading3"/>
        <w:numPr>
          <w:ilvl w:val="0"/>
          <w:numId w:val="0"/>
        </w:numPr>
        <w:spacing w:before="120"/>
      </w:pPr>
      <w:bookmarkStart w:id="20" w:name="_Toc57217914"/>
      <w:r>
        <w:t>3.1.1</w:t>
      </w:r>
      <w:r>
        <w:tab/>
      </w:r>
      <w:r w:rsidR="00443B5F" w:rsidRPr="00BF3C7D">
        <w:t>Transparency</w:t>
      </w:r>
      <w:bookmarkEnd w:id="20"/>
    </w:p>
    <w:p w14:paraId="01EE515A" w14:textId="1DAD86EE" w:rsidR="00443B5F" w:rsidRPr="00167025" w:rsidRDefault="00443B5F" w:rsidP="00A840A5">
      <w:pPr>
        <w:pStyle w:val="ListParagraph"/>
      </w:pPr>
      <w:r w:rsidRPr="00443B5F">
        <w:t xml:space="preserve">Consult on the development of the work program by following the decision and </w:t>
      </w:r>
      <w:r w:rsidRPr="00167025">
        <w:t>prioritisation principles, and making the final work program available on the IHPA website.</w:t>
      </w:r>
    </w:p>
    <w:p w14:paraId="2EB3AC62" w14:textId="537B84C6" w:rsidR="00443B5F" w:rsidRPr="00167025" w:rsidRDefault="00443B5F" w:rsidP="00A840A5">
      <w:pPr>
        <w:pStyle w:val="ListParagraph"/>
      </w:pPr>
      <w:r w:rsidRPr="00167025">
        <w:t xml:space="preserve">Seek </w:t>
      </w:r>
      <w:r w:rsidR="00167025" w:rsidRPr="00167025">
        <w:t xml:space="preserve">and document </w:t>
      </w:r>
      <w:r w:rsidRPr="00167025">
        <w:t>input on the direction and development of technical development work at scheduled meetings or other forums.</w:t>
      </w:r>
    </w:p>
    <w:p w14:paraId="3DE8F868" w14:textId="3178EB44" w:rsidR="00443B5F" w:rsidRPr="00167025" w:rsidRDefault="00443B5F" w:rsidP="00A840A5">
      <w:pPr>
        <w:pStyle w:val="ListParagraph"/>
      </w:pPr>
      <w:r w:rsidRPr="00167025">
        <w:t>Display the status, outcome, and other necessary attributes of a submission or coding query by enhancing the A</w:t>
      </w:r>
      <w:r w:rsidR="0004165D">
        <w:t xml:space="preserve">ustralian </w:t>
      </w:r>
      <w:r w:rsidRPr="00167025">
        <w:t>C</w:t>
      </w:r>
      <w:r w:rsidR="0004165D">
        <w:t xml:space="preserve">lassification </w:t>
      </w:r>
      <w:r w:rsidRPr="00167025">
        <w:t>E</w:t>
      </w:r>
      <w:r w:rsidR="0004165D">
        <w:t>xchange (ACE)</w:t>
      </w:r>
      <w:r w:rsidRPr="00167025">
        <w:t xml:space="preserve"> portal.</w:t>
      </w:r>
    </w:p>
    <w:p w14:paraId="285A8AD6" w14:textId="73E769E1" w:rsidR="00443B5F" w:rsidRDefault="00443B5F" w:rsidP="00A840A5">
      <w:pPr>
        <w:pStyle w:val="ListParagraph"/>
      </w:pPr>
      <w:r w:rsidRPr="00167025">
        <w:t xml:space="preserve">Ensure the </w:t>
      </w:r>
      <w:r w:rsidR="00167025" w:rsidRPr="00167025">
        <w:t xml:space="preserve">admitted </w:t>
      </w:r>
      <w:r w:rsidRPr="00167025">
        <w:t>care classifications</w:t>
      </w:r>
      <w:r w:rsidRPr="00443B5F">
        <w:t xml:space="preserve"> are fit for purpose for its many uses.</w:t>
      </w:r>
    </w:p>
    <w:p w14:paraId="175996A3" w14:textId="15F11308" w:rsidR="00443B5F" w:rsidRPr="00860005" w:rsidRDefault="006F33C3" w:rsidP="00B608AF">
      <w:pPr>
        <w:pStyle w:val="Heading3"/>
        <w:numPr>
          <w:ilvl w:val="0"/>
          <w:numId w:val="0"/>
        </w:numPr>
        <w:spacing w:before="120"/>
      </w:pPr>
      <w:bookmarkStart w:id="21" w:name="_Toc57217915"/>
      <w:r>
        <w:lastRenderedPageBreak/>
        <w:t>3.1.2</w:t>
      </w:r>
      <w:r>
        <w:tab/>
      </w:r>
      <w:r w:rsidR="00443B5F" w:rsidRPr="00860005">
        <w:t>Respect of process</w:t>
      </w:r>
      <w:bookmarkEnd w:id="21"/>
    </w:p>
    <w:p w14:paraId="62F4ACB3" w14:textId="5A445E4E" w:rsidR="00443B5F" w:rsidRPr="00443B5F" w:rsidRDefault="00443B5F" w:rsidP="00A840A5">
      <w:pPr>
        <w:pStyle w:val="ListParagraph"/>
      </w:pPr>
      <w:r w:rsidRPr="00443B5F">
        <w:t xml:space="preserve">Meeting papers </w:t>
      </w:r>
      <w:r w:rsidR="00011016">
        <w:t>are</w:t>
      </w:r>
      <w:r w:rsidRPr="00443B5F">
        <w:t xml:space="preserve"> provided to relevant members in advance of an advisory group meeting.</w:t>
      </w:r>
    </w:p>
    <w:p w14:paraId="5F9245C9" w14:textId="63F7FA43" w:rsidR="00443B5F" w:rsidRPr="00443B5F" w:rsidRDefault="00443B5F" w:rsidP="00A840A5">
      <w:pPr>
        <w:pStyle w:val="ListParagraph"/>
      </w:pPr>
      <w:r w:rsidRPr="00443B5F">
        <w:t>Advisory group members will have appropriate opportunity to provide feedback.</w:t>
      </w:r>
    </w:p>
    <w:p w14:paraId="098C2C67" w14:textId="44FFDD02" w:rsidR="00443B5F" w:rsidRPr="00443B5F" w:rsidRDefault="00443B5F" w:rsidP="00A840A5">
      <w:pPr>
        <w:pStyle w:val="ListParagraph"/>
      </w:pPr>
      <w:r w:rsidRPr="00443B5F">
        <w:t xml:space="preserve">IHPA will make a final decision, </w:t>
      </w:r>
      <w:r w:rsidR="00EF5ACE">
        <w:t>considering</w:t>
      </w:r>
      <w:r w:rsidRPr="00443B5F">
        <w:t xml:space="preserve"> all factors informing the development process (i.e. development principles, technical group feedback and clinical feedback).</w:t>
      </w:r>
    </w:p>
    <w:p w14:paraId="619032F9" w14:textId="59CF5AF7" w:rsidR="00443B5F" w:rsidRPr="00443B5F" w:rsidRDefault="00443B5F" w:rsidP="00A840A5">
      <w:pPr>
        <w:pStyle w:val="ListParagraph"/>
      </w:pPr>
      <w:r w:rsidRPr="00443B5F">
        <w:t xml:space="preserve">IHPA will share the final decision with members, and notify </w:t>
      </w:r>
      <w:r w:rsidR="00382B1E">
        <w:t>them</w:t>
      </w:r>
      <w:r w:rsidRPr="00443B5F">
        <w:t xml:space="preserve"> of any subsequent amendments before publication.</w:t>
      </w:r>
    </w:p>
    <w:p w14:paraId="26AE0B56" w14:textId="26E3359E" w:rsidR="00443B5F" w:rsidRDefault="00443B5F" w:rsidP="00A840A5">
      <w:pPr>
        <w:pStyle w:val="ListParagraph"/>
      </w:pPr>
      <w:r w:rsidRPr="00443B5F">
        <w:t>Final decisions will remain independent and not favour a particular individual or single stakeholder group.</w:t>
      </w:r>
    </w:p>
    <w:p w14:paraId="12D34887" w14:textId="7503322D" w:rsidR="00443B5F" w:rsidRPr="00860005" w:rsidRDefault="006F33C3" w:rsidP="00B608AF">
      <w:pPr>
        <w:pStyle w:val="Heading3"/>
        <w:numPr>
          <w:ilvl w:val="0"/>
          <w:numId w:val="0"/>
        </w:numPr>
        <w:spacing w:before="120"/>
      </w:pPr>
      <w:bookmarkStart w:id="22" w:name="_Toc57217916"/>
      <w:r>
        <w:t>3.1.3</w:t>
      </w:r>
      <w:r>
        <w:tab/>
      </w:r>
      <w:r w:rsidR="00443B5F" w:rsidRPr="00860005">
        <w:t>Decisions are evidence-based</w:t>
      </w:r>
      <w:bookmarkEnd w:id="22"/>
    </w:p>
    <w:p w14:paraId="4E920F8D" w14:textId="19CC3C89" w:rsidR="00443B5F" w:rsidRPr="00443B5F" w:rsidRDefault="00443B5F" w:rsidP="00A840A5">
      <w:pPr>
        <w:pStyle w:val="ListParagraph"/>
      </w:pPr>
      <w:r w:rsidRPr="00443B5F">
        <w:t>Development tasks will follow an evidence-based approach based on the decision, prioritisation and development principles.</w:t>
      </w:r>
    </w:p>
    <w:p w14:paraId="558F0E5B" w14:textId="3C18DE98" w:rsidR="00D557FE" w:rsidRDefault="00443B5F" w:rsidP="00395F33">
      <w:pPr>
        <w:pStyle w:val="ListParagraph"/>
      </w:pPr>
      <w:r w:rsidRPr="00443B5F">
        <w:t>Clinical input w</w:t>
      </w:r>
      <w:r w:rsidR="005B54AB">
        <w:t xml:space="preserve">ill be sought from the </w:t>
      </w:r>
      <w:r w:rsidR="00796BA9">
        <w:t>Classifications Clinical Advisory Group (CCAG)</w:t>
      </w:r>
      <w:r w:rsidRPr="00443B5F">
        <w:t>, or a more specialised clinical authority, where necessary</w:t>
      </w:r>
      <w:r w:rsidR="008E03E8">
        <w:t>.</w:t>
      </w:r>
    </w:p>
    <w:p w14:paraId="2D0C6E9A" w14:textId="3B7953F3" w:rsidR="00C73372" w:rsidRPr="00314E89" w:rsidRDefault="00747974" w:rsidP="00FF0171">
      <w:pPr>
        <w:pStyle w:val="Heading2"/>
        <w:spacing w:before="120"/>
        <w:ind w:left="0" w:firstLine="0"/>
        <w:rPr>
          <w:caps/>
        </w:rPr>
      </w:pPr>
      <w:bookmarkStart w:id="23" w:name="_Toc57217917"/>
      <w:r>
        <w:t>3</w:t>
      </w:r>
      <w:r w:rsidR="00026E99">
        <w:t>.2</w:t>
      </w:r>
      <w:r w:rsidR="00026E99">
        <w:tab/>
      </w:r>
      <w:r w:rsidR="009D1FB0">
        <w:t>ICD</w:t>
      </w:r>
      <w:r w:rsidR="000D73B5">
        <w:t>-10-AM/ACHI/ACS principles</w:t>
      </w:r>
      <w:bookmarkEnd w:id="23"/>
    </w:p>
    <w:p w14:paraId="3D9E3C4E" w14:textId="40EC9154" w:rsidR="009D1FB0" w:rsidRPr="00314E89" w:rsidRDefault="00747974" w:rsidP="00B608AF">
      <w:pPr>
        <w:pStyle w:val="Heading3"/>
        <w:numPr>
          <w:ilvl w:val="0"/>
          <w:numId w:val="0"/>
        </w:numPr>
        <w:spacing w:before="120"/>
      </w:pPr>
      <w:bookmarkStart w:id="24" w:name="_Toc57217918"/>
      <w:r>
        <w:t>3</w:t>
      </w:r>
      <w:r w:rsidR="00026E99">
        <w:t>.2.1</w:t>
      </w:r>
      <w:r w:rsidR="00026E99">
        <w:tab/>
      </w:r>
      <w:r w:rsidR="009D1FB0">
        <w:t>Decision principles</w:t>
      </w:r>
      <w:bookmarkEnd w:id="24"/>
      <w:r w:rsidR="009D1FB0">
        <w:t xml:space="preserve"> </w:t>
      </w:r>
    </w:p>
    <w:p w14:paraId="0FD3F43F" w14:textId="56096CC8" w:rsidR="00443B5F" w:rsidRDefault="000D73B5" w:rsidP="00395F33">
      <w:pPr>
        <w:ind w:left="0" w:firstLine="0"/>
      </w:pPr>
      <w:r>
        <w:t>The d</w:t>
      </w:r>
      <w:r w:rsidR="00443B5F">
        <w:t>ecision principles identify submissions that are in scope for classification development. IHPA will seek advice from the CCAG or the appropriate advisory group where required. Where CCAG determines that a public submission is clinically incoherent, it will not proceed for classification development.</w:t>
      </w:r>
    </w:p>
    <w:p w14:paraId="5804A447" w14:textId="77777777" w:rsidR="00443B5F" w:rsidRPr="00443B5F" w:rsidRDefault="00443B5F" w:rsidP="00395F33">
      <w:pPr>
        <w:ind w:left="0" w:firstLine="0"/>
        <w:rPr>
          <w:b/>
        </w:rPr>
      </w:pPr>
      <w:r w:rsidRPr="00443B5F">
        <w:rPr>
          <w:b/>
        </w:rPr>
        <w:t>In scope:</w:t>
      </w:r>
    </w:p>
    <w:p w14:paraId="68C391AA" w14:textId="5FAC90E9" w:rsidR="00443B5F" w:rsidRPr="00443B5F" w:rsidRDefault="00443B5F" w:rsidP="00A840A5">
      <w:pPr>
        <w:pStyle w:val="ListParagraph"/>
      </w:pPr>
      <w:r w:rsidRPr="00443B5F">
        <w:t>Change req</w:t>
      </w:r>
      <w:r w:rsidR="005B54AB">
        <w:t>uests submitted through the ACE</w:t>
      </w:r>
      <w:r w:rsidRPr="00443B5F">
        <w:t xml:space="preserve"> portal with evidence of materiality and significant impact on health services or epidemiology</w:t>
      </w:r>
    </w:p>
    <w:p w14:paraId="7E123BB0" w14:textId="77955684" w:rsidR="00443B5F" w:rsidRPr="00443B5F" w:rsidRDefault="00443B5F" w:rsidP="00A840A5">
      <w:pPr>
        <w:pStyle w:val="ListParagraph"/>
      </w:pPr>
      <w:r w:rsidRPr="00443B5F">
        <w:t>Mandatory updates relating to the MBS and the Australian Schedule of Dental Services and Glossary (ADA)</w:t>
      </w:r>
    </w:p>
    <w:p w14:paraId="7272BD1B" w14:textId="7064C82B" w:rsidR="00443B5F" w:rsidRDefault="00443B5F" w:rsidP="00A840A5">
      <w:pPr>
        <w:pStyle w:val="ListParagraph"/>
      </w:pPr>
      <w:r w:rsidRPr="00BF3C7D">
        <w:t>Advice or</w:t>
      </w:r>
      <w:r>
        <w:t xml:space="preserve"> instructions from</w:t>
      </w:r>
      <w:r w:rsidR="008559FE">
        <w:t xml:space="preserve"> the</w:t>
      </w:r>
      <w:r w:rsidR="005B54AB">
        <w:t xml:space="preserve"> </w:t>
      </w:r>
      <w:r w:rsidR="0015003E">
        <w:t>WHO</w:t>
      </w:r>
      <w:r w:rsidR="008E03E8">
        <w:t>.</w:t>
      </w:r>
    </w:p>
    <w:p w14:paraId="71A3AB94" w14:textId="77777777" w:rsidR="00167025" w:rsidRPr="00167025" w:rsidRDefault="00167025" w:rsidP="00395F33">
      <w:pPr>
        <w:ind w:left="0" w:firstLine="0"/>
        <w:rPr>
          <w:b/>
        </w:rPr>
      </w:pPr>
      <w:r w:rsidRPr="00167025">
        <w:rPr>
          <w:b/>
        </w:rPr>
        <w:t>Out of scope:</w:t>
      </w:r>
    </w:p>
    <w:p w14:paraId="2EFA452D" w14:textId="1C78D8E2" w:rsidR="00167025" w:rsidRPr="00167025" w:rsidRDefault="00167025" w:rsidP="00A840A5">
      <w:pPr>
        <w:pStyle w:val="ListParagraph"/>
      </w:pPr>
      <w:r w:rsidRPr="00167025">
        <w:t>Change requests seeking clarification to a coding challenge (query)</w:t>
      </w:r>
    </w:p>
    <w:p w14:paraId="523CA54A" w14:textId="3F8CA197" w:rsidR="00167025" w:rsidRPr="00167025" w:rsidRDefault="00167025" w:rsidP="00A840A5">
      <w:pPr>
        <w:pStyle w:val="ListParagraph"/>
      </w:pPr>
      <w:r w:rsidRPr="00167025">
        <w:t>Changes to the Hospital Acquired Complications (HAC) list</w:t>
      </w:r>
    </w:p>
    <w:p w14:paraId="7B9DEED5" w14:textId="5BFFD427" w:rsidR="00167025" w:rsidRPr="00167025" w:rsidRDefault="00167025" w:rsidP="00A840A5">
      <w:pPr>
        <w:pStyle w:val="ListParagraph"/>
      </w:pPr>
      <w:r w:rsidRPr="00167025">
        <w:t>Changes to the Classification of Hospital</w:t>
      </w:r>
      <w:r w:rsidR="0015003E">
        <w:t xml:space="preserve"> Acquired Diagnoses (CHADx) list</w:t>
      </w:r>
    </w:p>
    <w:p w14:paraId="5C99BF11" w14:textId="6FB69687" w:rsidR="00167025" w:rsidRPr="00167025" w:rsidRDefault="00167025" w:rsidP="00A840A5">
      <w:pPr>
        <w:pStyle w:val="ListParagraph"/>
      </w:pPr>
      <w:r w:rsidRPr="00167025">
        <w:t>Change requests relating to data quality audits that are not directly about classification development</w:t>
      </w:r>
    </w:p>
    <w:p w14:paraId="1143DFA5" w14:textId="3890B96F" w:rsidR="00167025" w:rsidRPr="00167025" w:rsidRDefault="00167025" w:rsidP="00A840A5">
      <w:pPr>
        <w:pStyle w:val="ListParagraph"/>
      </w:pPr>
      <w:r w:rsidRPr="00167025">
        <w:t>Change requests relating to metadata specifications, definitions and standards</w:t>
      </w:r>
    </w:p>
    <w:p w14:paraId="73E78911" w14:textId="0929085F" w:rsidR="00167025" w:rsidRPr="00167025" w:rsidRDefault="00167025" w:rsidP="00A840A5">
      <w:pPr>
        <w:pStyle w:val="ListParagraph"/>
      </w:pPr>
      <w:r w:rsidRPr="00167025">
        <w:t>Major reconstruction of ICD-10-AM</w:t>
      </w:r>
    </w:p>
    <w:p w14:paraId="14823FFF" w14:textId="66EDE4F8" w:rsidR="00167025" w:rsidRPr="00167025" w:rsidRDefault="00167025" w:rsidP="00A840A5">
      <w:pPr>
        <w:pStyle w:val="ListParagraph"/>
      </w:pPr>
      <w:r w:rsidRPr="00167025">
        <w:t>Major reconstruction of ACHI</w:t>
      </w:r>
    </w:p>
    <w:p w14:paraId="52CCF845" w14:textId="34896C17" w:rsidR="00167025" w:rsidRPr="00167025" w:rsidRDefault="00167025" w:rsidP="00A840A5">
      <w:pPr>
        <w:pStyle w:val="ListParagraph"/>
      </w:pPr>
      <w:r w:rsidRPr="00167025">
        <w:t>Major changes to the classification that may lead to significant instability in collected health data</w:t>
      </w:r>
    </w:p>
    <w:p w14:paraId="439FE87C" w14:textId="6EB1B7DA" w:rsidR="00167025" w:rsidRPr="00167025" w:rsidRDefault="00167025" w:rsidP="00A840A5">
      <w:pPr>
        <w:pStyle w:val="ListParagraph"/>
      </w:pPr>
      <w:r w:rsidRPr="00167025">
        <w:t>Submissions where the underlying cause of concern lies within AR-DRG</w:t>
      </w:r>
      <w:r w:rsidR="00D4618F">
        <w:t>s</w:t>
      </w:r>
      <w:r w:rsidRPr="00167025">
        <w:t xml:space="preserve"> alone</w:t>
      </w:r>
    </w:p>
    <w:p w14:paraId="1E67E86C" w14:textId="6B2B0FF7" w:rsidR="00443B5F" w:rsidRDefault="00167025" w:rsidP="00A840A5">
      <w:pPr>
        <w:pStyle w:val="ListParagraph"/>
      </w:pPr>
      <w:r w:rsidRPr="00BF3C7D">
        <w:lastRenderedPageBreak/>
        <w:t>Submi</w:t>
      </w:r>
      <w:r>
        <w:t>ssions where the underlying cause of concern is directly related to admission policy</w:t>
      </w:r>
      <w:r w:rsidR="008E03E8">
        <w:t>.</w:t>
      </w:r>
    </w:p>
    <w:p w14:paraId="1E4ADA80" w14:textId="62F0001A" w:rsidR="009D1FB0" w:rsidRPr="00314E89" w:rsidRDefault="00747974" w:rsidP="00B608AF">
      <w:pPr>
        <w:pStyle w:val="Heading3"/>
        <w:numPr>
          <w:ilvl w:val="0"/>
          <w:numId w:val="0"/>
        </w:numPr>
        <w:spacing w:before="120"/>
        <w:rPr>
          <w:caps/>
        </w:rPr>
      </w:pPr>
      <w:bookmarkStart w:id="25" w:name="_Toc57217919"/>
      <w:r>
        <w:t>3</w:t>
      </w:r>
      <w:r w:rsidR="00026E99">
        <w:t>.2.2</w:t>
      </w:r>
      <w:r w:rsidR="00026E99">
        <w:tab/>
      </w:r>
      <w:r w:rsidR="009D1FB0">
        <w:t>Prioritisation principles</w:t>
      </w:r>
      <w:bookmarkEnd w:id="25"/>
      <w:r w:rsidR="009D1FB0">
        <w:t xml:space="preserve"> </w:t>
      </w:r>
    </w:p>
    <w:p w14:paraId="76EF47AB" w14:textId="277E2B50" w:rsidR="00167025" w:rsidRDefault="00167025" w:rsidP="00395F33">
      <w:pPr>
        <w:ind w:left="0" w:hanging="5"/>
      </w:pPr>
      <w:r w:rsidRPr="00167025">
        <w:t xml:space="preserve">All in scope development submissions will be assessed against </w:t>
      </w:r>
      <w:r w:rsidRPr="005F4BE2">
        <w:t>the prioritisation principles</w:t>
      </w:r>
      <w:r w:rsidR="00B626BC">
        <w:t>, or criteria for priority level,</w:t>
      </w:r>
      <w:r w:rsidRPr="005F4BE2">
        <w:t xml:space="preserve"> </w:t>
      </w:r>
      <w:r w:rsidR="00EE56DD">
        <w:t xml:space="preserve">and assigned to </w:t>
      </w:r>
      <w:r w:rsidRPr="00167025">
        <w:t xml:space="preserve">one of the following categories: </w:t>
      </w:r>
    </w:p>
    <w:p w14:paraId="7BF58656" w14:textId="2C8C5D1E" w:rsidR="00167025" w:rsidRPr="00167025" w:rsidRDefault="00A068EF" w:rsidP="00A840A5">
      <w:pPr>
        <w:pStyle w:val="ListParagraph"/>
      </w:pPr>
      <w:r w:rsidRPr="0015003E">
        <w:rPr>
          <w:b/>
        </w:rPr>
        <w:t xml:space="preserve">High </w:t>
      </w:r>
      <w:r w:rsidR="00167025" w:rsidRPr="0015003E">
        <w:rPr>
          <w:b/>
        </w:rPr>
        <w:t>priority</w:t>
      </w:r>
      <w:r w:rsidR="0015003E">
        <w:t xml:space="preserve">: </w:t>
      </w:r>
      <w:r w:rsidR="0015003E" w:rsidRPr="00167025">
        <w:t>essential to ensure the integrity and currency of the core components and attributes of the classification</w:t>
      </w:r>
      <w:r w:rsidR="00167025" w:rsidRPr="00167025">
        <w:t xml:space="preserve"> </w:t>
      </w:r>
    </w:p>
    <w:p w14:paraId="2D7D6930" w14:textId="4DC8E8B7" w:rsidR="00167025" w:rsidRPr="00167025" w:rsidRDefault="00A068EF" w:rsidP="00A840A5">
      <w:pPr>
        <w:pStyle w:val="ListParagraph"/>
      </w:pPr>
      <w:r w:rsidRPr="0015003E">
        <w:rPr>
          <w:b/>
        </w:rPr>
        <w:t xml:space="preserve">Medium </w:t>
      </w:r>
      <w:r w:rsidR="00167025" w:rsidRPr="0015003E">
        <w:rPr>
          <w:b/>
        </w:rPr>
        <w:t>priority</w:t>
      </w:r>
      <w:r w:rsidR="0015003E">
        <w:t>: h</w:t>
      </w:r>
      <w:r w:rsidR="0015003E" w:rsidRPr="00167025">
        <w:t>as merit but is not critical for integration in the current development cycle</w:t>
      </w:r>
      <w:r w:rsidR="00167025" w:rsidRPr="00167025">
        <w:t xml:space="preserve"> </w:t>
      </w:r>
    </w:p>
    <w:p w14:paraId="7DA9550E" w14:textId="0DB846ED" w:rsidR="00167025" w:rsidRDefault="00A068EF" w:rsidP="00A840A5">
      <w:pPr>
        <w:pStyle w:val="ListParagraph"/>
      </w:pPr>
      <w:r w:rsidRPr="0015003E">
        <w:rPr>
          <w:b/>
        </w:rPr>
        <w:t xml:space="preserve">Low </w:t>
      </w:r>
      <w:r w:rsidR="00167025" w:rsidRPr="0015003E">
        <w:rPr>
          <w:b/>
        </w:rPr>
        <w:t>priority</w:t>
      </w:r>
      <w:r w:rsidR="0015003E">
        <w:t>: has merit, but is low priority; but may be developed in the progression of other related development tasks.</w:t>
      </w:r>
    </w:p>
    <w:p w14:paraId="7A6B5114" w14:textId="77777777" w:rsidR="004E687C" w:rsidRDefault="00167025" w:rsidP="00395F33">
      <w:pPr>
        <w:ind w:left="0" w:firstLine="0"/>
      </w:pPr>
      <w:r w:rsidRPr="000F33C3">
        <w:t xml:space="preserve">A development submission will be assigned a priority level if it meets at least one of the </w:t>
      </w:r>
      <w:r w:rsidR="005F4BE2" w:rsidRPr="000F33C3">
        <w:t xml:space="preserve">criteria </w:t>
      </w:r>
      <w:r w:rsidRPr="000F33C3">
        <w:t>defined within that priority level</w:t>
      </w:r>
      <w:r w:rsidR="005F4BE2" w:rsidRPr="000F33C3">
        <w:t xml:space="preserve"> (</w:t>
      </w:r>
      <w:r w:rsidR="005F4BE2" w:rsidRPr="00011016">
        <w:rPr>
          <w:b/>
        </w:rPr>
        <w:fldChar w:fldCharType="begin"/>
      </w:r>
      <w:r w:rsidR="005F4BE2" w:rsidRPr="00011016">
        <w:instrText xml:space="preserve"> REF _Ref53130709 \h  \* MERGEFORMAT </w:instrText>
      </w:r>
      <w:r w:rsidR="005F4BE2" w:rsidRPr="00011016">
        <w:rPr>
          <w:b/>
        </w:rPr>
      </w:r>
      <w:r w:rsidR="005F4BE2" w:rsidRPr="00011016">
        <w:rPr>
          <w:b/>
        </w:rPr>
        <w:fldChar w:fldCharType="separate"/>
      </w:r>
      <w:r w:rsidR="005F4BE2" w:rsidRPr="00011016">
        <w:rPr>
          <w:b/>
        </w:rPr>
        <w:t xml:space="preserve">Table </w:t>
      </w:r>
      <w:r w:rsidR="00240496">
        <w:rPr>
          <w:b/>
          <w:noProof/>
        </w:rPr>
        <w:t>1</w:t>
      </w:r>
      <w:r w:rsidR="005F4BE2" w:rsidRPr="00011016">
        <w:rPr>
          <w:b/>
        </w:rPr>
        <w:fldChar w:fldCharType="end"/>
      </w:r>
      <w:r w:rsidR="005F4BE2" w:rsidRPr="000F33C3">
        <w:t>)</w:t>
      </w:r>
      <w:r w:rsidRPr="000F33C3">
        <w:t xml:space="preserve">. Where a development submission meets </w:t>
      </w:r>
      <w:r w:rsidR="000F33C3">
        <w:t xml:space="preserve">criteria </w:t>
      </w:r>
      <w:r w:rsidRPr="000F33C3">
        <w:t xml:space="preserve">from more than one priority level it will be assigned to the higher level. </w:t>
      </w:r>
    </w:p>
    <w:p w14:paraId="0B09EC9A" w14:textId="32E7110B" w:rsidR="00167025" w:rsidRDefault="00167025" w:rsidP="00395F33">
      <w:pPr>
        <w:ind w:left="0" w:firstLine="0"/>
      </w:pPr>
      <w:r w:rsidRPr="000F33C3">
        <w:t xml:space="preserve">IHPA will seek advice from CCAG and/or the appropriate advisory group to determine </w:t>
      </w:r>
      <w:r w:rsidR="004E687C">
        <w:t>if the priority level of a development task requires review</w:t>
      </w:r>
      <w:r w:rsidR="009B785F" w:rsidRPr="000F33C3">
        <w:t>.</w:t>
      </w:r>
    </w:p>
    <w:p w14:paraId="1346A1FB" w14:textId="585D1EDB" w:rsidR="00167025" w:rsidRDefault="00540BAE" w:rsidP="00617248">
      <w:pPr>
        <w:pStyle w:val="Caption"/>
        <w:spacing w:before="120" w:after="120"/>
        <w:ind w:left="0" w:firstLine="0"/>
      </w:pPr>
      <w:bookmarkStart w:id="26" w:name="_Ref53130709"/>
      <w:r>
        <w:t xml:space="preserve">Table </w:t>
      </w:r>
      <w:bookmarkEnd w:id="26"/>
      <w:r w:rsidR="00240496">
        <w:t>1.</w:t>
      </w:r>
      <w:r>
        <w:t xml:space="preserve"> </w:t>
      </w:r>
      <w:r w:rsidR="00B626BC">
        <w:t xml:space="preserve">Priority criteria for </w:t>
      </w:r>
      <w:r>
        <w:t>ICD-10-AM/ACHI/ACS</w:t>
      </w:r>
      <w:r w:rsidR="00C760D9">
        <w:t xml:space="preserve"> development tasks</w:t>
      </w:r>
    </w:p>
    <w:tbl>
      <w:tblPr>
        <w:tblStyle w:val="TableGrid"/>
        <w:tblW w:w="9493" w:type="dxa"/>
        <w:tblLook w:val="04A0" w:firstRow="1" w:lastRow="0" w:firstColumn="1" w:lastColumn="0" w:noHBand="0" w:noVBand="1"/>
      </w:tblPr>
      <w:tblGrid>
        <w:gridCol w:w="2122"/>
        <w:gridCol w:w="7371"/>
      </w:tblGrid>
      <w:tr w:rsidR="00167025" w:rsidRPr="00167025" w14:paraId="499EF18D" w14:textId="77777777" w:rsidTr="00065A1C">
        <w:trPr>
          <w:trHeight w:val="473"/>
          <w:tblHeader/>
        </w:trPr>
        <w:tc>
          <w:tcPr>
            <w:tcW w:w="2122" w:type="dxa"/>
            <w:shd w:val="clear" w:color="auto" w:fill="008542" w:themeFill="accent2"/>
            <w:vAlign w:val="center"/>
          </w:tcPr>
          <w:p w14:paraId="0A8F81F4" w14:textId="3EE85313" w:rsidR="00167025" w:rsidRPr="00240496" w:rsidRDefault="00B626BC" w:rsidP="00065A1C">
            <w:pPr>
              <w:ind w:left="0" w:firstLine="0"/>
              <w:rPr>
                <w:b/>
                <w:color w:val="FFFFFF" w:themeColor="background2"/>
              </w:rPr>
            </w:pPr>
            <w:r w:rsidRPr="00240496">
              <w:rPr>
                <w:b/>
                <w:color w:val="FFFFFF" w:themeColor="background2"/>
              </w:rPr>
              <w:t xml:space="preserve">Priority </w:t>
            </w:r>
          </w:p>
        </w:tc>
        <w:tc>
          <w:tcPr>
            <w:tcW w:w="7371" w:type="dxa"/>
            <w:shd w:val="clear" w:color="auto" w:fill="008542" w:themeFill="accent2"/>
            <w:vAlign w:val="center"/>
          </w:tcPr>
          <w:p w14:paraId="3E792C22" w14:textId="443095A9" w:rsidR="00167025" w:rsidRPr="00240496" w:rsidRDefault="00167025" w:rsidP="00065A1C">
            <w:pPr>
              <w:ind w:left="0" w:firstLine="0"/>
              <w:rPr>
                <w:b/>
                <w:color w:val="FFFFFF" w:themeColor="background2"/>
              </w:rPr>
            </w:pPr>
            <w:r w:rsidRPr="00240496">
              <w:rPr>
                <w:b/>
                <w:color w:val="FFFFFF" w:themeColor="background2"/>
              </w:rPr>
              <w:t>Criteria</w:t>
            </w:r>
            <w:r w:rsidR="00B626BC" w:rsidRPr="00240496">
              <w:rPr>
                <w:b/>
                <w:color w:val="FFFFFF" w:themeColor="background2"/>
              </w:rPr>
              <w:t xml:space="preserve"> for priority level</w:t>
            </w:r>
          </w:p>
        </w:tc>
      </w:tr>
      <w:tr w:rsidR="00167025" w14:paraId="29675219" w14:textId="77777777" w:rsidTr="0015003E">
        <w:tc>
          <w:tcPr>
            <w:tcW w:w="2122" w:type="dxa"/>
          </w:tcPr>
          <w:p w14:paraId="71A59DA3" w14:textId="0445907F" w:rsidR="00167025" w:rsidRPr="00240496" w:rsidRDefault="00167025" w:rsidP="007C2F8A">
            <w:pPr>
              <w:ind w:left="0" w:firstLine="0"/>
              <w:rPr>
                <w:sz w:val="20"/>
                <w:szCs w:val="20"/>
              </w:rPr>
            </w:pPr>
            <w:r w:rsidRPr="00240496">
              <w:rPr>
                <w:b/>
                <w:sz w:val="20"/>
                <w:szCs w:val="20"/>
              </w:rPr>
              <w:t>High priority</w:t>
            </w:r>
          </w:p>
        </w:tc>
        <w:tc>
          <w:tcPr>
            <w:tcW w:w="7371" w:type="dxa"/>
          </w:tcPr>
          <w:p w14:paraId="36C110B8" w14:textId="0CC19B89" w:rsidR="00167025" w:rsidRPr="00240496" w:rsidRDefault="00167025" w:rsidP="00796BA9">
            <w:pPr>
              <w:pStyle w:val="ListParagraph"/>
            </w:pPr>
            <w:r w:rsidRPr="00240496">
              <w:t>Maintain alignme</w:t>
            </w:r>
            <w:r w:rsidR="00B626BC" w:rsidRPr="00240496">
              <w:t>nt with parent classifications</w:t>
            </w:r>
          </w:p>
          <w:p w14:paraId="0024947D" w14:textId="170D7F0E" w:rsidR="00167025" w:rsidRPr="00240496" w:rsidRDefault="00167025" w:rsidP="00796BA9">
            <w:pPr>
              <w:pStyle w:val="ListParagraph"/>
            </w:pPr>
            <w:r w:rsidRPr="00240496">
              <w:t xml:space="preserve">Address significant gaps in the classification that do not reflect contemporary clinical or classification practice </w:t>
            </w:r>
          </w:p>
          <w:p w14:paraId="03174C77" w14:textId="5805467B" w:rsidR="00167025" w:rsidRPr="00240496" w:rsidRDefault="00167025" w:rsidP="00796BA9">
            <w:pPr>
              <w:pStyle w:val="ListParagraph"/>
            </w:pPr>
            <w:r w:rsidRPr="00240496">
              <w:t xml:space="preserve">Support safety and quality initiatives </w:t>
            </w:r>
          </w:p>
          <w:p w14:paraId="782E2DC3" w14:textId="1FADF2F5" w:rsidR="00167025" w:rsidRPr="00240496" w:rsidRDefault="00167025" w:rsidP="00796BA9">
            <w:pPr>
              <w:pStyle w:val="ListParagraph"/>
            </w:pPr>
            <w:r w:rsidRPr="00240496">
              <w:t xml:space="preserve">Referrals from significant AR-DRG development proposals that also add value to ICD-10-AM/ACHI/ACS </w:t>
            </w:r>
          </w:p>
          <w:p w14:paraId="799D7A3C" w14:textId="10A2BC1E" w:rsidR="00167025" w:rsidRPr="00240496" w:rsidRDefault="00167025" w:rsidP="00796BA9">
            <w:pPr>
              <w:pStyle w:val="ListParagraph"/>
            </w:pPr>
            <w:r w:rsidRPr="00240496">
              <w:t>Incorporation of errata</w:t>
            </w:r>
          </w:p>
        </w:tc>
      </w:tr>
      <w:tr w:rsidR="00167025" w14:paraId="1650FB52" w14:textId="77777777" w:rsidTr="0015003E">
        <w:tc>
          <w:tcPr>
            <w:tcW w:w="2122" w:type="dxa"/>
          </w:tcPr>
          <w:p w14:paraId="7BC55E1F" w14:textId="76543F15" w:rsidR="00167025" w:rsidRPr="00240496" w:rsidRDefault="00167025" w:rsidP="007C2F8A">
            <w:pPr>
              <w:ind w:left="30" w:firstLine="0"/>
              <w:rPr>
                <w:sz w:val="20"/>
                <w:szCs w:val="20"/>
              </w:rPr>
            </w:pPr>
            <w:r w:rsidRPr="00240496">
              <w:rPr>
                <w:b/>
                <w:sz w:val="20"/>
                <w:szCs w:val="20"/>
              </w:rPr>
              <w:t>Medium priority</w:t>
            </w:r>
          </w:p>
        </w:tc>
        <w:tc>
          <w:tcPr>
            <w:tcW w:w="7371" w:type="dxa"/>
          </w:tcPr>
          <w:p w14:paraId="15F4EBBE" w14:textId="6F6A67A7" w:rsidR="00167025" w:rsidRPr="00240496" w:rsidRDefault="00167025" w:rsidP="00796BA9">
            <w:pPr>
              <w:pStyle w:val="ListParagraph"/>
            </w:pPr>
            <w:r w:rsidRPr="00240496">
              <w:t xml:space="preserve">Support national or jurisdictional strategies, or high priority public interest issues </w:t>
            </w:r>
          </w:p>
          <w:p w14:paraId="2B844E69" w14:textId="0FFF4DBF" w:rsidR="00167025" w:rsidRPr="00240496" w:rsidRDefault="00167025" w:rsidP="00796BA9">
            <w:pPr>
              <w:pStyle w:val="ListParagraph"/>
            </w:pPr>
            <w:r w:rsidRPr="00240496">
              <w:t xml:space="preserve">Changes to sex or age edits </w:t>
            </w:r>
          </w:p>
          <w:p w14:paraId="0DC0DE5A" w14:textId="6B580D92" w:rsidR="00167025" w:rsidRPr="00240496" w:rsidRDefault="00167025" w:rsidP="00796BA9">
            <w:pPr>
              <w:pStyle w:val="ListParagraph"/>
            </w:pPr>
            <w:r w:rsidRPr="00240496">
              <w:t xml:space="preserve">Address conflicting or missing classification conventions that may restrict code assignment </w:t>
            </w:r>
          </w:p>
          <w:p w14:paraId="5DB8D1AE" w14:textId="59FFF325" w:rsidR="00167025" w:rsidRPr="00240496" w:rsidRDefault="00167025" w:rsidP="00796BA9">
            <w:pPr>
              <w:pStyle w:val="ListParagraph"/>
            </w:pPr>
            <w:r w:rsidRPr="00240496">
              <w:t>Referrals from AR-DRG development that add value in a future edition</w:t>
            </w:r>
          </w:p>
        </w:tc>
      </w:tr>
      <w:tr w:rsidR="00167025" w14:paraId="7D2DBFE1" w14:textId="77777777" w:rsidTr="0015003E">
        <w:tc>
          <w:tcPr>
            <w:tcW w:w="2122" w:type="dxa"/>
          </w:tcPr>
          <w:p w14:paraId="3BC63CF9" w14:textId="2F43D5AE" w:rsidR="00167025" w:rsidRPr="00240496" w:rsidRDefault="00065A1C" w:rsidP="007C2F8A">
            <w:pPr>
              <w:ind w:left="30" w:hanging="30"/>
              <w:rPr>
                <w:b/>
                <w:sz w:val="20"/>
                <w:szCs w:val="20"/>
              </w:rPr>
            </w:pPr>
            <w:r>
              <w:rPr>
                <w:b/>
                <w:sz w:val="20"/>
                <w:szCs w:val="20"/>
              </w:rPr>
              <w:t>Low priority</w:t>
            </w:r>
          </w:p>
        </w:tc>
        <w:tc>
          <w:tcPr>
            <w:tcW w:w="7371" w:type="dxa"/>
          </w:tcPr>
          <w:p w14:paraId="6C8C3BD4" w14:textId="77777777" w:rsidR="00167025" w:rsidRPr="00240496" w:rsidRDefault="00167025" w:rsidP="00796BA9">
            <w:pPr>
              <w:pStyle w:val="ListParagraph"/>
            </w:pPr>
            <w:r w:rsidRPr="00240496">
              <w:t xml:space="preserve">Incorporating advice provided within coding rules into the classification </w:t>
            </w:r>
          </w:p>
          <w:p w14:paraId="3F1E0189" w14:textId="4F9D8843" w:rsidR="00167025" w:rsidRPr="00240496" w:rsidRDefault="00167025" w:rsidP="00796BA9">
            <w:pPr>
              <w:pStyle w:val="ListParagraph"/>
            </w:pPr>
            <w:r w:rsidRPr="00240496">
              <w:t>Incorporating additional index entries, nonessential modifiers, or synonyms</w:t>
            </w:r>
          </w:p>
        </w:tc>
      </w:tr>
    </w:tbl>
    <w:p w14:paraId="6F094154" w14:textId="77777777" w:rsidR="00240496" w:rsidRDefault="00240496" w:rsidP="00240496"/>
    <w:p w14:paraId="4E58D682" w14:textId="77777777" w:rsidR="009B27E1" w:rsidRDefault="009B27E1">
      <w:pPr>
        <w:rPr>
          <w:rFonts w:asciiTheme="majorHAnsi" w:hAnsiTheme="majorHAnsi"/>
          <w:color w:val="004200" w:themeColor="accent1"/>
          <w:sz w:val="24"/>
          <w:szCs w:val="28"/>
        </w:rPr>
      </w:pPr>
      <w:r>
        <w:br w:type="page"/>
      </w:r>
    </w:p>
    <w:p w14:paraId="1EB1BD71" w14:textId="28EE0594" w:rsidR="009D1FB0" w:rsidRPr="00314E89" w:rsidRDefault="00747974" w:rsidP="00B608AF">
      <w:pPr>
        <w:pStyle w:val="Heading3"/>
        <w:numPr>
          <w:ilvl w:val="0"/>
          <w:numId w:val="0"/>
        </w:numPr>
        <w:spacing w:before="120"/>
        <w:rPr>
          <w:caps/>
        </w:rPr>
      </w:pPr>
      <w:bookmarkStart w:id="27" w:name="_Toc57217920"/>
      <w:r>
        <w:lastRenderedPageBreak/>
        <w:t>3</w:t>
      </w:r>
      <w:r w:rsidR="00026E99">
        <w:t>.2.3</w:t>
      </w:r>
      <w:r w:rsidR="00026E99">
        <w:tab/>
      </w:r>
      <w:r w:rsidR="009D1FB0">
        <w:t>Development principles</w:t>
      </w:r>
      <w:bookmarkEnd w:id="27"/>
      <w:r w:rsidR="009D1FB0">
        <w:t xml:space="preserve"> </w:t>
      </w:r>
    </w:p>
    <w:p w14:paraId="288CD053" w14:textId="4EED1C55" w:rsidR="009D1FB0" w:rsidRDefault="000D73B5" w:rsidP="00395F33">
      <w:pPr>
        <w:ind w:left="0" w:firstLine="0"/>
        <w:rPr>
          <w:rFonts w:cs="Arial"/>
        </w:rPr>
      </w:pPr>
      <w:r>
        <w:rPr>
          <w:rFonts w:cs="Arial"/>
        </w:rPr>
        <w:t>The d</w:t>
      </w:r>
      <w:r w:rsidR="00167025" w:rsidRPr="00167025">
        <w:rPr>
          <w:rFonts w:cs="Arial"/>
        </w:rPr>
        <w:t xml:space="preserve">evelopment principles identify the rules applied during the refinement and development </w:t>
      </w:r>
      <w:r w:rsidR="00C760D9">
        <w:rPr>
          <w:rFonts w:cs="Arial"/>
        </w:rPr>
        <w:t>process of the ICD-10-AM/ACHI/ACS classification system</w:t>
      </w:r>
      <w:r w:rsidR="009B348D">
        <w:rPr>
          <w:rFonts w:cs="Arial"/>
        </w:rPr>
        <w:t xml:space="preserve">, </w:t>
      </w:r>
      <w:r w:rsidR="005F4BE2">
        <w:rPr>
          <w:rFonts w:cs="Arial"/>
        </w:rPr>
        <w:t>as follows:</w:t>
      </w:r>
    </w:p>
    <w:p w14:paraId="0B41A695" w14:textId="38458B2C" w:rsidR="00167025" w:rsidRPr="00167025" w:rsidRDefault="00167025" w:rsidP="00A840A5">
      <w:pPr>
        <w:pStyle w:val="ListParagraph"/>
      </w:pPr>
      <w:r w:rsidRPr="00BF3C7D">
        <w:t>Development</w:t>
      </w:r>
      <w:r w:rsidRPr="00167025">
        <w:t xml:space="preserve"> must be evidence based with strong clinical support or proof of materiality</w:t>
      </w:r>
    </w:p>
    <w:p w14:paraId="70A05E72" w14:textId="19D827B1" w:rsidR="00167025" w:rsidRPr="00A643A3" w:rsidRDefault="00167025" w:rsidP="00A840A5">
      <w:pPr>
        <w:pStyle w:val="ListParagraph"/>
      </w:pPr>
      <w:r w:rsidRPr="00A643A3">
        <w:t>Related items, irrespective of priority level, will be evaluated and incorporated where possible into a development task within a current development cycle</w:t>
      </w:r>
    </w:p>
    <w:p w14:paraId="53541DB8" w14:textId="3D46272A" w:rsidR="00167025" w:rsidRPr="00A643A3" w:rsidRDefault="00167025" w:rsidP="00A840A5">
      <w:pPr>
        <w:pStyle w:val="ListParagraph"/>
      </w:pPr>
      <w:r w:rsidRPr="00A643A3">
        <w:t>ICD-10-AM codes will not exceed five characters</w:t>
      </w:r>
      <w:r w:rsidR="00796BA9">
        <w:t>, ACHI codes will not exceed seven characters.</w:t>
      </w:r>
    </w:p>
    <w:p w14:paraId="5D0501AB" w14:textId="161AD4C6" w:rsidR="00167025" w:rsidRPr="00A643A3" w:rsidRDefault="00167025" w:rsidP="00A840A5">
      <w:pPr>
        <w:pStyle w:val="ListParagraph"/>
      </w:pPr>
      <w:r w:rsidRPr="00A643A3">
        <w:t>The ACHI must adopt MBS item numbers where possible</w:t>
      </w:r>
    </w:p>
    <w:p w14:paraId="241DF78E" w14:textId="3D0C5A09" w:rsidR="00167025" w:rsidRPr="00A643A3" w:rsidRDefault="00167025" w:rsidP="00A75859">
      <w:pPr>
        <w:pStyle w:val="BodyText"/>
        <w:numPr>
          <w:ilvl w:val="0"/>
          <w:numId w:val="12"/>
        </w:numPr>
      </w:pPr>
      <w:r w:rsidRPr="00A643A3">
        <w:t>The ACS and coding rules must be informative and written in plain English to avoid ambiguity</w:t>
      </w:r>
    </w:p>
    <w:p w14:paraId="2CAED4C9" w14:textId="437E99C1" w:rsidR="00167025" w:rsidRPr="00A643A3" w:rsidRDefault="00167025" w:rsidP="00A840A5">
      <w:pPr>
        <w:pStyle w:val="ListParagraph"/>
      </w:pPr>
      <w:r w:rsidRPr="00A643A3">
        <w:t>Examples in the ACS must demonstrate application of the standard (i.e. if the examples were removed can it stand alone)</w:t>
      </w:r>
    </w:p>
    <w:p w14:paraId="4A25E076" w14:textId="18C18296" w:rsidR="00167025" w:rsidRPr="00A643A3" w:rsidRDefault="00167025" w:rsidP="00A840A5">
      <w:pPr>
        <w:pStyle w:val="ListParagraph"/>
      </w:pPr>
      <w:r w:rsidRPr="00A643A3">
        <w:t xml:space="preserve">Maintain alignment with </w:t>
      </w:r>
      <w:r w:rsidRPr="00FC0776">
        <w:t>the</w:t>
      </w:r>
      <w:r w:rsidR="0015003E">
        <w:t xml:space="preserve"> rubrics in</w:t>
      </w:r>
      <w:r w:rsidRPr="00FC0776">
        <w:t xml:space="preserve"> </w:t>
      </w:r>
      <w:r w:rsidR="00BB3FA7">
        <w:t>the International Classification of Diseases, Eleventh Revision (</w:t>
      </w:r>
      <w:r w:rsidRPr="00FC0776">
        <w:t>ICD-11</w:t>
      </w:r>
      <w:r w:rsidR="00BB3FA7">
        <w:t>)</w:t>
      </w:r>
      <w:r w:rsidRPr="00FC0776">
        <w:t xml:space="preserve"> and </w:t>
      </w:r>
      <w:r w:rsidR="00BB3FA7">
        <w:t>the International Classification of Health Interventions (</w:t>
      </w:r>
      <w:r w:rsidRPr="00FC0776">
        <w:t>ICHI</w:t>
      </w:r>
      <w:r w:rsidR="00BB3FA7">
        <w:t>)</w:t>
      </w:r>
      <w:r w:rsidRPr="00A643A3">
        <w:t xml:space="preserve"> where possible</w:t>
      </w:r>
    </w:p>
    <w:p w14:paraId="2A20E69C" w14:textId="03D8FA04" w:rsidR="00167025" w:rsidRPr="00A643A3" w:rsidRDefault="00167025" w:rsidP="00A840A5">
      <w:pPr>
        <w:pStyle w:val="ListParagraph"/>
      </w:pPr>
      <w:r w:rsidRPr="00A643A3">
        <w:t>Support logical classification of concepts by correctly applying conventions in ICD</w:t>
      </w:r>
      <w:r w:rsidR="000F33C3">
        <w:noBreakHyphen/>
      </w:r>
      <w:r w:rsidRPr="00A643A3">
        <w:t>10</w:t>
      </w:r>
      <w:r w:rsidR="000F33C3">
        <w:noBreakHyphen/>
      </w:r>
      <w:r w:rsidRPr="00A643A3">
        <w:t>AM or ACHI, without the need for explicit support from specialty standards in the ACS</w:t>
      </w:r>
    </w:p>
    <w:p w14:paraId="4B3BBD0C" w14:textId="63AECD6F" w:rsidR="00167025" w:rsidRPr="00A643A3" w:rsidRDefault="00167025" w:rsidP="00A840A5">
      <w:pPr>
        <w:pStyle w:val="ListParagraph"/>
      </w:pPr>
      <w:r w:rsidRPr="00A643A3">
        <w:t>Inclusion terms must be indexed but Includes notes do not require indexing</w:t>
      </w:r>
    </w:p>
    <w:p w14:paraId="4DD04F0C" w14:textId="1E644816" w:rsidR="00167025" w:rsidRPr="00A643A3" w:rsidRDefault="00167025" w:rsidP="00A840A5">
      <w:pPr>
        <w:pStyle w:val="ListParagraph"/>
      </w:pPr>
      <w:r w:rsidRPr="00A643A3">
        <w:t>Essential modifiers and nonessential modifiers must not be indexed at the same level (i.e.</w:t>
      </w:r>
      <w:r w:rsidR="00A643A3" w:rsidRPr="00A643A3">
        <w:t> </w:t>
      </w:r>
      <w:r w:rsidRPr="00A643A3">
        <w:t>subterms)</w:t>
      </w:r>
    </w:p>
    <w:p w14:paraId="4B756975" w14:textId="6002339C" w:rsidR="00167025" w:rsidRPr="00A643A3" w:rsidRDefault="00167025" w:rsidP="00A840A5">
      <w:pPr>
        <w:pStyle w:val="ListParagraph"/>
      </w:pPr>
      <w:r w:rsidRPr="00A643A3">
        <w:t>Change requests for laterality or multiplicity for granularity must be supported by data or literature</w:t>
      </w:r>
    </w:p>
    <w:p w14:paraId="725B8F22" w14:textId="15838D38" w:rsidR="00167025" w:rsidRPr="00A643A3" w:rsidRDefault="00167025" w:rsidP="00A840A5">
      <w:pPr>
        <w:pStyle w:val="ListParagraph"/>
      </w:pPr>
      <w:r w:rsidRPr="00A643A3">
        <w:t>Scientific names must be used rather than eponyms for code titles, but may exist in the Alphabetic Index or listed as Inclusion terms for classification purposes</w:t>
      </w:r>
    </w:p>
    <w:p w14:paraId="0B66C9A5" w14:textId="5283D15A" w:rsidR="00167025" w:rsidRDefault="00640F21" w:rsidP="00A840A5">
      <w:pPr>
        <w:pStyle w:val="ListParagraph"/>
      </w:pPr>
      <w:r>
        <w:t>C</w:t>
      </w:r>
      <w:r w:rsidR="00167025" w:rsidRPr="00167025">
        <w:t>onventions</w:t>
      </w:r>
      <w:r>
        <w:t xml:space="preserve"> and specifications</w:t>
      </w:r>
      <w:r w:rsidR="00167025" w:rsidRPr="00167025">
        <w:t xml:space="preserve"> outlined in the classification system (e.g.</w:t>
      </w:r>
      <w:r w:rsidR="00A643A3">
        <w:t> </w:t>
      </w:r>
      <w:r w:rsidR="00167025" w:rsidRPr="00167025">
        <w:t xml:space="preserve">ACHI aims to be technique and provider neutral, </w:t>
      </w:r>
      <w:r>
        <w:t xml:space="preserve">and </w:t>
      </w:r>
      <w:r w:rsidR="00167025" w:rsidRPr="00167025">
        <w:t>avoid</w:t>
      </w:r>
      <w:r>
        <w:t>s</w:t>
      </w:r>
      <w:r w:rsidR="00167025" w:rsidRPr="00167025">
        <w:t xml:space="preserve"> </w:t>
      </w:r>
      <w:r>
        <w:t xml:space="preserve">the use of </w:t>
      </w:r>
      <w:r w:rsidR="00167025" w:rsidRPr="00167025">
        <w:t>diagnostic concepts etc.)</w:t>
      </w:r>
      <w:r w:rsidR="008559FE">
        <w:t xml:space="preserve"> must be adhered to</w:t>
      </w:r>
      <w:r w:rsidR="009B785F">
        <w:t>.</w:t>
      </w:r>
    </w:p>
    <w:p w14:paraId="3C9CE926" w14:textId="095A3597" w:rsidR="0015003E" w:rsidRDefault="00D006B4" w:rsidP="00D006B4">
      <w:pPr>
        <w:pStyle w:val="Body"/>
        <w:spacing w:before="120" w:after="120" w:line="240" w:lineRule="auto"/>
        <w:ind w:left="357" w:firstLine="0"/>
      </w:pPr>
      <w:r>
        <w:t>The ICD-10-AM/ACHI/ACS development principles</w:t>
      </w:r>
      <w:r w:rsidR="009B27E1">
        <w:t xml:space="preserve"> support </w:t>
      </w:r>
      <w:r>
        <w:t xml:space="preserve">the established classification conventions </w:t>
      </w:r>
      <w:r w:rsidR="008559FE">
        <w:t>that are</w:t>
      </w:r>
      <w:r>
        <w:t xml:space="preserve"> found in the ICD-10-AM/ACHI/ACS manuals. </w:t>
      </w:r>
    </w:p>
    <w:p w14:paraId="7815179A" w14:textId="77777777" w:rsidR="0015003E" w:rsidRDefault="0015003E" w:rsidP="00B608AF">
      <w:pPr>
        <w:rPr>
          <w:rFonts w:cs="Arial"/>
          <w:b/>
          <w:sz w:val="24"/>
          <w:szCs w:val="28"/>
        </w:rPr>
      </w:pPr>
      <w:r>
        <w:br w:type="page"/>
      </w:r>
    </w:p>
    <w:p w14:paraId="7EC5105A" w14:textId="47475FC7" w:rsidR="00C73372" w:rsidRPr="00314E89" w:rsidRDefault="00946062" w:rsidP="00FF0171">
      <w:pPr>
        <w:pStyle w:val="Heading2"/>
        <w:spacing w:before="120"/>
        <w:ind w:left="0" w:firstLine="0"/>
        <w:rPr>
          <w:caps/>
        </w:rPr>
      </w:pPr>
      <w:bookmarkStart w:id="28" w:name="_Toc57217921"/>
      <w:r>
        <w:lastRenderedPageBreak/>
        <w:t>3</w:t>
      </w:r>
      <w:r w:rsidR="0015003E">
        <w:t>.3</w:t>
      </w:r>
      <w:r w:rsidR="0015003E">
        <w:tab/>
      </w:r>
      <w:r w:rsidR="000D73B5">
        <w:t>AR-</w:t>
      </w:r>
      <w:r w:rsidR="009D1FB0">
        <w:t xml:space="preserve">DRG </w:t>
      </w:r>
      <w:r w:rsidR="000D73B5">
        <w:t>principles</w:t>
      </w:r>
      <w:bookmarkEnd w:id="28"/>
    </w:p>
    <w:p w14:paraId="50092A8B" w14:textId="271C5A5D" w:rsidR="004174F3" w:rsidRPr="00314E89" w:rsidRDefault="00747974" w:rsidP="00B608AF">
      <w:pPr>
        <w:pStyle w:val="Heading3"/>
        <w:numPr>
          <w:ilvl w:val="0"/>
          <w:numId w:val="0"/>
        </w:numPr>
        <w:spacing w:before="120"/>
        <w:rPr>
          <w:caps/>
        </w:rPr>
      </w:pPr>
      <w:bookmarkStart w:id="29" w:name="_Toc57217922"/>
      <w:r>
        <w:t>3</w:t>
      </w:r>
      <w:r w:rsidR="00026E99">
        <w:t>.3</w:t>
      </w:r>
      <w:r w:rsidR="00AC0069">
        <w:t>.1</w:t>
      </w:r>
      <w:r w:rsidR="00AC0069">
        <w:tab/>
      </w:r>
      <w:r w:rsidR="004174F3">
        <w:t>Decision principles</w:t>
      </w:r>
      <w:bookmarkEnd w:id="29"/>
      <w:r w:rsidR="004174F3">
        <w:t xml:space="preserve"> </w:t>
      </w:r>
    </w:p>
    <w:p w14:paraId="38AF12C4" w14:textId="09038DDE" w:rsidR="00167025" w:rsidRDefault="000D73B5" w:rsidP="00395F33">
      <w:pPr>
        <w:ind w:left="0" w:firstLine="0"/>
      </w:pPr>
      <w:r>
        <w:t>The d</w:t>
      </w:r>
      <w:r w:rsidR="00167025" w:rsidRPr="00167025">
        <w:t xml:space="preserve">ecision principles identify submissions that are in scope for classification development. IHPA will seek advice from the CCAG or </w:t>
      </w:r>
      <w:r w:rsidR="00640F21">
        <w:t>other</w:t>
      </w:r>
      <w:r w:rsidR="00167025" w:rsidRPr="00167025">
        <w:t xml:space="preserve"> appropriate advisory group where required. Where CCAG determines that a public submission is clinically incoherent, it will not proceed for classification development.</w:t>
      </w:r>
    </w:p>
    <w:p w14:paraId="147150CA" w14:textId="77777777" w:rsidR="00167025" w:rsidRPr="00167025" w:rsidRDefault="00167025" w:rsidP="00395F33">
      <w:pPr>
        <w:ind w:left="0" w:firstLine="0"/>
        <w:rPr>
          <w:b/>
        </w:rPr>
      </w:pPr>
      <w:r w:rsidRPr="00167025">
        <w:rPr>
          <w:b/>
        </w:rPr>
        <w:t xml:space="preserve">In scope: </w:t>
      </w:r>
    </w:p>
    <w:p w14:paraId="49F2AC47" w14:textId="77777777" w:rsidR="00167025" w:rsidRDefault="00167025" w:rsidP="00395F33">
      <w:pPr>
        <w:ind w:left="0" w:firstLine="0"/>
      </w:pPr>
      <w:r w:rsidRPr="00167025">
        <w:t xml:space="preserve">Development proposals should address issues of: </w:t>
      </w:r>
    </w:p>
    <w:p w14:paraId="7589627A" w14:textId="3D143DF2" w:rsidR="00167025" w:rsidRPr="00A643A3" w:rsidRDefault="00167025" w:rsidP="00A840A5">
      <w:pPr>
        <w:pStyle w:val="ListParagraph"/>
      </w:pPr>
      <w:r w:rsidRPr="00A643A3">
        <w:t xml:space="preserve">Clinical coherency, or </w:t>
      </w:r>
    </w:p>
    <w:p w14:paraId="01ACC60C" w14:textId="3DE8E0C4" w:rsidR="00167025" w:rsidRPr="00A643A3" w:rsidRDefault="00167025" w:rsidP="00A840A5">
      <w:pPr>
        <w:pStyle w:val="ListParagraph"/>
      </w:pPr>
      <w:r w:rsidRPr="00A643A3">
        <w:t xml:space="preserve">Cost homogeneity, and be </w:t>
      </w:r>
    </w:p>
    <w:p w14:paraId="13818459" w14:textId="750F2781" w:rsidR="00167025" w:rsidRDefault="00167025" w:rsidP="00A840A5">
      <w:pPr>
        <w:pStyle w:val="ListParagraph"/>
      </w:pPr>
      <w:r w:rsidRPr="00A643A3">
        <w:t>Measureable – to facilitate an informed evidence based decision (i.e. there must be data available</w:t>
      </w:r>
      <w:r w:rsidRPr="00167025">
        <w:t xml:space="preserve"> to IHPA to allow statistical assessment, such as hospital activity and cost data)</w:t>
      </w:r>
      <w:r w:rsidR="00EE56DD">
        <w:t>.</w:t>
      </w:r>
    </w:p>
    <w:p w14:paraId="738811CC" w14:textId="77777777" w:rsidR="00167025" w:rsidRPr="00167025" w:rsidRDefault="00167025" w:rsidP="00395F33">
      <w:pPr>
        <w:ind w:left="0" w:firstLine="0"/>
        <w:rPr>
          <w:b/>
        </w:rPr>
      </w:pPr>
      <w:r w:rsidRPr="00167025">
        <w:rPr>
          <w:b/>
        </w:rPr>
        <w:t xml:space="preserve">Out of scope: </w:t>
      </w:r>
    </w:p>
    <w:p w14:paraId="210E18A5" w14:textId="463829DF" w:rsidR="00EE56DD" w:rsidRDefault="00EE56DD" w:rsidP="00A840A5">
      <w:pPr>
        <w:pStyle w:val="ListParagraph"/>
      </w:pPr>
      <w:r>
        <w:t>Issues</w:t>
      </w:r>
      <w:r w:rsidR="00167025" w:rsidRPr="00167025">
        <w:t xml:space="preserve"> </w:t>
      </w:r>
      <w:r>
        <w:t xml:space="preserve">that are </w:t>
      </w:r>
      <w:r w:rsidR="00167025" w:rsidRPr="00167025">
        <w:t xml:space="preserve">not </w:t>
      </w:r>
      <w:r w:rsidR="00167025" w:rsidRPr="00BF3C7D">
        <w:t>classifiable</w:t>
      </w:r>
      <w:r w:rsidR="00167025" w:rsidRPr="00167025">
        <w:t xml:space="preserve"> </w:t>
      </w:r>
    </w:p>
    <w:p w14:paraId="064DBB0E" w14:textId="7BC42733" w:rsidR="00167025" w:rsidRDefault="00EE56DD" w:rsidP="00A840A5">
      <w:pPr>
        <w:pStyle w:val="ListParagraph"/>
      </w:pPr>
      <w:r w:rsidRPr="00167025">
        <w:t xml:space="preserve">Coding </w:t>
      </w:r>
      <w:r w:rsidR="00167025" w:rsidRPr="00167025">
        <w:t>issue</w:t>
      </w:r>
      <w:r w:rsidR="008559FE">
        <w:t>s</w:t>
      </w:r>
      <w:r w:rsidR="00167025" w:rsidRPr="00167025">
        <w:t xml:space="preserve"> in the underpinning disease a</w:t>
      </w:r>
      <w:r w:rsidR="00747974">
        <w:t>nd intervention classification</w:t>
      </w:r>
    </w:p>
    <w:p w14:paraId="42A6F28A" w14:textId="5C39D9A6" w:rsidR="00167025" w:rsidRDefault="00EE56DD" w:rsidP="00A840A5">
      <w:pPr>
        <w:pStyle w:val="ListParagraph"/>
      </w:pPr>
      <w:r w:rsidRPr="00BF3C7D">
        <w:t>Issue</w:t>
      </w:r>
      <w:r>
        <w:t>s</w:t>
      </w:r>
      <w:r w:rsidRPr="00167025">
        <w:t xml:space="preserve"> </w:t>
      </w:r>
      <w:r w:rsidR="00167025" w:rsidRPr="00167025">
        <w:t xml:space="preserve">unique to an AR-DRG version no longer supported by </w:t>
      </w:r>
      <w:r w:rsidR="002D0A73">
        <w:t>IHPA</w:t>
      </w:r>
      <w:r w:rsidR="009B348D">
        <w:t>.</w:t>
      </w:r>
    </w:p>
    <w:p w14:paraId="68FBD24A" w14:textId="7E52B27A" w:rsidR="004174F3" w:rsidRPr="00314E89" w:rsidRDefault="00747974" w:rsidP="00B608AF">
      <w:pPr>
        <w:pStyle w:val="Heading3"/>
        <w:numPr>
          <w:ilvl w:val="0"/>
          <w:numId w:val="0"/>
        </w:numPr>
        <w:spacing w:before="120"/>
        <w:rPr>
          <w:caps/>
        </w:rPr>
      </w:pPr>
      <w:bookmarkStart w:id="30" w:name="_Toc57217923"/>
      <w:r>
        <w:t>3</w:t>
      </w:r>
      <w:r w:rsidR="00026E99">
        <w:t>.3.2</w:t>
      </w:r>
      <w:r w:rsidR="00AC0069">
        <w:tab/>
      </w:r>
      <w:r w:rsidR="004174F3">
        <w:t>Prioritisation principles</w:t>
      </w:r>
      <w:bookmarkEnd w:id="30"/>
      <w:r w:rsidR="004174F3">
        <w:t xml:space="preserve"> </w:t>
      </w:r>
    </w:p>
    <w:p w14:paraId="1AF21FAE" w14:textId="77777777" w:rsidR="00212E8D" w:rsidRDefault="00212E8D" w:rsidP="005B5130">
      <w:pPr>
        <w:ind w:left="0" w:firstLine="0"/>
      </w:pPr>
      <w:r w:rsidRPr="00212E8D">
        <w:t xml:space="preserve">All in scope development submissions will be assessed against the prioritisation principles and assigned to one of the following categories: </w:t>
      </w:r>
    </w:p>
    <w:p w14:paraId="5E1A5DFE" w14:textId="4A7D9E0E" w:rsidR="0015003E" w:rsidRPr="00167025" w:rsidRDefault="00A068EF" w:rsidP="00A840A5">
      <w:pPr>
        <w:pStyle w:val="ListParagraph"/>
      </w:pPr>
      <w:r w:rsidRPr="0015003E">
        <w:rPr>
          <w:b/>
        </w:rPr>
        <w:t xml:space="preserve">High </w:t>
      </w:r>
      <w:r w:rsidR="0015003E" w:rsidRPr="0015003E">
        <w:rPr>
          <w:b/>
        </w:rPr>
        <w:t>priority</w:t>
      </w:r>
      <w:r w:rsidR="0015003E">
        <w:t xml:space="preserve">: </w:t>
      </w:r>
      <w:r w:rsidR="0015003E" w:rsidRPr="00167025">
        <w:t xml:space="preserve">essential to ensure the integrity and currency of the core components and attributes of the classification </w:t>
      </w:r>
    </w:p>
    <w:p w14:paraId="3494B643" w14:textId="0611BF2B" w:rsidR="0015003E" w:rsidRPr="00167025" w:rsidRDefault="00A068EF" w:rsidP="00A840A5">
      <w:pPr>
        <w:pStyle w:val="ListParagraph"/>
      </w:pPr>
      <w:r w:rsidRPr="0015003E">
        <w:rPr>
          <w:b/>
        </w:rPr>
        <w:t xml:space="preserve">Medium </w:t>
      </w:r>
      <w:r w:rsidR="0015003E" w:rsidRPr="0015003E">
        <w:rPr>
          <w:b/>
        </w:rPr>
        <w:t>priority</w:t>
      </w:r>
      <w:r w:rsidR="0015003E">
        <w:t>: h</w:t>
      </w:r>
      <w:r w:rsidR="0015003E" w:rsidRPr="00167025">
        <w:t xml:space="preserve">as merit but is not critical for integration in the current development cycle </w:t>
      </w:r>
    </w:p>
    <w:p w14:paraId="4820EBC6" w14:textId="64C68E36" w:rsidR="0015003E" w:rsidRDefault="00A068EF" w:rsidP="00A840A5">
      <w:pPr>
        <w:pStyle w:val="ListParagraph"/>
      </w:pPr>
      <w:r w:rsidRPr="0015003E">
        <w:rPr>
          <w:b/>
        </w:rPr>
        <w:t xml:space="preserve">Low </w:t>
      </w:r>
      <w:r w:rsidR="0015003E" w:rsidRPr="0015003E">
        <w:rPr>
          <w:b/>
        </w:rPr>
        <w:t>priority</w:t>
      </w:r>
      <w:r w:rsidR="0015003E">
        <w:t>: has merit but is low priority; but may be developed in the progression of other related development tasks.</w:t>
      </w:r>
    </w:p>
    <w:p w14:paraId="09F48FEA" w14:textId="77777777" w:rsidR="004E687C" w:rsidRDefault="00212E8D" w:rsidP="007C2F8A">
      <w:pPr>
        <w:ind w:left="0" w:firstLine="0"/>
      </w:pPr>
      <w:r w:rsidRPr="00212E8D">
        <w:t xml:space="preserve">A development submission </w:t>
      </w:r>
      <w:r w:rsidR="00EE56DD">
        <w:t xml:space="preserve">will be assigned </w:t>
      </w:r>
      <w:r w:rsidRPr="00212E8D">
        <w:t xml:space="preserve">a priority level if it meets at least one of the </w:t>
      </w:r>
      <w:r w:rsidR="00EE56DD">
        <w:t>criteria</w:t>
      </w:r>
      <w:r w:rsidR="00EE56DD" w:rsidRPr="00212E8D">
        <w:t xml:space="preserve"> </w:t>
      </w:r>
      <w:r w:rsidRPr="00212E8D">
        <w:t>defined within that priority level</w:t>
      </w:r>
      <w:r w:rsidR="00EE56DD">
        <w:t xml:space="preserve"> (</w:t>
      </w:r>
      <w:r w:rsidR="002D0751" w:rsidRPr="002D0751">
        <w:rPr>
          <w:b/>
        </w:rPr>
        <w:t xml:space="preserve">Table </w:t>
      </w:r>
      <w:r w:rsidR="00240496">
        <w:rPr>
          <w:b/>
        </w:rPr>
        <w:t>2</w:t>
      </w:r>
      <w:r w:rsidR="00EE56DD">
        <w:t>)</w:t>
      </w:r>
      <w:r w:rsidRPr="00212E8D">
        <w:t xml:space="preserve">. Where a development submission meets </w:t>
      </w:r>
      <w:r w:rsidR="00EE56DD">
        <w:t xml:space="preserve">criteria </w:t>
      </w:r>
      <w:r w:rsidRPr="00212E8D">
        <w:t xml:space="preserve">from more than one priority level it will be assigned to the higher level. </w:t>
      </w:r>
    </w:p>
    <w:p w14:paraId="20B8D370" w14:textId="304A9BD7" w:rsidR="00212E8D" w:rsidRDefault="00212E8D" w:rsidP="007C2F8A">
      <w:pPr>
        <w:ind w:left="0" w:firstLine="0"/>
      </w:pPr>
      <w:r w:rsidRPr="00212E8D">
        <w:t xml:space="preserve">IHPA will seek advice from CCAG and/or the appropriate advisory group to determine </w:t>
      </w:r>
      <w:r w:rsidR="004E687C">
        <w:t>if the priority level of a development task requires review</w:t>
      </w:r>
      <w:r w:rsidR="00EE56DD">
        <w:t>.</w:t>
      </w:r>
    </w:p>
    <w:p w14:paraId="41F6FA54" w14:textId="3CC0AD18" w:rsidR="00212E8D" w:rsidRDefault="00540BAE" w:rsidP="00617248">
      <w:pPr>
        <w:pStyle w:val="Caption"/>
        <w:spacing w:before="120" w:after="120"/>
        <w:ind w:left="0" w:firstLine="0"/>
      </w:pPr>
      <w:bookmarkStart w:id="31" w:name="_Ref53132314"/>
      <w:r>
        <w:lastRenderedPageBreak/>
        <w:t xml:space="preserve">Table </w:t>
      </w:r>
      <w:bookmarkEnd w:id="31"/>
      <w:r w:rsidR="00240496">
        <w:t>2.</w:t>
      </w:r>
      <w:r>
        <w:t xml:space="preserve"> </w:t>
      </w:r>
      <w:r w:rsidR="00B626BC">
        <w:t xml:space="preserve">Priority criteria </w:t>
      </w:r>
      <w:r>
        <w:t xml:space="preserve">for AR-DRG </w:t>
      </w:r>
      <w:r w:rsidR="00C760D9">
        <w:t>development tasks</w:t>
      </w:r>
    </w:p>
    <w:tbl>
      <w:tblPr>
        <w:tblStyle w:val="TableGrid"/>
        <w:tblW w:w="9493" w:type="dxa"/>
        <w:tblLook w:val="04A0" w:firstRow="1" w:lastRow="0" w:firstColumn="1" w:lastColumn="0" w:noHBand="0" w:noVBand="1"/>
      </w:tblPr>
      <w:tblGrid>
        <w:gridCol w:w="1555"/>
        <w:gridCol w:w="7938"/>
      </w:tblGrid>
      <w:tr w:rsidR="00212E8D" w:rsidRPr="00167025" w14:paraId="34E41FC4" w14:textId="77777777" w:rsidTr="00065A1C">
        <w:trPr>
          <w:tblHeader/>
        </w:trPr>
        <w:tc>
          <w:tcPr>
            <w:tcW w:w="1555" w:type="dxa"/>
            <w:shd w:val="clear" w:color="auto" w:fill="008542" w:themeFill="accent2"/>
            <w:vAlign w:val="center"/>
          </w:tcPr>
          <w:p w14:paraId="3AEE4BA5" w14:textId="740FDBB1" w:rsidR="00212E8D" w:rsidRPr="00240496" w:rsidRDefault="00065A1C" w:rsidP="00065A1C">
            <w:pPr>
              <w:ind w:left="30" w:firstLine="0"/>
              <w:rPr>
                <w:b/>
                <w:color w:val="FFFFFF" w:themeColor="background2"/>
              </w:rPr>
            </w:pPr>
            <w:r>
              <w:rPr>
                <w:b/>
                <w:color w:val="FFFFFF" w:themeColor="background2"/>
              </w:rPr>
              <w:t xml:space="preserve">Priority </w:t>
            </w:r>
          </w:p>
        </w:tc>
        <w:tc>
          <w:tcPr>
            <w:tcW w:w="7938" w:type="dxa"/>
            <w:shd w:val="clear" w:color="auto" w:fill="008542" w:themeFill="accent2"/>
            <w:vAlign w:val="center"/>
          </w:tcPr>
          <w:p w14:paraId="62D8DEB1" w14:textId="754DB145" w:rsidR="00212E8D" w:rsidRPr="00240496" w:rsidRDefault="00212E8D" w:rsidP="00065A1C">
            <w:pPr>
              <w:ind w:left="37" w:firstLine="0"/>
              <w:rPr>
                <w:b/>
                <w:color w:val="FFFFFF" w:themeColor="background2"/>
              </w:rPr>
            </w:pPr>
            <w:r w:rsidRPr="00240496">
              <w:rPr>
                <w:b/>
                <w:color w:val="FFFFFF" w:themeColor="background2"/>
              </w:rPr>
              <w:t>Criteria</w:t>
            </w:r>
            <w:r w:rsidR="00B626BC" w:rsidRPr="00240496">
              <w:rPr>
                <w:b/>
                <w:color w:val="FFFFFF" w:themeColor="background2"/>
              </w:rPr>
              <w:t xml:space="preserve"> for priority level</w:t>
            </w:r>
          </w:p>
        </w:tc>
      </w:tr>
      <w:tr w:rsidR="00212E8D" w14:paraId="3C883408" w14:textId="77777777" w:rsidTr="00D557FE">
        <w:trPr>
          <w:cantSplit/>
        </w:trPr>
        <w:tc>
          <w:tcPr>
            <w:tcW w:w="1555" w:type="dxa"/>
          </w:tcPr>
          <w:p w14:paraId="505369BF" w14:textId="07F55F9B" w:rsidR="00212E8D" w:rsidRPr="00240496" w:rsidRDefault="00212E8D" w:rsidP="00FF0171">
            <w:pPr>
              <w:ind w:left="30" w:firstLine="0"/>
              <w:rPr>
                <w:sz w:val="20"/>
                <w:szCs w:val="20"/>
              </w:rPr>
            </w:pPr>
            <w:r w:rsidRPr="00240496">
              <w:rPr>
                <w:b/>
                <w:sz w:val="20"/>
                <w:szCs w:val="20"/>
              </w:rPr>
              <w:t>High priority</w:t>
            </w:r>
          </w:p>
        </w:tc>
        <w:tc>
          <w:tcPr>
            <w:tcW w:w="7938" w:type="dxa"/>
          </w:tcPr>
          <w:p w14:paraId="2E979F1A" w14:textId="77777777" w:rsidR="00212E8D" w:rsidRPr="00240496" w:rsidRDefault="00212E8D" w:rsidP="009578A4">
            <w:pPr>
              <w:ind w:left="33" w:firstLine="0"/>
              <w:rPr>
                <w:sz w:val="20"/>
                <w:szCs w:val="20"/>
              </w:rPr>
            </w:pPr>
            <w:r w:rsidRPr="00240496">
              <w:rPr>
                <w:sz w:val="20"/>
                <w:szCs w:val="20"/>
              </w:rPr>
              <w:t xml:space="preserve">There are a number of standard refinements that are undertaken with every revision. These are assigned as high priority and include: </w:t>
            </w:r>
          </w:p>
          <w:p w14:paraId="09BF7F4A" w14:textId="4A75CAFF" w:rsidR="00212E8D" w:rsidRPr="00257620" w:rsidRDefault="00212E8D" w:rsidP="00A840A5">
            <w:pPr>
              <w:pStyle w:val="ListParagraph"/>
              <w:rPr>
                <w:sz w:val="20"/>
              </w:rPr>
            </w:pPr>
            <w:r w:rsidRPr="00257620">
              <w:rPr>
                <w:sz w:val="20"/>
              </w:rPr>
              <w:t xml:space="preserve">Review and </w:t>
            </w:r>
            <w:r w:rsidR="00316DF3" w:rsidRPr="00257620">
              <w:rPr>
                <w:sz w:val="20"/>
              </w:rPr>
              <w:t>refin</w:t>
            </w:r>
            <w:r w:rsidR="00316DF3">
              <w:rPr>
                <w:sz w:val="20"/>
              </w:rPr>
              <w:t>ement of</w:t>
            </w:r>
            <w:r w:rsidR="00316DF3" w:rsidRPr="00257620">
              <w:rPr>
                <w:sz w:val="20"/>
              </w:rPr>
              <w:t xml:space="preserve"> </w:t>
            </w:r>
            <w:r w:rsidRPr="00257620">
              <w:rPr>
                <w:sz w:val="20"/>
              </w:rPr>
              <w:t xml:space="preserve">the Episodic Clinical Complexity (ECC) model to maintain clinical currency and cost homogeneity, including: </w:t>
            </w:r>
          </w:p>
          <w:p w14:paraId="1283015E" w14:textId="35B1CC96" w:rsidR="00212E8D" w:rsidRPr="00257620" w:rsidRDefault="00316DF3" w:rsidP="00A840A5">
            <w:pPr>
              <w:pStyle w:val="ListParagraph"/>
              <w:rPr>
                <w:sz w:val="20"/>
              </w:rPr>
            </w:pPr>
            <w:r w:rsidRPr="00257620">
              <w:rPr>
                <w:sz w:val="20"/>
              </w:rPr>
              <w:t>Recalibrati</w:t>
            </w:r>
            <w:r>
              <w:rPr>
                <w:sz w:val="20"/>
              </w:rPr>
              <w:t>on</w:t>
            </w:r>
            <w:r w:rsidRPr="00257620">
              <w:rPr>
                <w:sz w:val="20"/>
              </w:rPr>
              <w:t xml:space="preserve"> </w:t>
            </w:r>
            <w:r w:rsidR="00212E8D" w:rsidRPr="00257620">
              <w:rPr>
                <w:sz w:val="20"/>
              </w:rPr>
              <w:t>and enhanc</w:t>
            </w:r>
            <w:r>
              <w:rPr>
                <w:sz w:val="20"/>
              </w:rPr>
              <w:t>ement of</w:t>
            </w:r>
            <w:r w:rsidR="00212E8D" w:rsidRPr="00257620">
              <w:rPr>
                <w:sz w:val="20"/>
              </w:rPr>
              <w:t xml:space="preserve"> the precision of the Diagnosis Complexity Levels (DCLs) using</w:t>
            </w:r>
            <w:r>
              <w:rPr>
                <w:sz w:val="20"/>
              </w:rPr>
              <w:t xml:space="preserve"> the</w:t>
            </w:r>
            <w:r w:rsidR="00212E8D" w:rsidRPr="00257620">
              <w:rPr>
                <w:sz w:val="20"/>
              </w:rPr>
              <w:t xml:space="preserve"> most recent available cost and activity data </w:t>
            </w:r>
          </w:p>
          <w:p w14:paraId="46D83190" w14:textId="0D100847" w:rsidR="00212E8D" w:rsidRPr="00257620" w:rsidRDefault="00EE56DD" w:rsidP="00A840A5">
            <w:pPr>
              <w:pStyle w:val="ListParagraph"/>
              <w:rPr>
                <w:sz w:val="20"/>
              </w:rPr>
            </w:pPr>
            <w:r w:rsidRPr="00257620">
              <w:rPr>
                <w:sz w:val="20"/>
              </w:rPr>
              <w:t xml:space="preserve">Review </w:t>
            </w:r>
            <w:r w:rsidR="00212E8D" w:rsidRPr="00257620">
              <w:rPr>
                <w:sz w:val="20"/>
              </w:rPr>
              <w:t xml:space="preserve">of splitting thresholds for end classes </w:t>
            </w:r>
          </w:p>
          <w:p w14:paraId="6EF246EA" w14:textId="7B2EF7A9" w:rsidR="00212E8D" w:rsidRPr="00257620" w:rsidRDefault="00212E8D" w:rsidP="00A840A5">
            <w:pPr>
              <w:pStyle w:val="ListParagraph"/>
              <w:rPr>
                <w:sz w:val="20"/>
              </w:rPr>
            </w:pPr>
            <w:r w:rsidRPr="00257620">
              <w:rPr>
                <w:sz w:val="20"/>
              </w:rPr>
              <w:t>Review of the intervention hierarchy using</w:t>
            </w:r>
            <w:r w:rsidR="00316DF3">
              <w:rPr>
                <w:sz w:val="20"/>
              </w:rPr>
              <w:t xml:space="preserve"> the</w:t>
            </w:r>
            <w:r w:rsidRPr="00257620">
              <w:rPr>
                <w:sz w:val="20"/>
              </w:rPr>
              <w:t xml:space="preserve"> most recent available cost and activity data </w:t>
            </w:r>
          </w:p>
          <w:p w14:paraId="5F976489" w14:textId="0E325ADF" w:rsidR="00212E8D" w:rsidRPr="00257620" w:rsidRDefault="00212E8D" w:rsidP="00A840A5">
            <w:pPr>
              <w:pStyle w:val="ListParagraph"/>
              <w:rPr>
                <w:sz w:val="20"/>
              </w:rPr>
            </w:pPr>
            <w:r w:rsidRPr="00257620">
              <w:rPr>
                <w:sz w:val="20"/>
              </w:rPr>
              <w:t xml:space="preserve">Integration of changes emanating from the underpinning </w:t>
            </w:r>
            <w:r w:rsidR="0015003E" w:rsidRPr="00257620">
              <w:rPr>
                <w:sz w:val="20"/>
              </w:rPr>
              <w:br/>
            </w:r>
            <w:r w:rsidRPr="00257620">
              <w:rPr>
                <w:sz w:val="20"/>
              </w:rPr>
              <w:t xml:space="preserve">ICD-10-AM/ACHI/ACS classification system </w:t>
            </w:r>
          </w:p>
          <w:p w14:paraId="4DF8BA67" w14:textId="4B2B70F5" w:rsidR="00212E8D" w:rsidRPr="00257620" w:rsidRDefault="00212E8D" w:rsidP="00A840A5">
            <w:pPr>
              <w:pStyle w:val="ListParagraph"/>
              <w:rPr>
                <w:sz w:val="20"/>
              </w:rPr>
            </w:pPr>
            <w:r w:rsidRPr="00257620">
              <w:rPr>
                <w:sz w:val="20"/>
              </w:rPr>
              <w:t xml:space="preserve">Review of episodes that group to ADRG 801 </w:t>
            </w:r>
            <w:r w:rsidRPr="00257620">
              <w:rPr>
                <w:i/>
                <w:sz w:val="20"/>
              </w:rPr>
              <w:t>General Intervention Unrelated to Principal Diagnosis</w:t>
            </w:r>
            <w:r w:rsidRPr="00257620">
              <w:rPr>
                <w:sz w:val="20"/>
              </w:rPr>
              <w:t xml:space="preserve"> for clinical currency </w:t>
            </w:r>
          </w:p>
          <w:p w14:paraId="7D8A450E" w14:textId="79DA4840" w:rsidR="00212E8D" w:rsidRPr="00240496" w:rsidRDefault="00212E8D" w:rsidP="009578A4">
            <w:pPr>
              <w:ind w:left="33" w:firstLine="0"/>
              <w:rPr>
                <w:sz w:val="20"/>
                <w:szCs w:val="20"/>
              </w:rPr>
            </w:pPr>
            <w:r w:rsidRPr="00240496">
              <w:rPr>
                <w:sz w:val="20"/>
                <w:szCs w:val="20"/>
              </w:rPr>
              <w:t>Development submissions may fall within refinement of the core components/attributes of the AR-DRG classification and consequently assigned as high priority</w:t>
            </w:r>
            <w:r w:rsidR="00EE56DD" w:rsidRPr="00240496">
              <w:rPr>
                <w:sz w:val="20"/>
                <w:szCs w:val="20"/>
              </w:rPr>
              <w:t>.</w:t>
            </w:r>
            <w:r w:rsidRPr="00240496">
              <w:rPr>
                <w:sz w:val="20"/>
                <w:szCs w:val="20"/>
              </w:rPr>
              <w:t xml:space="preserve"> </w:t>
            </w:r>
          </w:p>
        </w:tc>
      </w:tr>
      <w:tr w:rsidR="00212E8D" w:rsidRPr="00640F21" w14:paraId="6E330BA2" w14:textId="77777777" w:rsidTr="00D557FE">
        <w:tc>
          <w:tcPr>
            <w:tcW w:w="1555" w:type="dxa"/>
          </w:tcPr>
          <w:p w14:paraId="62F108A1" w14:textId="4EE05429" w:rsidR="00212E8D" w:rsidRPr="00240496" w:rsidRDefault="00212E8D" w:rsidP="00FF0171">
            <w:pPr>
              <w:ind w:left="30" w:firstLine="0"/>
              <w:rPr>
                <w:sz w:val="20"/>
                <w:szCs w:val="20"/>
              </w:rPr>
            </w:pPr>
            <w:r w:rsidRPr="00640F21">
              <w:rPr>
                <w:sz w:val="20"/>
                <w:szCs w:val="20"/>
              </w:rPr>
              <w:t>Medium priority</w:t>
            </w:r>
          </w:p>
        </w:tc>
        <w:tc>
          <w:tcPr>
            <w:tcW w:w="7938" w:type="dxa"/>
          </w:tcPr>
          <w:p w14:paraId="79BEAAB7" w14:textId="77777777" w:rsidR="00212E8D" w:rsidRPr="00240496" w:rsidRDefault="00212E8D" w:rsidP="009578A4">
            <w:pPr>
              <w:ind w:left="33" w:firstLine="0"/>
              <w:rPr>
                <w:sz w:val="20"/>
                <w:szCs w:val="20"/>
              </w:rPr>
            </w:pPr>
            <w:r w:rsidRPr="00240496">
              <w:rPr>
                <w:sz w:val="20"/>
                <w:szCs w:val="20"/>
              </w:rPr>
              <w:t xml:space="preserve">Development proposals are assigned as medium priority if they demonstrate significant material impact as defined by the following criteria: </w:t>
            </w:r>
          </w:p>
          <w:p w14:paraId="22A8149C" w14:textId="7593DA55" w:rsidR="00212E8D" w:rsidRPr="00640F21" w:rsidRDefault="00212E8D" w:rsidP="00B608AF">
            <w:pPr>
              <w:rPr>
                <w:sz w:val="20"/>
                <w:szCs w:val="20"/>
              </w:rPr>
            </w:pPr>
            <w:r w:rsidRPr="00640F21">
              <w:rPr>
                <w:sz w:val="20"/>
                <w:szCs w:val="20"/>
              </w:rPr>
              <w:t>Volume</w:t>
            </w:r>
          </w:p>
          <w:p w14:paraId="252B6E54" w14:textId="77777777" w:rsidR="00212E8D" w:rsidRPr="00240496" w:rsidRDefault="00212E8D" w:rsidP="00640F21">
            <w:pPr>
              <w:ind w:left="357" w:firstLine="0"/>
              <w:rPr>
                <w:sz w:val="20"/>
                <w:szCs w:val="20"/>
              </w:rPr>
            </w:pPr>
            <w:r w:rsidRPr="00240496">
              <w:rPr>
                <w:sz w:val="20"/>
                <w:szCs w:val="20"/>
              </w:rPr>
              <w:t xml:space="preserve">A development proposal meets the volume criteria if it meets either criteria 1 or 2 below: </w:t>
            </w:r>
          </w:p>
          <w:p w14:paraId="0E345533" w14:textId="5B7B80F8" w:rsidR="00212E8D" w:rsidRPr="00240496" w:rsidRDefault="00212E8D" w:rsidP="00640F21">
            <w:pPr>
              <w:ind w:left="821" w:hanging="464"/>
              <w:rPr>
                <w:sz w:val="20"/>
                <w:szCs w:val="20"/>
              </w:rPr>
            </w:pPr>
            <w:r w:rsidRPr="00240496">
              <w:rPr>
                <w:sz w:val="20"/>
                <w:szCs w:val="20"/>
              </w:rPr>
              <w:t xml:space="preserve">1. </w:t>
            </w:r>
            <w:r w:rsidR="00C760D9" w:rsidRPr="00240496">
              <w:rPr>
                <w:sz w:val="20"/>
                <w:szCs w:val="20"/>
              </w:rPr>
              <w:tab/>
            </w:r>
            <w:r w:rsidRPr="00240496">
              <w:rPr>
                <w:sz w:val="20"/>
                <w:szCs w:val="20"/>
              </w:rPr>
              <w:t xml:space="preserve">Volume of episodes affected is large </w:t>
            </w:r>
          </w:p>
          <w:p w14:paraId="08B5405A" w14:textId="68C418BE" w:rsidR="00212E8D" w:rsidRPr="00240496" w:rsidRDefault="00212E8D" w:rsidP="00640F21">
            <w:pPr>
              <w:ind w:left="821" w:hanging="464"/>
              <w:rPr>
                <w:sz w:val="20"/>
                <w:szCs w:val="20"/>
              </w:rPr>
            </w:pPr>
            <w:r w:rsidRPr="00240496">
              <w:rPr>
                <w:sz w:val="20"/>
                <w:szCs w:val="20"/>
              </w:rPr>
              <w:t xml:space="preserve">2. </w:t>
            </w:r>
            <w:r w:rsidR="00C760D9" w:rsidRPr="00240496">
              <w:rPr>
                <w:sz w:val="20"/>
                <w:szCs w:val="20"/>
              </w:rPr>
              <w:tab/>
            </w:r>
            <w:r w:rsidRPr="00240496">
              <w:rPr>
                <w:sz w:val="20"/>
                <w:szCs w:val="20"/>
              </w:rPr>
              <w:t xml:space="preserve">Aggregated cost of episodes affected is large </w:t>
            </w:r>
          </w:p>
          <w:p w14:paraId="3AE794F2" w14:textId="7482A63B" w:rsidR="00212E8D" w:rsidRPr="00640F21" w:rsidRDefault="00212E8D" w:rsidP="00B608AF">
            <w:pPr>
              <w:rPr>
                <w:sz w:val="20"/>
                <w:szCs w:val="20"/>
              </w:rPr>
            </w:pPr>
            <w:r w:rsidRPr="00640F21">
              <w:rPr>
                <w:sz w:val="20"/>
                <w:szCs w:val="20"/>
              </w:rPr>
              <w:t>Growth rate</w:t>
            </w:r>
          </w:p>
          <w:p w14:paraId="6149D47D" w14:textId="77777777" w:rsidR="00212E8D" w:rsidRPr="00240496" w:rsidRDefault="00212E8D" w:rsidP="007C2F8A">
            <w:pPr>
              <w:ind w:left="357" w:firstLine="0"/>
              <w:rPr>
                <w:sz w:val="20"/>
                <w:szCs w:val="20"/>
              </w:rPr>
            </w:pPr>
            <w:r w:rsidRPr="00240496">
              <w:rPr>
                <w:sz w:val="20"/>
                <w:szCs w:val="20"/>
              </w:rPr>
              <w:t xml:space="preserve">A development proposal meets growth rate criteria if it meets criteria 1 and either criteria 2 or 3 below: </w:t>
            </w:r>
          </w:p>
          <w:p w14:paraId="6869B1AC" w14:textId="0D9B41EB" w:rsidR="00212E8D" w:rsidRPr="00240496" w:rsidRDefault="00212E8D" w:rsidP="00640F21">
            <w:pPr>
              <w:ind w:left="821" w:hanging="464"/>
              <w:rPr>
                <w:sz w:val="20"/>
                <w:szCs w:val="20"/>
              </w:rPr>
            </w:pPr>
            <w:r w:rsidRPr="00240496">
              <w:rPr>
                <w:sz w:val="20"/>
                <w:szCs w:val="20"/>
              </w:rPr>
              <w:t xml:space="preserve">1. </w:t>
            </w:r>
            <w:r w:rsidR="00C760D9" w:rsidRPr="00240496">
              <w:rPr>
                <w:sz w:val="20"/>
                <w:szCs w:val="20"/>
              </w:rPr>
              <w:tab/>
            </w:r>
            <w:r w:rsidRPr="00240496">
              <w:rPr>
                <w:sz w:val="20"/>
                <w:szCs w:val="20"/>
              </w:rPr>
              <w:t xml:space="preserve">Growth rate of number of episodes affected is high </w:t>
            </w:r>
          </w:p>
          <w:p w14:paraId="39D213C3" w14:textId="11969CB3" w:rsidR="00212E8D" w:rsidRPr="00240496" w:rsidRDefault="00212E8D" w:rsidP="00640F21">
            <w:pPr>
              <w:ind w:left="821" w:hanging="464"/>
              <w:rPr>
                <w:sz w:val="20"/>
                <w:szCs w:val="20"/>
              </w:rPr>
            </w:pPr>
            <w:r w:rsidRPr="00240496">
              <w:rPr>
                <w:sz w:val="20"/>
                <w:szCs w:val="20"/>
              </w:rPr>
              <w:t xml:space="preserve">2. </w:t>
            </w:r>
            <w:r w:rsidR="00C760D9" w:rsidRPr="00240496">
              <w:rPr>
                <w:sz w:val="20"/>
                <w:szCs w:val="20"/>
              </w:rPr>
              <w:tab/>
            </w:r>
            <w:r w:rsidRPr="00240496">
              <w:rPr>
                <w:sz w:val="20"/>
                <w:szCs w:val="20"/>
              </w:rPr>
              <w:t xml:space="preserve">Volume of episodes affected is relatively small </w:t>
            </w:r>
          </w:p>
          <w:p w14:paraId="4B4CF87B" w14:textId="24EDA693" w:rsidR="00212E8D" w:rsidRPr="00240496" w:rsidRDefault="00212E8D" w:rsidP="00640F21">
            <w:pPr>
              <w:ind w:left="821" w:hanging="464"/>
              <w:rPr>
                <w:sz w:val="20"/>
                <w:szCs w:val="20"/>
              </w:rPr>
            </w:pPr>
            <w:r w:rsidRPr="00240496">
              <w:rPr>
                <w:sz w:val="20"/>
                <w:szCs w:val="20"/>
              </w:rPr>
              <w:t xml:space="preserve">3. </w:t>
            </w:r>
            <w:r w:rsidR="00C760D9" w:rsidRPr="00240496">
              <w:rPr>
                <w:sz w:val="20"/>
                <w:szCs w:val="20"/>
              </w:rPr>
              <w:tab/>
            </w:r>
            <w:r w:rsidRPr="00240496">
              <w:rPr>
                <w:sz w:val="20"/>
                <w:szCs w:val="20"/>
              </w:rPr>
              <w:t xml:space="preserve">Aggregated cost of episodes affected is relatively small </w:t>
            </w:r>
          </w:p>
          <w:p w14:paraId="090CFAC0" w14:textId="6CCA9EBF" w:rsidR="00212E8D" w:rsidRPr="00640F21" w:rsidRDefault="00212E8D" w:rsidP="00B608AF">
            <w:pPr>
              <w:rPr>
                <w:sz w:val="20"/>
                <w:szCs w:val="20"/>
              </w:rPr>
            </w:pPr>
            <w:r w:rsidRPr="00640F21">
              <w:rPr>
                <w:sz w:val="20"/>
                <w:szCs w:val="20"/>
              </w:rPr>
              <w:t>Resource homogeneity</w:t>
            </w:r>
          </w:p>
          <w:p w14:paraId="1F979778" w14:textId="77777777" w:rsidR="00212E8D" w:rsidRPr="00240496" w:rsidRDefault="00212E8D" w:rsidP="007C2F8A">
            <w:pPr>
              <w:ind w:left="357" w:firstLine="0"/>
              <w:rPr>
                <w:sz w:val="20"/>
                <w:szCs w:val="20"/>
              </w:rPr>
            </w:pPr>
            <w:r w:rsidRPr="00240496">
              <w:rPr>
                <w:sz w:val="20"/>
                <w:szCs w:val="20"/>
              </w:rPr>
              <w:t xml:space="preserve">A development proposal meets the resource homogeneity criteria if it meets criteria 1 and either criteria 2 or 3 below: </w:t>
            </w:r>
          </w:p>
          <w:p w14:paraId="03339988" w14:textId="696758CD" w:rsidR="00212E8D" w:rsidRPr="00240496" w:rsidRDefault="00212E8D" w:rsidP="00640F21">
            <w:pPr>
              <w:ind w:left="821" w:hanging="464"/>
              <w:rPr>
                <w:sz w:val="20"/>
                <w:szCs w:val="20"/>
              </w:rPr>
            </w:pPr>
            <w:r w:rsidRPr="00240496">
              <w:rPr>
                <w:sz w:val="20"/>
                <w:szCs w:val="20"/>
              </w:rPr>
              <w:t xml:space="preserve">1. </w:t>
            </w:r>
            <w:r w:rsidR="00C760D9" w:rsidRPr="00240496">
              <w:rPr>
                <w:sz w:val="20"/>
                <w:szCs w:val="20"/>
              </w:rPr>
              <w:tab/>
            </w:r>
            <w:r w:rsidRPr="00240496">
              <w:rPr>
                <w:sz w:val="20"/>
                <w:szCs w:val="20"/>
              </w:rPr>
              <w:t xml:space="preserve">Episodes affected have significantly different levels of resource consumption from other episodes within the same class </w:t>
            </w:r>
          </w:p>
          <w:p w14:paraId="538518DA" w14:textId="26BBF817" w:rsidR="00212E8D" w:rsidRPr="00240496" w:rsidRDefault="00212E8D" w:rsidP="00640F21">
            <w:pPr>
              <w:ind w:left="821" w:hanging="464"/>
              <w:rPr>
                <w:sz w:val="20"/>
                <w:szCs w:val="20"/>
              </w:rPr>
            </w:pPr>
            <w:r w:rsidRPr="00240496">
              <w:rPr>
                <w:sz w:val="20"/>
                <w:szCs w:val="20"/>
              </w:rPr>
              <w:t xml:space="preserve">2. </w:t>
            </w:r>
            <w:r w:rsidR="00C760D9" w:rsidRPr="00240496">
              <w:rPr>
                <w:sz w:val="20"/>
                <w:szCs w:val="20"/>
              </w:rPr>
              <w:tab/>
            </w:r>
            <w:r w:rsidRPr="00240496">
              <w:rPr>
                <w:sz w:val="20"/>
                <w:szCs w:val="20"/>
              </w:rPr>
              <w:t xml:space="preserve">Volume of episodes affected is relatively small </w:t>
            </w:r>
          </w:p>
          <w:p w14:paraId="70DD2075" w14:textId="27C57954" w:rsidR="00212E8D" w:rsidRPr="00240496" w:rsidRDefault="00212E8D" w:rsidP="00640F21">
            <w:pPr>
              <w:ind w:left="821" w:hanging="464"/>
              <w:rPr>
                <w:sz w:val="20"/>
                <w:szCs w:val="20"/>
              </w:rPr>
            </w:pPr>
            <w:r w:rsidRPr="00240496">
              <w:rPr>
                <w:sz w:val="20"/>
                <w:szCs w:val="20"/>
              </w:rPr>
              <w:t xml:space="preserve">3. </w:t>
            </w:r>
            <w:r w:rsidR="00C760D9" w:rsidRPr="00240496">
              <w:rPr>
                <w:sz w:val="20"/>
                <w:szCs w:val="20"/>
              </w:rPr>
              <w:tab/>
            </w:r>
            <w:r w:rsidRPr="00240496">
              <w:rPr>
                <w:sz w:val="20"/>
                <w:szCs w:val="20"/>
              </w:rPr>
              <w:t>Aggregated cost of episodes affected is relatively small</w:t>
            </w:r>
          </w:p>
        </w:tc>
      </w:tr>
      <w:tr w:rsidR="00212E8D" w:rsidRPr="00640F21" w14:paraId="63935084" w14:textId="77777777" w:rsidTr="00D557FE">
        <w:trPr>
          <w:cantSplit/>
        </w:trPr>
        <w:tc>
          <w:tcPr>
            <w:tcW w:w="1555" w:type="dxa"/>
          </w:tcPr>
          <w:p w14:paraId="6662865A" w14:textId="601E115F" w:rsidR="00212E8D" w:rsidRPr="00640F21" w:rsidRDefault="00212E8D" w:rsidP="00FF0171">
            <w:pPr>
              <w:ind w:left="30" w:firstLine="0"/>
              <w:rPr>
                <w:sz w:val="20"/>
                <w:szCs w:val="20"/>
              </w:rPr>
            </w:pPr>
            <w:r w:rsidRPr="00640F21">
              <w:rPr>
                <w:sz w:val="20"/>
                <w:szCs w:val="20"/>
              </w:rPr>
              <w:t>Low priority</w:t>
            </w:r>
          </w:p>
        </w:tc>
        <w:tc>
          <w:tcPr>
            <w:tcW w:w="7938" w:type="dxa"/>
          </w:tcPr>
          <w:p w14:paraId="7C65AC63" w14:textId="18F841D8" w:rsidR="00212E8D" w:rsidRPr="00240496" w:rsidRDefault="00212E8D" w:rsidP="009578A4">
            <w:pPr>
              <w:ind w:left="0" w:firstLine="0"/>
              <w:rPr>
                <w:sz w:val="20"/>
                <w:szCs w:val="20"/>
              </w:rPr>
            </w:pPr>
            <w:r w:rsidRPr="00240496">
              <w:rPr>
                <w:sz w:val="20"/>
                <w:szCs w:val="20"/>
              </w:rPr>
              <w:t>A development proposal is assigned as low priority if it does not meet any of the principles in high or medium priority.</w:t>
            </w:r>
          </w:p>
        </w:tc>
      </w:tr>
    </w:tbl>
    <w:p w14:paraId="3523DD3D" w14:textId="77777777" w:rsidR="009578A4" w:rsidRPr="00640F21" w:rsidRDefault="009578A4" w:rsidP="00B608AF">
      <w:pPr>
        <w:pStyle w:val="Heading3"/>
        <w:numPr>
          <w:ilvl w:val="0"/>
          <w:numId w:val="0"/>
        </w:numPr>
        <w:spacing w:before="120"/>
        <w:rPr>
          <w:rFonts w:ascii="Arial" w:hAnsi="Arial"/>
          <w:color w:val="auto"/>
          <w:sz w:val="20"/>
          <w:szCs w:val="20"/>
        </w:rPr>
      </w:pPr>
    </w:p>
    <w:p w14:paraId="49831A07" w14:textId="77777777" w:rsidR="009578A4" w:rsidRPr="00640F21" w:rsidRDefault="009578A4">
      <w:pPr>
        <w:rPr>
          <w:sz w:val="20"/>
          <w:szCs w:val="20"/>
        </w:rPr>
      </w:pPr>
      <w:r w:rsidRPr="00640F21">
        <w:rPr>
          <w:sz w:val="20"/>
          <w:szCs w:val="20"/>
        </w:rPr>
        <w:br w:type="page"/>
      </w:r>
    </w:p>
    <w:p w14:paraId="09393A7B" w14:textId="3BEB35FE" w:rsidR="004174F3" w:rsidRPr="00314E89" w:rsidRDefault="00747974" w:rsidP="00B608AF">
      <w:pPr>
        <w:pStyle w:val="Heading3"/>
        <w:numPr>
          <w:ilvl w:val="0"/>
          <w:numId w:val="0"/>
        </w:numPr>
        <w:spacing w:before="120"/>
        <w:rPr>
          <w:caps/>
        </w:rPr>
      </w:pPr>
      <w:bookmarkStart w:id="32" w:name="_Toc57217924"/>
      <w:r>
        <w:lastRenderedPageBreak/>
        <w:t>3</w:t>
      </w:r>
      <w:r w:rsidR="00026E99">
        <w:t>.3.3</w:t>
      </w:r>
      <w:r w:rsidR="00AC0069">
        <w:tab/>
      </w:r>
      <w:r w:rsidR="004174F3">
        <w:t>Development principles</w:t>
      </w:r>
      <w:bookmarkEnd w:id="32"/>
      <w:r w:rsidR="004174F3">
        <w:t xml:space="preserve"> </w:t>
      </w:r>
    </w:p>
    <w:p w14:paraId="339ECB33" w14:textId="3661C786" w:rsidR="00212E8D" w:rsidRPr="0098594F" w:rsidRDefault="000D73B5" w:rsidP="007C2F8A">
      <w:pPr>
        <w:ind w:left="0" w:firstLine="0"/>
      </w:pPr>
      <w:r>
        <w:t>The d</w:t>
      </w:r>
      <w:r w:rsidR="00212E8D" w:rsidRPr="00212E8D">
        <w:t>evelopment principles identify the rules applied during the refinement and development process</w:t>
      </w:r>
      <w:r w:rsidR="00C760D9">
        <w:t xml:space="preserve"> for the AR-DRG classification system</w:t>
      </w:r>
      <w:r w:rsidR="009B348D">
        <w:t>, as follows</w:t>
      </w:r>
      <w:r w:rsidR="009B348D">
        <w:rPr>
          <w:rFonts w:cs="Arial"/>
        </w:rPr>
        <w:t>:</w:t>
      </w:r>
    </w:p>
    <w:p w14:paraId="07891A2B" w14:textId="2618AAC1" w:rsidR="00212E8D" w:rsidRPr="00D006B4" w:rsidRDefault="00212E8D" w:rsidP="00D006B4">
      <w:pPr>
        <w:pStyle w:val="Heading40"/>
      </w:pPr>
      <w:r w:rsidRPr="00D006B4">
        <w:t>Primary principles</w:t>
      </w:r>
    </w:p>
    <w:p w14:paraId="53F54DC0" w14:textId="313008E9" w:rsidR="00212E8D" w:rsidRDefault="00212E8D" w:rsidP="00A840A5">
      <w:pPr>
        <w:pStyle w:val="ListParagraph"/>
      </w:pPr>
      <w:r w:rsidRPr="00212E8D">
        <w:rPr>
          <w:u w:val="single"/>
        </w:rPr>
        <w:t>Clinical coherence</w:t>
      </w:r>
      <w:r w:rsidR="009B348D" w:rsidRPr="00ED246E">
        <w:t xml:space="preserve">: </w:t>
      </w:r>
      <w:r w:rsidR="002D0A73">
        <w:t>The AR-DRG</w:t>
      </w:r>
      <w:r>
        <w:t xml:space="preserve"> classification must ensure that episodes within a class have similar characteristics with respect to diagnoses (both principal and additional diagnoses), interventions and treatment administered</w:t>
      </w:r>
      <w:r w:rsidR="009B348D">
        <w:t>.</w:t>
      </w:r>
    </w:p>
    <w:p w14:paraId="1FB06622" w14:textId="1AD2B0D5" w:rsidR="00212E8D" w:rsidRDefault="00212E8D" w:rsidP="00A840A5">
      <w:pPr>
        <w:pStyle w:val="ListParagraph"/>
      </w:pPr>
      <w:r w:rsidRPr="00212E8D">
        <w:rPr>
          <w:u w:val="single"/>
        </w:rPr>
        <w:t>Resource homogeneity</w:t>
      </w:r>
      <w:r w:rsidR="009B348D" w:rsidRPr="00ED246E">
        <w:t>:</w:t>
      </w:r>
      <w:r w:rsidR="009B348D">
        <w:t xml:space="preserve"> </w:t>
      </w:r>
      <w:r>
        <w:t>The AR-DRG classification must ensure episodes have a similar level of resource utilisation within a class, and a large variation in resource utilisation between classes</w:t>
      </w:r>
      <w:r w:rsidR="009B348D">
        <w:t>.</w:t>
      </w:r>
    </w:p>
    <w:p w14:paraId="4D81D571" w14:textId="1FD69B38" w:rsidR="00212E8D" w:rsidRDefault="00212E8D" w:rsidP="00A840A5">
      <w:pPr>
        <w:pStyle w:val="ListParagraph"/>
      </w:pPr>
      <w:r w:rsidRPr="00212E8D">
        <w:rPr>
          <w:u w:val="single"/>
        </w:rPr>
        <w:t>Classification soundness</w:t>
      </w:r>
      <w:r w:rsidR="009B348D">
        <w:t xml:space="preserve">: </w:t>
      </w:r>
      <w:r>
        <w:t>The AR-DRG classification must have a manageable, balanced number of classes that are statistically robust and relatively stable over time</w:t>
      </w:r>
      <w:r w:rsidR="009B348D">
        <w:t>.</w:t>
      </w:r>
    </w:p>
    <w:p w14:paraId="03D2FF9F" w14:textId="070D83E5" w:rsidR="00212E8D" w:rsidRDefault="00212E8D" w:rsidP="00A840A5">
      <w:pPr>
        <w:pStyle w:val="ListParagraph"/>
      </w:pPr>
      <w:r w:rsidRPr="00212E8D">
        <w:rPr>
          <w:u w:val="single"/>
        </w:rPr>
        <w:t>Statistical soundness</w:t>
      </w:r>
      <w:r w:rsidR="009B348D">
        <w:t xml:space="preserve">: </w:t>
      </w:r>
      <w:r>
        <w:t>The statistical performance of the AR-DRG classes must be sound according to various statistical measures</w:t>
      </w:r>
      <w:r w:rsidR="009B348D">
        <w:t>.</w:t>
      </w:r>
    </w:p>
    <w:p w14:paraId="6A6C422D" w14:textId="2C89A5C9" w:rsidR="00212E8D" w:rsidRDefault="00212E8D" w:rsidP="00A840A5">
      <w:pPr>
        <w:pStyle w:val="ListParagraph"/>
      </w:pPr>
      <w:r w:rsidRPr="00212E8D">
        <w:rPr>
          <w:u w:val="single"/>
        </w:rPr>
        <w:t>Evidence based</w:t>
      </w:r>
      <w:r w:rsidR="009B348D">
        <w:t xml:space="preserve">: </w:t>
      </w:r>
      <w:r>
        <w:t>Changes to the AR-DRG classification must be supported by hospital activity and cost data that can be accessed by IHPA</w:t>
      </w:r>
      <w:r w:rsidR="009B348D">
        <w:t>.</w:t>
      </w:r>
    </w:p>
    <w:p w14:paraId="47AD679C" w14:textId="0490D1E2" w:rsidR="009578A4" w:rsidRDefault="00212E8D" w:rsidP="009578A4">
      <w:pPr>
        <w:pStyle w:val="ListParagraph"/>
      </w:pPr>
      <w:r w:rsidRPr="00212E8D">
        <w:rPr>
          <w:u w:val="single"/>
        </w:rPr>
        <w:t>Integration with underpinning disease and intervention classification</w:t>
      </w:r>
      <w:r w:rsidR="009B348D">
        <w:t xml:space="preserve">: </w:t>
      </w:r>
      <w:r>
        <w:t xml:space="preserve">The AR-DRG classification should be integrated with the underpinning ICD-10-AM/ACHI/ACS classification system, for example, there should be consistency between </w:t>
      </w:r>
      <w:r w:rsidR="00747974">
        <w:t>the admitted care classifications</w:t>
      </w:r>
      <w:r>
        <w:t xml:space="preserve"> in relation to</w:t>
      </w:r>
      <w:r w:rsidR="00C760D9">
        <w:t xml:space="preserve"> </w:t>
      </w:r>
      <w:r>
        <w:t>unacceptable principal diagnoses</w:t>
      </w:r>
      <w:r w:rsidR="00C760D9">
        <w:t xml:space="preserve">, </w:t>
      </w:r>
      <w:r>
        <w:t>sex and other demographic edits</w:t>
      </w:r>
      <w:r w:rsidR="009B348D">
        <w:t>.</w:t>
      </w:r>
    </w:p>
    <w:p w14:paraId="0FD0D936" w14:textId="77777777" w:rsidR="00212E8D" w:rsidRPr="00212E8D" w:rsidRDefault="00212E8D" w:rsidP="00D006B4">
      <w:pPr>
        <w:pStyle w:val="Heading4"/>
      </w:pPr>
      <w:r w:rsidRPr="00212E8D">
        <w:t xml:space="preserve">Pre Major </w:t>
      </w:r>
      <w:r w:rsidRPr="006E61BD">
        <w:t>Diagnostic</w:t>
      </w:r>
      <w:r w:rsidRPr="00212E8D">
        <w:t xml:space="preserve"> Category (Pre MDC) principles</w:t>
      </w:r>
    </w:p>
    <w:p w14:paraId="5A29AE7A" w14:textId="77777777" w:rsidR="00212E8D" w:rsidRDefault="00212E8D" w:rsidP="005B5130">
      <w:pPr>
        <w:ind w:left="357"/>
      </w:pPr>
      <w:r>
        <w:t>A Pre MDC class must meet both of the following criteria:</w:t>
      </w:r>
    </w:p>
    <w:p w14:paraId="0C177190" w14:textId="151B7D54" w:rsidR="00212E8D" w:rsidRDefault="00212E8D" w:rsidP="00A840A5">
      <w:pPr>
        <w:pStyle w:val="ListParagraph"/>
      </w:pPr>
      <w:r>
        <w:t>Episodes are clinically considered to be more appropriately classified according to treatment provided than principal diagnosis</w:t>
      </w:r>
    </w:p>
    <w:p w14:paraId="6AA75E09" w14:textId="3CA46F2B" w:rsidR="009578A4" w:rsidRDefault="00212E8D" w:rsidP="009578A4">
      <w:pPr>
        <w:pStyle w:val="ListParagraph"/>
      </w:pPr>
      <w:r>
        <w:t>There is an inherent high cost in the treatment provided</w:t>
      </w:r>
      <w:r w:rsidR="009B348D">
        <w:t>.</w:t>
      </w:r>
    </w:p>
    <w:p w14:paraId="04E3AC7F" w14:textId="77777777" w:rsidR="00212E8D" w:rsidRPr="00212E8D" w:rsidRDefault="00212E8D" w:rsidP="00D006B4">
      <w:pPr>
        <w:pStyle w:val="Heading4"/>
      </w:pPr>
      <w:r w:rsidRPr="00212E8D">
        <w:t>Major Diagnostic Category (MDC) principles</w:t>
      </w:r>
    </w:p>
    <w:p w14:paraId="2D5D281B" w14:textId="495F9311" w:rsidR="00212E8D" w:rsidRDefault="00212E8D" w:rsidP="00A840A5">
      <w:pPr>
        <w:pStyle w:val="ListParagraph"/>
      </w:pPr>
      <w:r>
        <w:t>An MDC requires a balance of clinical coherence and resource homogeneity</w:t>
      </w:r>
    </w:p>
    <w:p w14:paraId="69D84E7A" w14:textId="2914F213" w:rsidR="00212E8D" w:rsidRDefault="00212E8D" w:rsidP="00A840A5">
      <w:pPr>
        <w:pStyle w:val="ListParagraph"/>
      </w:pPr>
      <w:r>
        <w:t>All episodes can be grouped into an MDC based on its principal diagnosis</w:t>
      </w:r>
    </w:p>
    <w:p w14:paraId="5C33C63B" w14:textId="4135DFCA" w:rsidR="009578A4" w:rsidRDefault="00212E8D" w:rsidP="009578A4">
      <w:pPr>
        <w:pStyle w:val="ListParagraph"/>
      </w:pPr>
      <w:r>
        <w:t xml:space="preserve">The majority of episodes within an MDC should be grouped to specific ADRGs rather than non-specific ADRGs (e.g. ADRG 801 </w:t>
      </w:r>
      <w:r w:rsidRPr="002D0751">
        <w:rPr>
          <w:i/>
        </w:rPr>
        <w:t>General Interventions (GIs) Unrelated to Principal Diagnosis</w:t>
      </w:r>
      <w:r>
        <w:t xml:space="preserve"> and residual, non-specific ADRGs)</w:t>
      </w:r>
      <w:r w:rsidR="009B348D">
        <w:t>.</w:t>
      </w:r>
    </w:p>
    <w:p w14:paraId="27949D1B" w14:textId="30514588" w:rsidR="00212E8D" w:rsidRPr="00212E8D" w:rsidRDefault="00212E8D" w:rsidP="00D006B4">
      <w:pPr>
        <w:pStyle w:val="Heading4"/>
      </w:pPr>
      <w:r w:rsidRPr="00212E8D">
        <w:t>Adjacent Diagnosis Related Group (ADRG) principles</w:t>
      </w:r>
    </w:p>
    <w:p w14:paraId="0B5BDCD1" w14:textId="7CF880BE" w:rsidR="00212E8D" w:rsidRDefault="00212E8D" w:rsidP="00A840A5">
      <w:pPr>
        <w:pStyle w:val="ListParagraph"/>
      </w:pPr>
      <w:r>
        <w:t>An ADRG requires a balance of clinical coherence and resource homogeneity</w:t>
      </w:r>
    </w:p>
    <w:p w14:paraId="5E3306C1" w14:textId="6ED39CBE" w:rsidR="00212E8D" w:rsidRDefault="00212E8D" w:rsidP="00A840A5">
      <w:pPr>
        <w:pStyle w:val="ListParagraph"/>
      </w:pPr>
      <w:r>
        <w:t>An ADRG should contain at least 200 episodes per year, except for those designed to contain rare and high cost episodes</w:t>
      </w:r>
    </w:p>
    <w:p w14:paraId="4238EA6B" w14:textId="56B6AC27" w:rsidR="00212E8D" w:rsidRDefault="00212E8D" w:rsidP="00A840A5">
      <w:pPr>
        <w:pStyle w:val="ListParagraph"/>
      </w:pPr>
      <w:r>
        <w:t>For development proposals requesting new ADRGs, appropriate placement within a current ADRG must be considered in the first instance</w:t>
      </w:r>
      <w:r w:rsidR="009B348D">
        <w:t>.</w:t>
      </w:r>
    </w:p>
    <w:p w14:paraId="39BF2838" w14:textId="77777777" w:rsidR="009578A4" w:rsidRDefault="009578A4">
      <w:pPr>
        <w:rPr>
          <w:i/>
          <w:color w:val="404040" w:themeColor="text1" w:themeTint="BF"/>
        </w:rPr>
      </w:pPr>
      <w:r>
        <w:br w:type="page"/>
      </w:r>
    </w:p>
    <w:p w14:paraId="53963863" w14:textId="6D8245DD" w:rsidR="006E61BD" w:rsidRPr="006E61BD" w:rsidRDefault="006E61BD" w:rsidP="00D006B4">
      <w:pPr>
        <w:pStyle w:val="Heading4"/>
      </w:pPr>
      <w:r w:rsidRPr="006E61BD">
        <w:lastRenderedPageBreak/>
        <w:t>ADRG hierarchy principles</w:t>
      </w:r>
    </w:p>
    <w:p w14:paraId="44FE1EBB" w14:textId="77777777" w:rsidR="006E61BD" w:rsidRDefault="006E61BD" w:rsidP="005B5130">
      <w:pPr>
        <w:ind w:left="0" w:firstLine="0"/>
      </w:pPr>
      <w:r>
        <w:t>The intervention hierarchy is based on the following criteria:</w:t>
      </w:r>
    </w:p>
    <w:p w14:paraId="63EDD3EF" w14:textId="41329DDE" w:rsidR="006E61BD" w:rsidRDefault="006E61BD" w:rsidP="00A840A5">
      <w:pPr>
        <w:pStyle w:val="ListParagraph"/>
      </w:pPr>
      <w:r>
        <w:t>Intervention ADRGs must be sorted from high to low cost with decisions based on both mean and median cost</w:t>
      </w:r>
    </w:p>
    <w:p w14:paraId="35E85629" w14:textId="1B66AC1C" w:rsidR="006E61BD" w:rsidRDefault="006E61BD" w:rsidP="00A840A5">
      <w:pPr>
        <w:pStyle w:val="ListParagraph"/>
      </w:pPr>
      <w:r>
        <w:t xml:space="preserve">Intervention ADRGs must be sorted from specific to non-specific ADRGs and before ADRG 801 </w:t>
      </w:r>
      <w:r w:rsidRPr="00DC4DDF">
        <w:rPr>
          <w:i/>
        </w:rPr>
        <w:t>General</w:t>
      </w:r>
      <w:r w:rsidRPr="006E61BD">
        <w:rPr>
          <w:i/>
        </w:rPr>
        <w:t xml:space="preserve"> Interventions (GIs) Unrelated to Principal Diagnosis</w:t>
      </w:r>
      <w:r>
        <w:t>. This criterion may override the cost criterion</w:t>
      </w:r>
      <w:r>
        <w:rPr>
          <w:rStyle w:val="FootnoteReference"/>
        </w:rPr>
        <w:footnoteReference w:id="1"/>
      </w:r>
    </w:p>
    <w:p w14:paraId="2D3E30AC" w14:textId="3E98826D" w:rsidR="006E61BD" w:rsidRDefault="006E61BD" w:rsidP="00A840A5">
      <w:pPr>
        <w:pStyle w:val="ListParagraph"/>
      </w:pPr>
      <w:r>
        <w:t>Intervention ADRGs must be sorted from the initial definitive intervention, to follow-up and supportive interventions and from major to minor or other interventions. This criterion may override the cost criterion</w:t>
      </w:r>
    </w:p>
    <w:p w14:paraId="4EF01B7A" w14:textId="71633D73" w:rsidR="00212E8D" w:rsidRDefault="006E61BD" w:rsidP="00A840A5">
      <w:pPr>
        <w:pStyle w:val="ListParagraph"/>
      </w:pPr>
      <w:r>
        <w:t>Intervention ADRGs must be sorted from treatment to diagnostic interventions. This criterion may override the cost criterion</w:t>
      </w:r>
      <w:r w:rsidR="009B348D">
        <w:t>.</w:t>
      </w:r>
    </w:p>
    <w:p w14:paraId="36F1A862" w14:textId="1FBD0B8D" w:rsidR="006E61BD" w:rsidRPr="006E61BD" w:rsidRDefault="001D3D49" w:rsidP="00D006B4">
      <w:pPr>
        <w:pStyle w:val="Heading4"/>
      </w:pPr>
      <w:r>
        <w:t>Diagnosis Related Group (</w:t>
      </w:r>
      <w:r w:rsidR="006E61BD" w:rsidRPr="006E61BD">
        <w:t>DRG</w:t>
      </w:r>
      <w:r>
        <w:t>)</w:t>
      </w:r>
      <w:r w:rsidR="006E61BD" w:rsidRPr="006E61BD">
        <w:t xml:space="preserve"> principles</w:t>
      </w:r>
      <w:r w:rsidR="006E61BD" w:rsidRPr="006E61BD">
        <w:rPr>
          <w:rStyle w:val="FootnoteReference"/>
          <w:b/>
        </w:rPr>
        <w:footnoteReference w:id="2"/>
      </w:r>
    </w:p>
    <w:p w14:paraId="6FD585F9" w14:textId="2C14E880" w:rsidR="006E61BD" w:rsidRDefault="000026B0" w:rsidP="005B5130">
      <w:pPr>
        <w:ind w:left="0" w:firstLine="0"/>
      </w:pPr>
      <w:r>
        <w:t xml:space="preserve">The following principles inform </w:t>
      </w:r>
      <w:r w:rsidR="004D3044">
        <w:t>appropriate splitting into</w:t>
      </w:r>
      <w:r w:rsidR="006E61BD">
        <w:t xml:space="preserve"> DRG</w:t>
      </w:r>
      <w:r w:rsidR="004D3044">
        <w:t xml:space="preserve"> end classes</w:t>
      </w:r>
      <w:r w:rsidR="006E61BD">
        <w:t xml:space="preserve">. In certain circumstances, the </w:t>
      </w:r>
      <w:r>
        <w:t xml:space="preserve">specific principles </w:t>
      </w:r>
      <w:r w:rsidR="006E61BD">
        <w:t xml:space="preserve">may be relaxed </w:t>
      </w:r>
      <w:r w:rsidR="00A922F6">
        <w:t xml:space="preserve">to cater for special case ADRGs. An example includes high volume ADRGs such as </w:t>
      </w:r>
      <w:r w:rsidR="00A922F6" w:rsidRPr="00A922F6">
        <w:t xml:space="preserve">O60 </w:t>
      </w:r>
      <w:r w:rsidR="00A922F6" w:rsidRPr="00A922F6">
        <w:rPr>
          <w:i/>
        </w:rPr>
        <w:t>Vaginal delivery</w:t>
      </w:r>
      <w:r w:rsidR="00A922F6">
        <w:t>.</w:t>
      </w:r>
    </w:p>
    <w:p w14:paraId="6D81A182" w14:textId="3E82EC90" w:rsidR="006E61BD" w:rsidRDefault="006E61BD" w:rsidP="00B608AF">
      <w:pPr>
        <w:ind w:left="709" w:hanging="425"/>
      </w:pPr>
      <w:r>
        <w:t xml:space="preserve">1. </w:t>
      </w:r>
      <w:r w:rsidR="009B348D">
        <w:tab/>
      </w:r>
      <w:r>
        <w:t>A DRG must have at least 200 episodes per year, except for those within an ADRG with a limited number of episodes</w:t>
      </w:r>
    </w:p>
    <w:p w14:paraId="211DE267" w14:textId="1BBC196D" w:rsidR="006E61BD" w:rsidRDefault="006E61BD" w:rsidP="00B608AF">
      <w:pPr>
        <w:ind w:left="709" w:hanging="425"/>
      </w:pPr>
      <w:r>
        <w:t xml:space="preserve">2. </w:t>
      </w:r>
      <w:r w:rsidR="009B348D">
        <w:tab/>
      </w:r>
      <w:r>
        <w:t>A DRG must have a minimum total cost of $1 million per year</w:t>
      </w:r>
    </w:p>
    <w:p w14:paraId="12834BBC" w14:textId="5269584A" w:rsidR="006E61BD" w:rsidRDefault="006E61BD" w:rsidP="00B608AF">
      <w:pPr>
        <w:ind w:left="709" w:hanging="425"/>
      </w:pPr>
      <w:r>
        <w:t xml:space="preserve">3. </w:t>
      </w:r>
      <w:r w:rsidR="009B348D">
        <w:tab/>
      </w:r>
      <w:r>
        <w:t>A DRG must have at least 10 per cent of episodes within the ADRG</w:t>
      </w:r>
    </w:p>
    <w:p w14:paraId="517AA685" w14:textId="15100770" w:rsidR="006E61BD" w:rsidRDefault="006E61BD" w:rsidP="00B608AF">
      <w:pPr>
        <w:ind w:left="709" w:hanging="425"/>
      </w:pPr>
      <w:r>
        <w:t xml:space="preserve">4. </w:t>
      </w:r>
      <w:r w:rsidR="009B348D">
        <w:tab/>
      </w:r>
      <w:r>
        <w:t>The absolute change in mean cost between consecutive DRGs must be at least $3,700</w:t>
      </w:r>
    </w:p>
    <w:p w14:paraId="6129B743" w14:textId="01C85B48" w:rsidR="006E61BD" w:rsidRDefault="006E61BD" w:rsidP="00B608AF">
      <w:pPr>
        <w:ind w:left="709" w:hanging="425"/>
      </w:pPr>
      <w:r>
        <w:t xml:space="preserve">5. </w:t>
      </w:r>
      <w:r w:rsidR="009B348D">
        <w:tab/>
      </w:r>
      <w:r>
        <w:t>The relative change in mean cost between consecutive DRGs should be at least 2 times</w:t>
      </w:r>
    </w:p>
    <w:p w14:paraId="79BD260E" w14:textId="7B2854B0" w:rsidR="006E61BD" w:rsidRDefault="006E61BD" w:rsidP="00B608AF">
      <w:pPr>
        <w:ind w:left="709" w:hanging="425"/>
      </w:pPr>
      <w:r>
        <w:t xml:space="preserve">6. </w:t>
      </w:r>
      <w:r w:rsidR="009B348D">
        <w:tab/>
      </w:r>
      <w:r>
        <w:t>There should be an inverse trend between the number of episodes in a DRG and the complexity level of the DRG</w:t>
      </w:r>
      <w:r w:rsidR="001D3D49">
        <w:t>.</w:t>
      </w:r>
    </w:p>
    <w:p w14:paraId="6A4B3EB7" w14:textId="1F2C23D3" w:rsidR="00D006B4" w:rsidRDefault="00D006B4" w:rsidP="00D006B4">
      <w:pPr>
        <w:pStyle w:val="Body"/>
        <w:spacing w:before="120" w:after="120" w:line="240" w:lineRule="auto"/>
        <w:ind w:left="0" w:firstLine="0"/>
      </w:pPr>
      <w:r>
        <w:t xml:space="preserve">The AR-DRG development principles support the established classification conventions </w:t>
      </w:r>
      <w:r w:rsidR="00316DF3">
        <w:t>that are</w:t>
      </w:r>
      <w:r>
        <w:t xml:space="preserve"> found in the AR-DRG definitions manuals. </w:t>
      </w:r>
    </w:p>
    <w:p w14:paraId="06CD1BC6" w14:textId="77777777" w:rsidR="00C760D9" w:rsidRDefault="00C760D9" w:rsidP="00D006B4">
      <w:pPr>
        <w:ind w:left="0" w:firstLine="0"/>
        <w:rPr>
          <w:b/>
          <w:color w:val="000000" w:themeColor="text1"/>
          <w:sz w:val="24"/>
        </w:rPr>
      </w:pPr>
      <w:r>
        <w:br w:type="page"/>
      </w:r>
    </w:p>
    <w:p w14:paraId="736B9A40" w14:textId="35C6FB23" w:rsidR="006E61BD" w:rsidRPr="006E61BD" w:rsidRDefault="006E61BD" w:rsidP="00D006B4">
      <w:pPr>
        <w:pStyle w:val="Heading4"/>
      </w:pPr>
      <w:r w:rsidRPr="006E61BD">
        <w:lastRenderedPageBreak/>
        <w:t>Principles for diagnosis exclusions</w:t>
      </w:r>
      <w:r w:rsidR="00C760D9">
        <w:t xml:space="preserve"> from the complexity model</w:t>
      </w:r>
    </w:p>
    <w:p w14:paraId="02096CAF" w14:textId="77777777" w:rsidR="006E61BD" w:rsidRDefault="006E61BD" w:rsidP="005B5130">
      <w:pPr>
        <w:ind w:left="357"/>
      </w:pPr>
      <w:r>
        <w:t>Codes are out of scope within the complexity model and excluded if they:</w:t>
      </w:r>
    </w:p>
    <w:p w14:paraId="3E9B2A8D" w14:textId="2C8931F9" w:rsidR="006E61BD" w:rsidRDefault="006E61BD" w:rsidP="00A840A5">
      <w:pPr>
        <w:pStyle w:val="ListParagraph"/>
      </w:pPr>
      <w:r>
        <w:t>represent undefined or ill-specified conditions</w:t>
      </w:r>
    </w:p>
    <w:p w14:paraId="61BC26CF" w14:textId="74BEE599" w:rsidR="006E61BD" w:rsidRDefault="006E61BD" w:rsidP="00A840A5">
      <w:pPr>
        <w:pStyle w:val="ListParagraph"/>
      </w:pPr>
      <w:r>
        <w:t>represent symptoms and findings or transient conditions</w:t>
      </w:r>
    </w:p>
    <w:p w14:paraId="0A29BDE7" w14:textId="6F896EF7" w:rsidR="006E61BD" w:rsidRDefault="006E61BD" w:rsidP="00A840A5">
      <w:pPr>
        <w:pStyle w:val="ListParagraph"/>
      </w:pPr>
      <w:r>
        <w:t>provide additional or contextual information only</w:t>
      </w:r>
    </w:p>
    <w:p w14:paraId="7E66ED34" w14:textId="2247B995" w:rsidR="006E61BD" w:rsidRDefault="006E61BD" w:rsidP="00A840A5">
      <w:pPr>
        <w:pStyle w:val="ListParagraph"/>
      </w:pPr>
      <w:r>
        <w:t>most unacceptable principal diagnosis codes</w:t>
      </w:r>
    </w:p>
    <w:p w14:paraId="4DA6DD20" w14:textId="18178C7E" w:rsidR="006E61BD" w:rsidRDefault="006E61BD" w:rsidP="00A840A5">
      <w:pPr>
        <w:pStyle w:val="ListParagraph"/>
      </w:pPr>
      <w:r>
        <w:t>represent asymptomatic or sub-clinical conditions (e.g. latent conditions)</w:t>
      </w:r>
    </w:p>
    <w:p w14:paraId="157DEA92" w14:textId="42A35B2E" w:rsidR="006E61BD" w:rsidRDefault="006E61BD" w:rsidP="00A840A5">
      <w:pPr>
        <w:pStyle w:val="ListParagraph"/>
      </w:pPr>
      <w:r>
        <w:t>represent markers of other diseases (e.g. hypercholesterolaemia)</w:t>
      </w:r>
    </w:p>
    <w:p w14:paraId="1A9CA3A1" w14:textId="2CB2A0F2" w:rsidR="006E61BD" w:rsidRDefault="006E61BD" w:rsidP="00A840A5">
      <w:pPr>
        <w:pStyle w:val="ListParagraph"/>
      </w:pPr>
      <w:r>
        <w:t>represent minor conditions that do not generally result in admitted acute episodes of care</w:t>
      </w:r>
    </w:p>
    <w:p w14:paraId="38F7189A" w14:textId="7E6BE852" w:rsidR="006E61BD" w:rsidRDefault="006E61BD" w:rsidP="00A840A5">
      <w:pPr>
        <w:pStyle w:val="ListParagraph"/>
      </w:pPr>
      <w:r>
        <w:t>represent an underlying cause of disease (e.g. tobacco dependence/use)</w:t>
      </w:r>
      <w:r w:rsidR="00CA3EED">
        <w:t>.</w:t>
      </w:r>
    </w:p>
    <w:p w14:paraId="76E7D85F" w14:textId="77777777" w:rsidR="006E61BD" w:rsidRDefault="006E61BD" w:rsidP="006E61BD"/>
    <w:p w14:paraId="123A1169" w14:textId="7CC5F556" w:rsidR="0014065D" w:rsidRDefault="0014065D" w:rsidP="000C6B16">
      <w:pPr>
        <w:spacing w:after="0"/>
      </w:pPr>
      <w:r>
        <w:t xml:space="preserve"> </w:t>
      </w:r>
    </w:p>
    <w:p w14:paraId="6E138521" w14:textId="41156D1F" w:rsidR="00F20479" w:rsidRPr="000C6B16" w:rsidRDefault="00F20479" w:rsidP="000C6B16">
      <w:r w:rsidRPr="000C6B16">
        <w:rPr>
          <w:rFonts w:cs="Arial"/>
        </w:rPr>
        <w:br w:type="page"/>
      </w:r>
    </w:p>
    <w:p w14:paraId="5FC63A33" w14:textId="77777777" w:rsidR="00921AF4" w:rsidRPr="00EB28AF" w:rsidRDefault="00921AF4" w:rsidP="009578A4">
      <w:pPr>
        <w:pStyle w:val="Heading1"/>
        <w:rPr>
          <w:lang w:eastAsia="en-US"/>
        </w:rPr>
      </w:pPr>
      <w:bookmarkStart w:id="33" w:name="_Toc57217925"/>
      <w:r w:rsidRPr="00EB28AF">
        <w:rPr>
          <w:lang w:eastAsia="en-US"/>
        </w:rPr>
        <w:lastRenderedPageBreak/>
        <w:t>C</w:t>
      </w:r>
      <w:r>
        <w:rPr>
          <w:lang w:eastAsia="en-US"/>
        </w:rPr>
        <w:t>lassification development process</w:t>
      </w:r>
      <w:bookmarkEnd w:id="33"/>
    </w:p>
    <w:p w14:paraId="16973F8E" w14:textId="595FFD03" w:rsidR="0012687B" w:rsidRDefault="0012687B" w:rsidP="00FF0171">
      <w:pPr>
        <w:pStyle w:val="Heading2"/>
        <w:ind w:left="0" w:firstLine="0"/>
      </w:pPr>
      <w:bookmarkStart w:id="34" w:name="_Toc412212512"/>
      <w:bookmarkStart w:id="35" w:name="_Toc412213499"/>
      <w:bookmarkStart w:id="36" w:name="_Toc479254394"/>
      <w:bookmarkStart w:id="37" w:name="_Toc479254414"/>
      <w:bookmarkStart w:id="38" w:name="_Toc482793899"/>
      <w:bookmarkStart w:id="39" w:name="_Toc482793920"/>
      <w:bookmarkStart w:id="40" w:name="_Toc482794051"/>
      <w:bookmarkStart w:id="41" w:name="_Toc57217926"/>
      <w:bookmarkEnd w:id="34"/>
      <w:bookmarkEnd w:id="35"/>
      <w:bookmarkEnd w:id="36"/>
      <w:bookmarkEnd w:id="37"/>
      <w:bookmarkEnd w:id="38"/>
      <w:bookmarkEnd w:id="39"/>
      <w:bookmarkEnd w:id="40"/>
      <w:r>
        <w:t>4.1</w:t>
      </w:r>
      <w:r>
        <w:tab/>
        <w:t>Development cycle</w:t>
      </w:r>
      <w:r w:rsidR="00F863E7">
        <w:t xml:space="preserve"> timelines and milestones</w:t>
      </w:r>
      <w:bookmarkEnd w:id="41"/>
    </w:p>
    <w:p w14:paraId="436DF67D" w14:textId="16D87205" w:rsidR="0012687B" w:rsidRDefault="0012687B" w:rsidP="00FF0171">
      <w:pPr>
        <w:ind w:left="0" w:firstLine="0"/>
      </w:pPr>
      <w:r>
        <w:t>Historically the ICD-10-AM/ACHI/ACS and AR-DRG classification systems have generally been updated in a two-year development cycle. From 1 July 2019 the development cycle of both classification systems changed to a three-year cycle. This approach balances currency and stability, and reduces the administrative burden in implementing new editions</w:t>
      </w:r>
      <w:r w:rsidR="003544B8">
        <w:t>/versions</w:t>
      </w:r>
      <w:r>
        <w:t xml:space="preserve">. </w:t>
      </w:r>
      <w:r w:rsidRPr="00747974">
        <w:rPr>
          <w:b/>
        </w:rPr>
        <w:t xml:space="preserve">Figure </w:t>
      </w:r>
      <w:r w:rsidR="00925911">
        <w:rPr>
          <w:b/>
        </w:rPr>
        <w:t>3</w:t>
      </w:r>
      <w:r>
        <w:t xml:space="preserve"> </w:t>
      </w:r>
      <w:r w:rsidR="003544B8">
        <w:t xml:space="preserve">provides </w:t>
      </w:r>
      <w:r>
        <w:t>an illustration of the three-year cycle.</w:t>
      </w:r>
    </w:p>
    <w:p w14:paraId="4FA48FCB" w14:textId="089AE96F" w:rsidR="0012687B" w:rsidRDefault="0012687B" w:rsidP="00617248">
      <w:pPr>
        <w:pStyle w:val="FigureHeading"/>
        <w:ind w:left="0" w:firstLine="0"/>
      </w:pPr>
      <w:r>
        <w:t xml:space="preserve">Figure </w:t>
      </w:r>
      <w:r w:rsidR="00925911">
        <w:t>3</w:t>
      </w:r>
      <w:r>
        <w:t xml:space="preserve">. </w:t>
      </w:r>
      <w:r w:rsidR="00F863E7">
        <w:t xml:space="preserve">Timelines and milestones </w:t>
      </w:r>
      <w:r w:rsidRPr="00747974">
        <w:t xml:space="preserve">for ICD-10-AM/ACHI/ACS </w:t>
      </w:r>
      <w:r w:rsidR="00F863E7">
        <w:t xml:space="preserve">Twelfth Edition </w:t>
      </w:r>
      <w:r w:rsidRPr="00747974">
        <w:t>and AR-DRG</w:t>
      </w:r>
      <w:r w:rsidR="00F863E7">
        <w:t xml:space="preserve"> Version 11.0</w:t>
      </w:r>
      <w:r w:rsidRPr="00747974">
        <w:t>.</w:t>
      </w:r>
      <w:r w:rsidRPr="00680761">
        <w:t xml:space="preserve"> </w:t>
      </w:r>
    </w:p>
    <w:p w14:paraId="772D3416" w14:textId="4C6FD936" w:rsidR="0012687B" w:rsidRDefault="00BB3FA7" w:rsidP="00617248">
      <w:pPr>
        <w:ind w:left="0" w:hanging="69"/>
      </w:pPr>
      <w:r>
        <w:rPr>
          <w:noProof/>
        </w:rPr>
        <w:drawing>
          <wp:inline distT="0" distB="0" distL="0" distR="0" wp14:anchorId="79ECD60A" wp14:editId="2ED737C0">
            <wp:extent cx="5997575" cy="2356485"/>
            <wp:effectExtent l="0" t="0" r="317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97575" cy="2356485"/>
                    </a:xfrm>
                    <a:prstGeom prst="rect">
                      <a:avLst/>
                    </a:prstGeom>
                  </pic:spPr>
                </pic:pic>
              </a:graphicData>
            </a:graphic>
          </wp:inline>
        </w:drawing>
      </w:r>
    </w:p>
    <w:p w14:paraId="64097A1A" w14:textId="77777777" w:rsidR="0012687B" w:rsidRDefault="0012687B" w:rsidP="00FF0171">
      <w:pPr>
        <w:ind w:left="0" w:firstLine="0"/>
      </w:pPr>
      <w:r>
        <w:t>There are key dependencies between the ICD-10-AM/ACHI/ACS and AR-DRG classification systems and both are developed concurrently to ensure these dependencies are maintained. ICD-10-AM/ACHI/ACS is released several months prior to AR-DRGs and its implementation is staggered one year after ICD-10-AM/ACHI/ACS.</w:t>
      </w:r>
    </w:p>
    <w:p w14:paraId="52B38CFE" w14:textId="314E10E9" w:rsidR="00921AF4" w:rsidRDefault="00680761" w:rsidP="00FF0171">
      <w:pPr>
        <w:pStyle w:val="Heading2"/>
        <w:ind w:left="0" w:firstLine="0"/>
      </w:pPr>
      <w:bookmarkStart w:id="42" w:name="_Toc57217927"/>
      <w:r>
        <w:t>4</w:t>
      </w:r>
      <w:r w:rsidR="00921AF4">
        <w:t>.</w:t>
      </w:r>
      <w:r w:rsidR="0012687B">
        <w:t>2</w:t>
      </w:r>
      <w:r w:rsidR="00921AF4">
        <w:tab/>
        <w:t>Inputs</w:t>
      </w:r>
      <w:bookmarkEnd w:id="42"/>
    </w:p>
    <w:p w14:paraId="4D34DDA4" w14:textId="391FFE57" w:rsidR="00921AF4" w:rsidRDefault="00921AF4" w:rsidP="00FF0171">
      <w:pPr>
        <w:ind w:left="0" w:firstLine="0"/>
      </w:pPr>
      <w:r>
        <w:t>All change requests and classification queries for the ICD-10-AM/ACHI/ACS and AR</w:t>
      </w:r>
      <w:r>
        <w:noBreakHyphen/>
        <w:t xml:space="preserve">DRG classifications must be submitted on the </w:t>
      </w:r>
      <w:r w:rsidR="002D0751">
        <w:t>ACE</w:t>
      </w:r>
      <w:r>
        <w:t xml:space="preserve"> portal. </w:t>
      </w:r>
    </w:p>
    <w:p w14:paraId="0027AF9A" w14:textId="15202FF4" w:rsidR="00921AF4" w:rsidRDefault="00F624AE" w:rsidP="00FF0171">
      <w:pPr>
        <w:ind w:left="0" w:firstLine="0"/>
      </w:pPr>
      <w:r>
        <w:t>G</w:t>
      </w:r>
      <w:r w:rsidR="00921AF4">
        <w:t xml:space="preserve">uidelines ensure </w:t>
      </w:r>
      <w:r>
        <w:t xml:space="preserve">submissions </w:t>
      </w:r>
      <w:r w:rsidR="00921AF4">
        <w:t>provide adequate documentation to support the request or query.</w:t>
      </w:r>
      <w:r w:rsidR="002D0751">
        <w:t xml:space="preserve"> These guidelines </w:t>
      </w:r>
      <w:r w:rsidR="00592244">
        <w:t>are</w:t>
      </w:r>
      <w:r w:rsidR="002D0751">
        <w:t xml:space="preserve"> found on the ACE website: </w:t>
      </w:r>
      <w:hyperlink r:id="rId20" w:history="1">
        <w:r w:rsidR="002D0751">
          <w:rPr>
            <w:rStyle w:val="Hyperlink"/>
          </w:rPr>
          <w:t>https://ace.ihpa.gov.au/Submissions.aspx</w:t>
        </w:r>
      </w:hyperlink>
    </w:p>
    <w:p w14:paraId="0D886451" w14:textId="53EE3E5B" w:rsidR="00921AF4" w:rsidRDefault="00921AF4" w:rsidP="00FF0171">
      <w:pPr>
        <w:ind w:left="0" w:firstLine="0"/>
      </w:pPr>
      <w:r>
        <w:t xml:space="preserve">Other sources are used for classification changes such as the MBS, the </w:t>
      </w:r>
      <w:r w:rsidR="00BB3FA7">
        <w:t>ADA</w:t>
      </w:r>
      <w:r>
        <w:t>, the International Classification of Disease</w:t>
      </w:r>
      <w:r w:rsidR="00A75859">
        <w:t>s</w:t>
      </w:r>
      <w:r>
        <w:t xml:space="preserve"> </w:t>
      </w:r>
      <w:r w:rsidR="003544B8">
        <w:t xml:space="preserve">for </w:t>
      </w:r>
      <w:r>
        <w:t>Oncology (ICD-O).</w:t>
      </w:r>
    </w:p>
    <w:p w14:paraId="447D21D6" w14:textId="49590A2A" w:rsidR="00921AF4" w:rsidRPr="00A54DA8" w:rsidRDefault="00921AF4" w:rsidP="00FF0171">
      <w:pPr>
        <w:ind w:left="0" w:firstLine="0"/>
      </w:pPr>
      <w:r>
        <w:t xml:space="preserve">International health classifications are used in the development process to ensure consistency in approach. These include the </w:t>
      </w:r>
      <w:r w:rsidR="0015003E">
        <w:t>WHO’s</w:t>
      </w:r>
      <w:r>
        <w:t xml:space="preserve"> ICD-11</w:t>
      </w:r>
      <w:r w:rsidR="00BB3FA7">
        <w:t xml:space="preserve"> and </w:t>
      </w:r>
      <w:r>
        <w:t>ICHI.</w:t>
      </w:r>
    </w:p>
    <w:p w14:paraId="0F87EF9C" w14:textId="512FDE58" w:rsidR="00921AF4" w:rsidRDefault="00680761" w:rsidP="00570E05">
      <w:pPr>
        <w:pStyle w:val="Heading2"/>
        <w:ind w:left="0" w:firstLine="0"/>
      </w:pPr>
      <w:bookmarkStart w:id="43" w:name="_Toc57217928"/>
      <w:r>
        <w:lastRenderedPageBreak/>
        <w:t>4</w:t>
      </w:r>
      <w:r w:rsidR="00921AF4">
        <w:t>.</w:t>
      </w:r>
      <w:r w:rsidR="0012687B">
        <w:t>3</w:t>
      </w:r>
      <w:r w:rsidR="00921AF4">
        <w:tab/>
      </w:r>
      <w:r w:rsidR="00CB424B">
        <w:t xml:space="preserve">Advisory </w:t>
      </w:r>
      <w:r w:rsidR="00BE0B5F">
        <w:t>groups</w:t>
      </w:r>
      <w:bookmarkEnd w:id="43"/>
      <w:r w:rsidR="009B27E1">
        <w:t xml:space="preserve"> </w:t>
      </w:r>
    </w:p>
    <w:p w14:paraId="383C8A07" w14:textId="0B17780B" w:rsidR="00F624AE" w:rsidRPr="00F624AE" w:rsidRDefault="00F624AE" w:rsidP="00F624AE">
      <w:pPr>
        <w:ind w:left="0" w:firstLine="0"/>
      </w:pPr>
      <w:r w:rsidRPr="00F624AE">
        <w:t xml:space="preserve">IHPA’s advisory groups listed in </w:t>
      </w:r>
      <w:r w:rsidRPr="00F624AE">
        <w:rPr>
          <w:b/>
        </w:rPr>
        <w:t>Table 3</w:t>
      </w:r>
      <w:r w:rsidRPr="00F624AE">
        <w:t xml:space="preserve"> are responsible for providing expert technical and clinical advice throughout the development cycle. Advisory groups use their networks to ensure comprehensive input is received on changes to the classification</w:t>
      </w:r>
      <w:r w:rsidR="00617248">
        <w:t xml:space="preserve"> in the development stage of the cycle</w:t>
      </w:r>
      <w:r w:rsidRPr="00F624AE">
        <w:t>.</w:t>
      </w:r>
    </w:p>
    <w:p w14:paraId="6CFFE9B1" w14:textId="1ABF0B76" w:rsidR="00921AF4" w:rsidRDefault="00921AF4" w:rsidP="00BB3FA7">
      <w:pPr>
        <w:pStyle w:val="Caption"/>
        <w:ind w:left="0" w:firstLine="0"/>
      </w:pPr>
      <w:r>
        <w:t xml:space="preserve">Table </w:t>
      </w:r>
      <w:r w:rsidR="00240496">
        <w:t>3</w:t>
      </w:r>
      <w:r w:rsidR="00240496">
        <w:rPr>
          <w:noProof/>
        </w:rPr>
        <w:t>.</w:t>
      </w:r>
      <w:r>
        <w:t xml:space="preserve"> </w:t>
      </w:r>
      <w:r w:rsidR="00617248">
        <w:t>Advisory groups</w:t>
      </w:r>
      <w:r>
        <w:t xml:space="preserve"> in</w:t>
      </w:r>
      <w:r w:rsidR="00F624AE">
        <w:t xml:space="preserve">volved in the development </w:t>
      </w:r>
      <w:r w:rsidR="00617248">
        <w:t>stage</w:t>
      </w:r>
      <w:r w:rsidR="00F624AE">
        <w:t xml:space="preserve"> </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Pr>
      <w:tblGrid>
        <w:gridCol w:w="1895"/>
        <w:gridCol w:w="3685"/>
        <w:gridCol w:w="3770"/>
      </w:tblGrid>
      <w:tr w:rsidR="00921AF4" w:rsidRPr="00534DAC" w14:paraId="7C5CE944" w14:textId="77777777" w:rsidTr="00F62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008542" w:themeFill="accent2"/>
          </w:tcPr>
          <w:p w14:paraId="30B52A15" w14:textId="7F1C7BE9" w:rsidR="00921AF4" w:rsidRPr="00240496" w:rsidRDefault="00BE0B5F" w:rsidP="00FF0171">
            <w:pPr>
              <w:ind w:left="0" w:firstLine="0"/>
              <w:rPr>
                <w:rFonts w:ascii="Arial Bold" w:hAnsi="Arial Bold"/>
                <w:color w:val="FFFFFF" w:themeColor="background1"/>
                <w:szCs w:val="22"/>
              </w:rPr>
            </w:pPr>
            <w:r w:rsidRPr="00240496">
              <w:rPr>
                <w:rFonts w:ascii="Arial Bold" w:hAnsi="Arial Bold"/>
                <w:color w:val="FFFFFF" w:themeColor="background1"/>
                <w:szCs w:val="22"/>
              </w:rPr>
              <w:t>Group</w:t>
            </w:r>
          </w:p>
        </w:tc>
        <w:tc>
          <w:tcPr>
            <w:tcW w:w="3685" w:type="dxa"/>
            <w:tcBorders>
              <w:bottom w:val="single" w:sz="4" w:space="0" w:color="auto"/>
            </w:tcBorders>
            <w:shd w:val="clear" w:color="auto" w:fill="008542" w:themeFill="accent2"/>
          </w:tcPr>
          <w:p w14:paraId="311C27FE" w14:textId="77777777" w:rsidR="00921AF4" w:rsidRPr="00240496" w:rsidRDefault="00921AF4" w:rsidP="00FF0171">
            <w:pPr>
              <w:ind w:left="59" w:firstLine="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Cs w:val="22"/>
              </w:rPr>
            </w:pPr>
            <w:r w:rsidRPr="00240496">
              <w:rPr>
                <w:rFonts w:ascii="Arial Bold" w:hAnsi="Arial Bold"/>
                <w:color w:val="FFFFFF" w:themeColor="background1"/>
                <w:szCs w:val="22"/>
              </w:rPr>
              <w:t>Description</w:t>
            </w:r>
          </w:p>
        </w:tc>
        <w:tc>
          <w:tcPr>
            <w:tcW w:w="3770" w:type="dxa"/>
            <w:tcBorders>
              <w:bottom w:val="single" w:sz="4" w:space="0" w:color="auto"/>
            </w:tcBorders>
            <w:shd w:val="clear" w:color="auto" w:fill="008542" w:themeFill="accent2"/>
          </w:tcPr>
          <w:p w14:paraId="2037163D" w14:textId="77777777" w:rsidR="00921AF4" w:rsidRPr="00240496" w:rsidRDefault="00921AF4" w:rsidP="00FF0171">
            <w:pPr>
              <w:ind w:left="64" w:firstLine="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Cs w:val="22"/>
              </w:rPr>
            </w:pPr>
            <w:r w:rsidRPr="00240496">
              <w:rPr>
                <w:rFonts w:ascii="Arial Bold" w:hAnsi="Arial Bold"/>
                <w:color w:val="FFFFFF" w:themeColor="background1"/>
                <w:szCs w:val="22"/>
              </w:rPr>
              <w:t>Role in development cycle</w:t>
            </w:r>
          </w:p>
        </w:tc>
      </w:tr>
      <w:tr w:rsidR="00921AF4" w:rsidRPr="00534DAC" w14:paraId="5CA9AA22" w14:textId="77777777" w:rsidTr="00F62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auto"/>
          </w:tcPr>
          <w:p w14:paraId="136DBE02" w14:textId="77777777" w:rsidR="00921AF4" w:rsidRPr="00D557FE" w:rsidRDefault="00921AF4" w:rsidP="00F62BB2">
            <w:pPr>
              <w:spacing w:before="120"/>
              <w:ind w:left="0" w:firstLine="0"/>
              <w:rPr>
                <w:sz w:val="20"/>
                <w:szCs w:val="20"/>
              </w:rPr>
            </w:pPr>
            <w:r w:rsidRPr="00D557FE">
              <w:rPr>
                <w:sz w:val="20"/>
                <w:szCs w:val="20"/>
              </w:rPr>
              <w:t>Classifications Clinical Advisory Group (CCAG)</w:t>
            </w:r>
          </w:p>
        </w:tc>
        <w:tc>
          <w:tcPr>
            <w:tcW w:w="3685" w:type="dxa"/>
            <w:shd w:val="clear" w:color="auto" w:fill="auto"/>
          </w:tcPr>
          <w:p w14:paraId="741F0035" w14:textId="7A4907D1" w:rsidR="00921AF4" w:rsidRPr="00000B90" w:rsidRDefault="00921AF4"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 xml:space="preserve">Advisory </w:t>
            </w:r>
            <w:r w:rsidR="005576DB">
              <w:rPr>
                <w:sz w:val="20"/>
                <w:szCs w:val="20"/>
              </w:rPr>
              <w:t>g</w:t>
            </w:r>
            <w:r w:rsidRPr="00000B90">
              <w:rPr>
                <w:sz w:val="20"/>
                <w:szCs w:val="20"/>
              </w:rPr>
              <w:t xml:space="preserve">roup. </w:t>
            </w:r>
          </w:p>
          <w:p w14:paraId="6457D4E8" w14:textId="289DCBE3" w:rsidR="00921AF4" w:rsidRPr="00000B90" w:rsidRDefault="00921AF4"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Membership includes representation from IHPA’s Clinical Advisory Committee</w:t>
            </w:r>
            <w:r w:rsidR="00412771">
              <w:rPr>
                <w:sz w:val="20"/>
                <w:szCs w:val="20"/>
              </w:rPr>
              <w:t xml:space="preserve"> (including the Chair)</w:t>
            </w:r>
            <w:r w:rsidRPr="00000B90">
              <w:rPr>
                <w:sz w:val="20"/>
                <w:szCs w:val="20"/>
              </w:rPr>
              <w:t xml:space="preserve"> as well as medical, nursing and allied health professions with significant knowledge of the classification.</w:t>
            </w:r>
          </w:p>
        </w:tc>
        <w:tc>
          <w:tcPr>
            <w:tcW w:w="3770" w:type="dxa"/>
            <w:shd w:val="clear" w:color="auto" w:fill="auto"/>
          </w:tcPr>
          <w:p w14:paraId="1FB0392B" w14:textId="77777777" w:rsidR="00921AF4" w:rsidRDefault="00921AF4"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Provides expert clinical advice on development proposals across both admitted care classifications.</w:t>
            </w:r>
          </w:p>
          <w:p w14:paraId="188FB89A" w14:textId="573268DC" w:rsidR="0012687B" w:rsidRPr="00000B90" w:rsidRDefault="0012687B"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Assists IHPA in applying development principles (see Section 3).</w:t>
            </w:r>
          </w:p>
        </w:tc>
      </w:tr>
      <w:tr w:rsidR="00921AF4" w:rsidRPr="00534DAC" w14:paraId="70021B8E" w14:textId="77777777" w:rsidTr="00F624AE">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auto"/>
          </w:tcPr>
          <w:p w14:paraId="73F0D169" w14:textId="77777777" w:rsidR="00921AF4" w:rsidRPr="00D557FE" w:rsidRDefault="00921AF4" w:rsidP="00F62BB2">
            <w:pPr>
              <w:spacing w:before="120"/>
              <w:ind w:left="0" w:firstLine="0"/>
              <w:rPr>
                <w:sz w:val="20"/>
                <w:szCs w:val="20"/>
              </w:rPr>
            </w:pPr>
            <w:r w:rsidRPr="00D557FE">
              <w:rPr>
                <w:sz w:val="20"/>
                <w:szCs w:val="20"/>
              </w:rPr>
              <w:t>ICD Technical Group (ITG)</w:t>
            </w:r>
          </w:p>
        </w:tc>
        <w:tc>
          <w:tcPr>
            <w:tcW w:w="3685" w:type="dxa"/>
            <w:shd w:val="clear" w:color="auto" w:fill="auto"/>
          </w:tcPr>
          <w:p w14:paraId="789E9B08" w14:textId="2763DB83" w:rsidR="00921AF4" w:rsidRPr="00000B90" w:rsidRDefault="00921AF4" w:rsidP="00F62BB2">
            <w:pPr>
              <w:spacing w:before="120"/>
              <w:ind w:left="59" w:firstLine="0"/>
              <w:cnfStyle w:val="000000000000" w:firstRow="0" w:lastRow="0" w:firstColumn="0" w:lastColumn="0" w:oddVBand="0" w:evenVBand="0" w:oddHBand="0" w:evenHBand="0" w:firstRowFirstColumn="0" w:firstRowLastColumn="0" w:lastRowFirstColumn="0" w:lastRowLastColumn="0"/>
              <w:rPr>
                <w:sz w:val="20"/>
                <w:szCs w:val="20"/>
              </w:rPr>
            </w:pPr>
            <w:r w:rsidRPr="00000B90">
              <w:rPr>
                <w:sz w:val="20"/>
                <w:szCs w:val="20"/>
              </w:rPr>
              <w:t xml:space="preserve">Advisory </w:t>
            </w:r>
            <w:r w:rsidR="005576DB">
              <w:rPr>
                <w:sz w:val="20"/>
                <w:szCs w:val="20"/>
              </w:rPr>
              <w:t>g</w:t>
            </w:r>
            <w:r w:rsidRPr="00000B90">
              <w:rPr>
                <w:sz w:val="20"/>
                <w:szCs w:val="20"/>
              </w:rPr>
              <w:t>roup.</w:t>
            </w:r>
          </w:p>
          <w:p w14:paraId="77AE85B4" w14:textId="77777777" w:rsidR="00921AF4" w:rsidRPr="00000B90" w:rsidRDefault="00921AF4" w:rsidP="00F62BB2">
            <w:pPr>
              <w:spacing w:before="120"/>
              <w:ind w:left="59" w:firstLine="0"/>
              <w:cnfStyle w:val="000000000000" w:firstRow="0" w:lastRow="0" w:firstColumn="0" w:lastColumn="0" w:oddVBand="0" w:evenVBand="0" w:oddHBand="0" w:evenHBand="0" w:firstRowFirstColumn="0" w:firstRowLastColumn="0" w:lastRowFirstColumn="0" w:lastRowLastColumn="0"/>
              <w:rPr>
                <w:sz w:val="20"/>
                <w:szCs w:val="20"/>
              </w:rPr>
            </w:pPr>
            <w:r w:rsidRPr="00000B90">
              <w:rPr>
                <w:sz w:val="20"/>
                <w:szCs w:val="20"/>
              </w:rPr>
              <w:t>Membership includes representatives from all jurisdictions, public and private healthcare organisations, Australian health sector organisations and peak bodies.</w:t>
            </w:r>
          </w:p>
        </w:tc>
        <w:tc>
          <w:tcPr>
            <w:tcW w:w="3770" w:type="dxa"/>
            <w:shd w:val="clear" w:color="auto" w:fill="auto"/>
          </w:tcPr>
          <w:p w14:paraId="04F5BB8D" w14:textId="191CEF7A" w:rsidR="0012687B" w:rsidRDefault="00921AF4" w:rsidP="00F62BB2">
            <w:pPr>
              <w:spacing w:before="120"/>
              <w:ind w:left="64" w:firstLine="0"/>
              <w:cnfStyle w:val="000000000000" w:firstRow="0" w:lastRow="0" w:firstColumn="0" w:lastColumn="0" w:oddVBand="0" w:evenVBand="0" w:oddHBand="0" w:evenHBand="0" w:firstRowFirstColumn="0" w:firstRowLastColumn="0" w:lastRowFirstColumn="0" w:lastRowLastColumn="0"/>
              <w:rPr>
                <w:sz w:val="20"/>
                <w:szCs w:val="20"/>
              </w:rPr>
            </w:pPr>
            <w:r w:rsidRPr="00000B90">
              <w:rPr>
                <w:sz w:val="20"/>
                <w:szCs w:val="20"/>
              </w:rPr>
              <w:t xml:space="preserve">Provides expert classification advice and technical input on </w:t>
            </w:r>
            <w:r w:rsidRPr="00000B90">
              <w:rPr>
                <w:sz w:val="20"/>
                <w:szCs w:val="20"/>
              </w:rPr>
              <w:br/>
              <w:t>ICD-10-AM/ACHI/ACS development by providing feedback on</w:t>
            </w:r>
            <w:r w:rsidR="00412771">
              <w:rPr>
                <w:sz w:val="20"/>
                <w:szCs w:val="20"/>
              </w:rPr>
              <w:t xml:space="preserve"> </w:t>
            </w:r>
            <w:r w:rsidR="001B29F2">
              <w:rPr>
                <w:sz w:val="20"/>
                <w:szCs w:val="20"/>
              </w:rPr>
              <w:t>technical</w:t>
            </w:r>
            <w:r w:rsidRPr="00000B90">
              <w:rPr>
                <w:sz w:val="20"/>
                <w:szCs w:val="20"/>
              </w:rPr>
              <w:t xml:space="preserve"> development tasks.</w:t>
            </w:r>
            <w:r w:rsidR="0012687B">
              <w:rPr>
                <w:sz w:val="20"/>
                <w:szCs w:val="20"/>
              </w:rPr>
              <w:t xml:space="preserve"> </w:t>
            </w:r>
          </w:p>
          <w:p w14:paraId="7D4C37B5" w14:textId="5C9616CE" w:rsidR="00921AF4" w:rsidRPr="00000B90" w:rsidRDefault="0012687B" w:rsidP="00F62BB2">
            <w:pPr>
              <w:spacing w:before="120"/>
              <w:ind w:left="64"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Assists IHPA in applying development principles (see Section 3).</w:t>
            </w:r>
          </w:p>
        </w:tc>
      </w:tr>
      <w:tr w:rsidR="00921AF4" w:rsidRPr="00534DAC" w14:paraId="6FC014A4" w14:textId="77777777" w:rsidTr="00F62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tcBorders>
            <w:shd w:val="clear" w:color="auto" w:fill="auto"/>
          </w:tcPr>
          <w:p w14:paraId="1BE7F9B8" w14:textId="77777777" w:rsidR="00921AF4" w:rsidRPr="00D557FE" w:rsidRDefault="00921AF4" w:rsidP="00F62BB2">
            <w:pPr>
              <w:spacing w:before="120"/>
              <w:ind w:left="0" w:firstLine="0"/>
              <w:rPr>
                <w:sz w:val="20"/>
                <w:szCs w:val="20"/>
              </w:rPr>
            </w:pPr>
            <w:r w:rsidRPr="00D557FE">
              <w:rPr>
                <w:sz w:val="20"/>
                <w:szCs w:val="20"/>
              </w:rPr>
              <w:t>DRG Technical Group (DTG)</w:t>
            </w:r>
          </w:p>
        </w:tc>
        <w:tc>
          <w:tcPr>
            <w:tcW w:w="3685" w:type="dxa"/>
            <w:shd w:val="clear" w:color="auto" w:fill="auto"/>
          </w:tcPr>
          <w:p w14:paraId="2D63C74F" w14:textId="53690D6F" w:rsidR="00921AF4" w:rsidRPr="00000B90" w:rsidRDefault="00921AF4"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 xml:space="preserve">Advisory </w:t>
            </w:r>
            <w:r w:rsidR="00241C2C">
              <w:rPr>
                <w:sz w:val="20"/>
                <w:szCs w:val="20"/>
              </w:rPr>
              <w:t>g</w:t>
            </w:r>
            <w:r w:rsidR="00241C2C" w:rsidRPr="00000B90">
              <w:rPr>
                <w:sz w:val="20"/>
                <w:szCs w:val="20"/>
              </w:rPr>
              <w:t>roup</w:t>
            </w:r>
            <w:r w:rsidRPr="00000B90">
              <w:rPr>
                <w:sz w:val="20"/>
                <w:szCs w:val="20"/>
              </w:rPr>
              <w:t>.</w:t>
            </w:r>
          </w:p>
          <w:p w14:paraId="67E1F5C4" w14:textId="77777777" w:rsidR="00921AF4" w:rsidRPr="00000B90" w:rsidRDefault="00921AF4"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Membership includes representatives from all jurisdictions, public and private healthcare organisations, Australian health sector organisations and peak bodies.</w:t>
            </w:r>
          </w:p>
        </w:tc>
        <w:tc>
          <w:tcPr>
            <w:tcW w:w="3770" w:type="dxa"/>
            <w:shd w:val="clear" w:color="auto" w:fill="auto"/>
          </w:tcPr>
          <w:p w14:paraId="4A2011A8" w14:textId="2C608D68" w:rsidR="0012687B" w:rsidRDefault="00921AF4"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 xml:space="preserve">Provides technical input on </w:t>
            </w:r>
            <w:r w:rsidRPr="00000B90">
              <w:rPr>
                <w:sz w:val="20"/>
                <w:szCs w:val="20"/>
              </w:rPr>
              <w:br/>
              <w:t xml:space="preserve">AR-DRG development by providing feedback on technical development </w:t>
            </w:r>
            <w:r w:rsidR="003E0B3F">
              <w:rPr>
                <w:sz w:val="20"/>
                <w:szCs w:val="20"/>
              </w:rPr>
              <w:t>tasks</w:t>
            </w:r>
            <w:r w:rsidRPr="00000B90">
              <w:rPr>
                <w:sz w:val="20"/>
                <w:szCs w:val="20"/>
              </w:rPr>
              <w:t>.</w:t>
            </w:r>
            <w:r w:rsidR="0012687B">
              <w:rPr>
                <w:sz w:val="20"/>
                <w:szCs w:val="20"/>
              </w:rPr>
              <w:t xml:space="preserve"> </w:t>
            </w:r>
          </w:p>
          <w:p w14:paraId="629E58C3" w14:textId="0303F6CF" w:rsidR="00921AF4" w:rsidRPr="00000B90" w:rsidRDefault="0012687B"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Assists IHPA in applying development principles (see Section 3).</w:t>
            </w:r>
          </w:p>
        </w:tc>
      </w:tr>
    </w:tbl>
    <w:p w14:paraId="68BE6B39" w14:textId="65000DAE" w:rsidR="00921AF4" w:rsidRDefault="00680761" w:rsidP="00FF0171">
      <w:pPr>
        <w:pStyle w:val="Heading2"/>
        <w:spacing w:before="120"/>
        <w:ind w:left="0" w:firstLine="0"/>
      </w:pPr>
      <w:bookmarkStart w:id="44" w:name="_Toc57217929"/>
      <w:r>
        <w:t>4</w:t>
      </w:r>
      <w:r w:rsidR="00921AF4">
        <w:t>.</w:t>
      </w:r>
      <w:r w:rsidR="0012687B">
        <w:t>4</w:t>
      </w:r>
      <w:r w:rsidR="00921AF4">
        <w:tab/>
        <w:t>Consultation</w:t>
      </w:r>
      <w:r w:rsidR="00F624AE">
        <w:t xml:space="preserve"> and endorsement</w:t>
      </w:r>
      <w:r w:rsidR="00617248">
        <w:t xml:space="preserve"> committees</w:t>
      </w:r>
      <w:bookmarkEnd w:id="44"/>
    </w:p>
    <w:p w14:paraId="07D5E994" w14:textId="72D3B527" w:rsidR="002564DA" w:rsidRDefault="002564DA" w:rsidP="007C2F8A">
      <w:pPr>
        <w:ind w:left="0" w:firstLine="0"/>
      </w:pPr>
      <w:r>
        <w:t xml:space="preserve">IHPA’s </w:t>
      </w:r>
      <w:r w:rsidR="00F624AE">
        <w:t xml:space="preserve">consultation and </w:t>
      </w:r>
      <w:r>
        <w:t xml:space="preserve">endorsement committees are listed in </w:t>
      </w:r>
      <w:r w:rsidRPr="00B442A6">
        <w:rPr>
          <w:b/>
        </w:rPr>
        <w:t xml:space="preserve">Table </w:t>
      </w:r>
      <w:r w:rsidR="00F624AE">
        <w:rPr>
          <w:b/>
        </w:rPr>
        <w:t>4</w:t>
      </w:r>
      <w:r w:rsidR="00F624AE">
        <w:t xml:space="preserve"> </w:t>
      </w:r>
      <w:r>
        <w:t>and provide strategic advice</w:t>
      </w:r>
      <w:r w:rsidR="00617248">
        <w:t xml:space="preserve"> in the consultation stage of the development cycle</w:t>
      </w:r>
      <w:r w:rsidR="00B442A6">
        <w:t>.</w:t>
      </w:r>
      <w:r>
        <w:t xml:space="preserve"> </w:t>
      </w:r>
    </w:p>
    <w:p w14:paraId="10A67512" w14:textId="3ED97E19" w:rsidR="00617248" w:rsidRDefault="004D5915" w:rsidP="007C2F8A">
      <w:pPr>
        <w:ind w:left="0" w:firstLine="0"/>
      </w:pPr>
      <w:r>
        <w:t xml:space="preserve">The </w:t>
      </w:r>
      <w:r w:rsidR="00921AF4">
        <w:t xml:space="preserve">public consultation process </w:t>
      </w:r>
      <w:r w:rsidR="00257D40">
        <w:t xml:space="preserve">is conducted prior to finalising </w:t>
      </w:r>
      <w:r w:rsidR="00921AF4">
        <w:t>the admitted care classifications</w:t>
      </w:r>
      <w:r w:rsidR="00AA3EB7">
        <w:t xml:space="preserve"> </w:t>
      </w:r>
      <w:r w:rsidR="00257D40">
        <w:t>to ensure the broadest possible consultation across the public and private health sector</w:t>
      </w:r>
      <w:r w:rsidR="002A1302">
        <w:t xml:space="preserve">. </w:t>
      </w:r>
      <w:r w:rsidR="00921AF4">
        <w:t>A draft final report</w:t>
      </w:r>
      <w:r w:rsidR="003C154E">
        <w:t xml:space="preserve"> for both ICD-10-AM/ACHI/ACS and AR-DRGs</w:t>
      </w:r>
      <w:r w:rsidR="00921AF4">
        <w:t xml:space="preserve"> </w:t>
      </w:r>
      <w:r w:rsidR="00C760D9">
        <w:t xml:space="preserve">outlines </w:t>
      </w:r>
      <w:r w:rsidR="00921AF4">
        <w:t xml:space="preserve">key areas of change </w:t>
      </w:r>
      <w:r w:rsidR="003C154E">
        <w:t xml:space="preserve">proposed </w:t>
      </w:r>
      <w:r w:rsidR="00921AF4">
        <w:t xml:space="preserve">for interested stakeholders and members of the public to provide feedback on </w:t>
      </w:r>
      <w:r w:rsidR="003C154E">
        <w:t>new editions/versions of the classifications</w:t>
      </w:r>
      <w:r w:rsidR="00921AF4">
        <w:t>.</w:t>
      </w:r>
      <w:r w:rsidR="00257D40">
        <w:t xml:space="preserve"> </w:t>
      </w:r>
    </w:p>
    <w:p w14:paraId="75F2D985" w14:textId="375BED8B" w:rsidR="0012687B" w:rsidRDefault="00257D40" w:rsidP="007C2F8A">
      <w:pPr>
        <w:ind w:left="0" w:firstLine="0"/>
      </w:pPr>
      <w:r>
        <w:t xml:space="preserve">IHPA uses feedback from the public consultation process </w:t>
      </w:r>
      <w:r w:rsidR="00617248">
        <w:t xml:space="preserve">to refine the classifications </w:t>
      </w:r>
      <w:r>
        <w:t xml:space="preserve">and, where necessary, seeks advice from the advisory groups before progressing the classifications through the endorsement committees and finally to the Pricing Authority for approval. </w:t>
      </w:r>
    </w:p>
    <w:p w14:paraId="381FB597" w14:textId="77777777" w:rsidR="00617248" w:rsidRDefault="00617248">
      <w:pPr>
        <w:rPr>
          <w:b/>
          <w:bCs/>
          <w:color w:val="004200" w:themeColor="accent1"/>
          <w:sz w:val="18"/>
          <w:szCs w:val="18"/>
        </w:rPr>
      </w:pPr>
      <w:r>
        <w:br w:type="page"/>
      </w:r>
    </w:p>
    <w:p w14:paraId="797CDA88" w14:textId="56A9D425" w:rsidR="00F624AE" w:rsidRDefault="00F624AE" w:rsidP="00BB3FA7">
      <w:pPr>
        <w:pStyle w:val="Caption"/>
        <w:ind w:left="0" w:firstLine="0"/>
      </w:pPr>
      <w:r>
        <w:lastRenderedPageBreak/>
        <w:t>Table 4</w:t>
      </w:r>
      <w:r>
        <w:rPr>
          <w:noProof/>
        </w:rPr>
        <w:t>.</w:t>
      </w:r>
      <w:r>
        <w:t xml:space="preserve"> </w:t>
      </w:r>
      <w:r w:rsidR="00617248">
        <w:t>Consultation and endorsement committees</w:t>
      </w:r>
      <w:r>
        <w:t xml:space="preserve"> involved in the </w:t>
      </w:r>
      <w:r w:rsidR="00617248">
        <w:t>consultation stage</w:t>
      </w:r>
      <w:r>
        <w:t xml:space="preserve"> </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Pr>
      <w:tblGrid>
        <w:gridCol w:w="1895"/>
        <w:gridCol w:w="3685"/>
        <w:gridCol w:w="3770"/>
      </w:tblGrid>
      <w:tr w:rsidR="00F624AE" w:rsidRPr="00534DAC" w14:paraId="0B5DB3AC" w14:textId="77777777" w:rsidTr="00F62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008542" w:themeFill="accent2"/>
          </w:tcPr>
          <w:p w14:paraId="45D88C44" w14:textId="77777777" w:rsidR="00F624AE" w:rsidRPr="00240496" w:rsidRDefault="00F624AE" w:rsidP="00F624AE">
            <w:pPr>
              <w:ind w:left="0" w:firstLine="0"/>
              <w:rPr>
                <w:rFonts w:ascii="Arial Bold" w:hAnsi="Arial Bold"/>
                <w:color w:val="FFFFFF" w:themeColor="background1"/>
                <w:szCs w:val="22"/>
              </w:rPr>
            </w:pPr>
            <w:r w:rsidRPr="00240496">
              <w:rPr>
                <w:rFonts w:ascii="Arial Bold" w:hAnsi="Arial Bold"/>
                <w:color w:val="FFFFFF" w:themeColor="background1"/>
                <w:szCs w:val="22"/>
              </w:rPr>
              <w:t>Group</w:t>
            </w:r>
          </w:p>
        </w:tc>
        <w:tc>
          <w:tcPr>
            <w:tcW w:w="3685" w:type="dxa"/>
            <w:tcBorders>
              <w:bottom w:val="single" w:sz="4" w:space="0" w:color="auto"/>
            </w:tcBorders>
            <w:shd w:val="clear" w:color="auto" w:fill="008542" w:themeFill="accent2"/>
          </w:tcPr>
          <w:p w14:paraId="1F89E618" w14:textId="77777777" w:rsidR="00F624AE" w:rsidRPr="00240496" w:rsidRDefault="00F624AE" w:rsidP="00F624AE">
            <w:pPr>
              <w:ind w:left="59" w:firstLine="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Cs w:val="22"/>
              </w:rPr>
            </w:pPr>
            <w:r w:rsidRPr="00240496">
              <w:rPr>
                <w:rFonts w:ascii="Arial Bold" w:hAnsi="Arial Bold"/>
                <w:color w:val="FFFFFF" w:themeColor="background1"/>
                <w:szCs w:val="22"/>
              </w:rPr>
              <w:t>Description</w:t>
            </w:r>
          </w:p>
        </w:tc>
        <w:tc>
          <w:tcPr>
            <w:tcW w:w="3770" w:type="dxa"/>
            <w:tcBorders>
              <w:bottom w:val="single" w:sz="4" w:space="0" w:color="auto"/>
            </w:tcBorders>
            <w:shd w:val="clear" w:color="auto" w:fill="008542" w:themeFill="accent2"/>
          </w:tcPr>
          <w:p w14:paraId="084CF4F3" w14:textId="77777777" w:rsidR="00F624AE" w:rsidRPr="00240496" w:rsidRDefault="00F624AE" w:rsidP="00F624AE">
            <w:pPr>
              <w:ind w:left="64" w:firstLine="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Cs w:val="22"/>
              </w:rPr>
            </w:pPr>
            <w:r w:rsidRPr="00240496">
              <w:rPr>
                <w:rFonts w:ascii="Arial Bold" w:hAnsi="Arial Bold"/>
                <w:color w:val="FFFFFF" w:themeColor="background1"/>
                <w:szCs w:val="22"/>
              </w:rPr>
              <w:t>Role in development cycle</w:t>
            </w:r>
          </w:p>
        </w:tc>
      </w:tr>
      <w:tr w:rsidR="00F624AE" w14:paraId="29699F42" w14:textId="77777777" w:rsidTr="00F624AE">
        <w:tblPrEx>
          <w:tblBorders>
            <w:top w:val="none" w:sz="0" w:space="0" w:color="auto"/>
            <w:left w:val="none" w:sz="0" w:space="0" w:color="auto"/>
            <w:right w:val="none" w:sz="0" w:space="0" w:color="auto"/>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auto"/>
          </w:tcPr>
          <w:p w14:paraId="164E4F2A" w14:textId="77777777" w:rsidR="00F624AE" w:rsidRPr="00D557FE" w:rsidRDefault="00F624AE" w:rsidP="00F62BB2">
            <w:pPr>
              <w:spacing w:before="120"/>
              <w:ind w:left="0" w:firstLine="0"/>
              <w:rPr>
                <w:sz w:val="20"/>
                <w:szCs w:val="20"/>
              </w:rPr>
            </w:pPr>
            <w:r w:rsidRPr="00D557FE">
              <w:rPr>
                <w:sz w:val="20"/>
                <w:szCs w:val="20"/>
              </w:rPr>
              <w:t>Technical Advisory Committee (TAC)</w:t>
            </w:r>
          </w:p>
        </w:tc>
        <w:tc>
          <w:tcPr>
            <w:tcW w:w="3685" w:type="dxa"/>
            <w:tcBorders>
              <w:top w:val="single" w:sz="4" w:space="0" w:color="auto"/>
              <w:bottom w:val="single" w:sz="4" w:space="0" w:color="auto"/>
            </w:tcBorders>
            <w:shd w:val="clear" w:color="auto" w:fill="auto"/>
          </w:tcPr>
          <w:p w14:paraId="553FADB0" w14:textId="015F6A4B" w:rsidR="00F624AE" w:rsidRDefault="00E14E81"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Endorsement committee</w:t>
            </w:r>
            <w:r w:rsidR="00F624AE">
              <w:rPr>
                <w:sz w:val="20"/>
                <w:szCs w:val="20"/>
              </w:rPr>
              <w:t xml:space="preserve">. </w:t>
            </w:r>
          </w:p>
          <w:p w14:paraId="06F711F5" w14:textId="77777777" w:rsidR="00F624AE" w:rsidRPr="00000B90" w:rsidRDefault="00F624AE"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sidRPr="00000B90">
              <w:rPr>
                <w:sz w:val="20"/>
                <w:szCs w:val="20"/>
              </w:rPr>
              <w:t>Membership includes representatives from all jurisdictions</w:t>
            </w:r>
            <w:r>
              <w:rPr>
                <w:sz w:val="20"/>
                <w:szCs w:val="20"/>
              </w:rPr>
              <w:t xml:space="preserve"> with expertise in </w:t>
            </w:r>
            <w:r w:rsidRPr="00D550D4">
              <w:rPr>
                <w:sz w:val="20"/>
                <w:szCs w:val="20"/>
              </w:rPr>
              <w:t>clinical costing, classification, data processing and modelling that underpins the development of ABF</w:t>
            </w:r>
            <w:r>
              <w:rPr>
                <w:sz w:val="20"/>
                <w:szCs w:val="20"/>
              </w:rPr>
              <w:t>.</w:t>
            </w:r>
          </w:p>
        </w:tc>
        <w:tc>
          <w:tcPr>
            <w:tcW w:w="3770" w:type="dxa"/>
            <w:tcBorders>
              <w:top w:val="single" w:sz="4" w:space="0" w:color="auto"/>
              <w:bottom w:val="single" w:sz="4" w:space="0" w:color="auto"/>
              <w:right w:val="single" w:sz="4" w:space="0" w:color="auto"/>
            </w:tcBorders>
            <w:shd w:val="clear" w:color="auto" w:fill="auto"/>
          </w:tcPr>
          <w:p w14:paraId="4F788F63" w14:textId="44F03D35" w:rsidR="00F624AE" w:rsidRDefault="00F624AE"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Provides</w:t>
            </w:r>
            <w:r w:rsidRPr="00D550D4">
              <w:rPr>
                <w:sz w:val="20"/>
                <w:szCs w:val="20"/>
              </w:rPr>
              <w:t xml:space="preserve"> technical </w:t>
            </w:r>
            <w:r>
              <w:rPr>
                <w:sz w:val="20"/>
                <w:szCs w:val="20"/>
              </w:rPr>
              <w:t xml:space="preserve">input on </w:t>
            </w:r>
            <w:r w:rsidRPr="00D550D4">
              <w:rPr>
                <w:sz w:val="20"/>
                <w:szCs w:val="20"/>
              </w:rPr>
              <w:t>classification</w:t>
            </w:r>
            <w:r>
              <w:rPr>
                <w:sz w:val="20"/>
                <w:szCs w:val="20"/>
              </w:rPr>
              <w:t xml:space="preserve"> and</w:t>
            </w:r>
            <w:r w:rsidRPr="00D550D4">
              <w:rPr>
                <w:sz w:val="20"/>
                <w:szCs w:val="20"/>
              </w:rPr>
              <w:t xml:space="preserve"> data </w:t>
            </w:r>
            <w:r>
              <w:rPr>
                <w:sz w:val="20"/>
                <w:szCs w:val="20"/>
              </w:rPr>
              <w:t>standards that underpin</w:t>
            </w:r>
            <w:r w:rsidRPr="00D550D4">
              <w:rPr>
                <w:sz w:val="20"/>
                <w:szCs w:val="20"/>
              </w:rPr>
              <w:t xml:space="preserve"> </w:t>
            </w:r>
            <w:r>
              <w:rPr>
                <w:sz w:val="20"/>
                <w:szCs w:val="20"/>
              </w:rPr>
              <w:t xml:space="preserve">classification </w:t>
            </w:r>
            <w:r w:rsidRPr="00D550D4">
              <w:rPr>
                <w:sz w:val="20"/>
                <w:szCs w:val="20"/>
              </w:rPr>
              <w:t>development.</w:t>
            </w:r>
          </w:p>
          <w:p w14:paraId="5F21A952" w14:textId="77777777" w:rsidR="00F624AE" w:rsidRPr="00000B90" w:rsidRDefault="00F624AE"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F624AE" w14:paraId="5B7C5B8A" w14:textId="77777777" w:rsidTr="00F624AE">
        <w:tblPrEx>
          <w:tblBorders>
            <w:top w:val="none" w:sz="0" w:space="0" w:color="auto"/>
            <w:left w:val="none" w:sz="0" w:space="0" w:color="auto"/>
            <w:right w:val="none" w:sz="0" w:space="0" w:color="auto"/>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bottom w:val="single" w:sz="4" w:space="0" w:color="auto"/>
            </w:tcBorders>
            <w:shd w:val="clear" w:color="auto" w:fill="auto"/>
          </w:tcPr>
          <w:p w14:paraId="540F731A" w14:textId="77777777" w:rsidR="00F624AE" w:rsidRPr="00D557FE" w:rsidRDefault="00F624AE" w:rsidP="00F62BB2">
            <w:pPr>
              <w:spacing w:before="120"/>
              <w:ind w:left="0" w:firstLine="0"/>
              <w:rPr>
                <w:sz w:val="20"/>
                <w:szCs w:val="20"/>
              </w:rPr>
            </w:pPr>
            <w:r w:rsidRPr="00D557FE">
              <w:rPr>
                <w:sz w:val="20"/>
                <w:szCs w:val="20"/>
              </w:rPr>
              <w:t>Jurisdictional  Advisory Committee (</w:t>
            </w:r>
            <w:r>
              <w:rPr>
                <w:sz w:val="20"/>
                <w:szCs w:val="20"/>
              </w:rPr>
              <w:t>J</w:t>
            </w:r>
            <w:r w:rsidRPr="00D557FE">
              <w:rPr>
                <w:sz w:val="20"/>
                <w:szCs w:val="20"/>
              </w:rPr>
              <w:t>AC)</w:t>
            </w:r>
          </w:p>
        </w:tc>
        <w:tc>
          <w:tcPr>
            <w:tcW w:w="3685" w:type="dxa"/>
            <w:tcBorders>
              <w:top w:val="single" w:sz="4" w:space="0" w:color="auto"/>
              <w:bottom w:val="single" w:sz="4" w:space="0" w:color="auto"/>
            </w:tcBorders>
            <w:shd w:val="clear" w:color="auto" w:fill="auto"/>
          </w:tcPr>
          <w:p w14:paraId="6FBF9B43" w14:textId="77777777" w:rsidR="00F624AE" w:rsidRDefault="00F624AE" w:rsidP="00F62BB2">
            <w:pPr>
              <w:spacing w:before="120"/>
              <w:ind w:left="59"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Endorsement committee. </w:t>
            </w:r>
          </w:p>
          <w:p w14:paraId="24B44BFB" w14:textId="77777777" w:rsidR="00F624AE" w:rsidRDefault="00F624AE" w:rsidP="00F62BB2">
            <w:pPr>
              <w:spacing w:before="120"/>
              <w:ind w:left="59"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Membership </w:t>
            </w:r>
            <w:r w:rsidRPr="00000B90">
              <w:rPr>
                <w:sz w:val="20"/>
                <w:szCs w:val="20"/>
              </w:rPr>
              <w:t>includes representatives from all jurisdictions</w:t>
            </w:r>
          </w:p>
        </w:tc>
        <w:tc>
          <w:tcPr>
            <w:tcW w:w="3770" w:type="dxa"/>
            <w:tcBorders>
              <w:top w:val="single" w:sz="4" w:space="0" w:color="auto"/>
              <w:bottom w:val="single" w:sz="4" w:space="0" w:color="auto"/>
              <w:right w:val="single" w:sz="4" w:space="0" w:color="auto"/>
            </w:tcBorders>
            <w:shd w:val="clear" w:color="auto" w:fill="auto"/>
          </w:tcPr>
          <w:p w14:paraId="33D3B2BA" w14:textId="77777777" w:rsidR="00F624AE" w:rsidRDefault="00F624AE" w:rsidP="00F62BB2">
            <w:pPr>
              <w:spacing w:before="120"/>
              <w:ind w:left="64"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Reviews and endorses the classifications.</w:t>
            </w:r>
          </w:p>
        </w:tc>
      </w:tr>
      <w:tr w:rsidR="00F624AE" w14:paraId="700EA72B" w14:textId="77777777" w:rsidTr="00F624AE">
        <w:tblPrEx>
          <w:tblBorders>
            <w:top w:val="none" w:sz="0" w:space="0" w:color="auto"/>
            <w:left w:val="none" w:sz="0" w:space="0" w:color="auto"/>
            <w:right w:val="none" w:sz="0" w:space="0" w:color="auto"/>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left w:val="single" w:sz="4" w:space="0" w:color="auto"/>
            </w:tcBorders>
            <w:shd w:val="clear" w:color="auto" w:fill="auto"/>
          </w:tcPr>
          <w:p w14:paraId="4CD0B265" w14:textId="77777777" w:rsidR="00F624AE" w:rsidRPr="00D557FE" w:rsidRDefault="00F624AE" w:rsidP="00F62BB2">
            <w:pPr>
              <w:spacing w:before="120"/>
              <w:ind w:left="0" w:firstLine="0"/>
              <w:rPr>
                <w:sz w:val="20"/>
                <w:szCs w:val="20"/>
              </w:rPr>
            </w:pPr>
            <w:r w:rsidRPr="00D557FE">
              <w:rPr>
                <w:sz w:val="20"/>
                <w:szCs w:val="20"/>
              </w:rPr>
              <w:t>Clinical Advisory Committee (CAC)</w:t>
            </w:r>
          </w:p>
        </w:tc>
        <w:tc>
          <w:tcPr>
            <w:tcW w:w="3685" w:type="dxa"/>
            <w:tcBorders>
              <w:top w:val="single" w:sz="4" w:space="0" w:color="auto"/>
              <w:bottom w:val="single" w:sz="4" w:space="0" w:color="auto"/>
            </w:tcBorders>
            <w:shd w:val="clear" w:color="auto" w:fill="auto"/>
          </w:tcPr>
          <w:p w14:paraId="7D58B0CB" w14:textId="77777777" w:rsidR="00F624AE" w:rsidRDefault="00F624AE"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Endorsement committee. </w:t>
            </w:r>
          </w:p>
          <w:p w14:paraId="4E834F5C" w14:textId="77777777" w:rsidR="00F624AE" w:rsidRDefault="00F624AE" w:rsidP="00F62BB2">
            <w:pPr>
              <w:spacing w:before="120"/>
              <w:ind w:left="59"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Membership consists of specialists that </w:t>
            </w:r>
            <w:r w:rsidRPr="00951887">
              <w:rPr>
                <w:sz w:val="20"/>
                <w:szCs w:val="20"/>
              </w:rPr>
              <w:t>are appointed</w:t>
            </w:r>
            <w:r>
              <w:rPr>
                <w:sz w:val="20"/>
                <w:szCs w:val="20"/>
              </w:rPr>
              <w:t xml:space="preserve"> </w:t>
            </w:r>
            <w:r w:rsidRPr="00951887">
              <w:rPr>
                <w:sz w:val="20"/>
                <w:szCs w:val="20"/>
              </w:rPr>
              <w:t>by the Australian Government Minister</w:t>
            </w:r>
            <w:r>
              <w:rPr>
                <w:sz w:val="20"/>
                <w:szCs w:val="20"/>
              </w:rPr>
              <w:t xml:space="preserve"> </w:t>
            </w:r>
            <w:r w:rsidRPr="00951887">
              <w:rPr>
                <w:sz w:val="20"/>
                <w:szCs w:val="20"/>
              </w:rPr>
              <w:t>for Health, and are drawn from a range of</w:t>
            </w:r>
            <w:r>
              <w:rPr>
                <w:sz w:val="20"/>
                <w:szCs w:val="20"/>
              </w:rPr>
              <w:t xml:space="preserve"> </w:t>
            </w:r>
            <w:r w:rsidRPr="00951887">
              <w:rPr>
                <w:sz w:val="20"/>
                <w:szCs w:val="20"/>
              </w:rPr>
              <w:t>clinical specialties and backgrounds to ensure</w:t>
            </w:r>
            <w:r>
              <w:rPr>
                <w:sz w:val="20"/>
                <w:szCs w:val="20"/>
              </w:rPr>
              <w:t xml:space="preserve"> </w:t>
            </w:r>
            <w:r w:rsidRPr="00951887">
              <w:rPr>
                <w:sz w:val="20"/>
                <w:szCs w:val="20"/>
              </w:rPr>
              <w:t>a wide range of</w:t>
            </w:r>
            <w:r>
              <w:rPr>
                <w:sz w:val="20"/>
                <w:szCs w:val="20"/>
              </w:rPr>
              <w:t xml:space="preserve"> </w:t>
            </w:r>
            <w:r w:rsidRPr="00951887">
              <w:rPr>
                <w:sz w:val="20"/>
                <w:szCs w:val="20"/>
              </w:rPr>
              <w:t>clinical expertise</w:t>
            </w:r>
          </w:p>
        </w:tc>
        <w:tc>
          <w:tcPr>
            <w:tcW w:w="3770" w:type="dxa"/>
            <w:tcBorders>
              <w:top w:val="single" w:sz="4" w:space="0" w:color="auto"/>
              <w:bottom w:val="single" w:sz="4" w:space="0" w:color="auto"/>
              <w:right w:val="single" w:sz="4" w:space="0" w:color="auto"/>
            </w:tcBorders>
            <w:shd w:val="clear" w:color="auto" w:fill="auto"/>
          </w:tcPr>
          <w:p w14:paraId="1E8860C1" w14:textId="77777777" w:rsidR="00F624AE" w:rsidRDefault="00F624AE"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Provides clinical input on classification and data standards that underpin the classifications development.</w:t>
            </w:r>
          </w:p>
          <w:p w14:paraId="70F487E7" w14:textId="77777777" w:rsidR="00F624AE" w:rsidRDefault="00F624AE" w:rsidP="00F62BB2">
            <w:pPr>
              <w:spacing w:before="120"/>
              <w:ind w:left="64"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Reviews and endorses the classifications.</w:t>
            </w:r>
          </w:p>
        </w:tc>
      </w:tr>
    </w:tbl>
    <w:p w14:paraId="4379894E" w14:textId="05A5DAC2" w:rsidR="00E14E81" w:rsidRDefault="00E14E81" w:rsidP="00E14E81">
      <w:pPr>
        <w:spacing w:before="240"/>
        <w:ind w:left="0" w:firstLine="0"/>
      </w:pPr>
      <w:r>
        <w:t>The National Health Data and Information Standards Committee (NHDISC) is a national committee run by the Australian Institute of Health and Welfare with technical and working knowledge of health classification and data standards. They are an endorsement committee for the metadata and data standards that relate to data coded using ICD-10-AM/ACHI/ACS in the various health data collections, including the Admitted Patient Care NMDS (APC NMDS).</w:t>
      </w:r>
    </w:p>
    <w:p w14:paraId="6C44ADCA" w14:textId="2A4E1C2B" w:rsidR="00AB2629" w:rsidRDefault="00CE754E" w:rsidP="00FF0171">
      <w:pPr>
        <w:pStyle w:val="Heading2"/>
        <w:spacing w:before="120"/>
        <w:ind w:left="0" w:firstLine="0"/>
      </w:pPr>
      <w:bookmarkStart w:id="45" w:name="_Toc57217930"/>
      <w:r>
        <w:t>4.5</w:t>
      </w:r>
      <w:r>
        <w:tab/>
      </w:r>
      <w:r w:rsidR="00AA3EB7">
        <w:t xml:space="preserve">Classification approval by the </w:t>
      </w:r>
      <w:r w:rsidR="00AB2629" w:rsidRPr="00CE754E">
        <w:t>Pricing Authority</w:t>
      </w:r>
      <w:bookmarkEnd w:id="45"/>
    </w:p>
    <w:p w14:paraId="66486A45" w14:textId="5ECEF0CC" w:rsidR="00CE754E" w:rsidRPr="00AA3EB7" w:rsidRDefault="00AA3EB7" w:rsidP="007C2F8A">
      <w:pPr>
        <w:ind w:left="0" w:firstLine="0"/>
        <w:rPr>
          <w:szCs w:val="22"/>
        </w:rPr>
      </w:pPr>
      <w:r>
        <w:rPr>
          <w:szCs w:val="22"/>
        </w:rPr>
        <w:t xml:space="preserve">Following the public consultation on major classification changes, IHPA seeks endorsement of the finalised classifications from its technical and advisory groups. The final step is to seek approval from the Pricing Authority. </w:t>
      </w:r>
      <w:r w:rsidRPr="00CE754E">
        <w:rPr>
          <w:szCs w:val="22"/>
        </w:rPr>
        <w:t xml:space="preserve">The Pricing Authority (IHPA’s Board) </w:t>
      </w:r>
      <w:r w:rsidRPr="000B4F71">
        <w:rPr>
          <w:szCs w:val="22"/>
        </w:rPr>
        <w:t>oversees IHPA’s function and work</w:t>
      </w:r>
      <w:r>
        <w:rPr>
          <w:szCs w:val="22"/>
        </w:rPr>
        <w:t xml:space="preserve"> and has</w:t>
      </w:r>
      <w:r w:rsidRPr="000B4F71">
        <w:rPr>
          <w:szCs w:val="22"/>
        </w:rPr>
        <w:t xml:space="preserve"> ultimate responsibility to finalise and implement classifications under the </w:t>
      </w:r>
      <w:r w:rsidRPr="000B4F71">
        <w:rPr>
          <w:i/>
          <w:szCs w:val="22"/>
        </w:rPr>
        <w:t>National Health Reform Agreement</w:t>
      </w:r>
      <w:r w:rsidRPr="000B4F71">
        <w:rPr>
          <w:szCs w:val="22"/>
        </w:rPr>
        <w:t>.</w:t>
      </w:r>
    </w:p>
    <w:p w14:paraId="5F30F67E" w14:textId="46DA634C" w:rsidR="00F671FA" w:rsidRDefault="00F671FA" w:rsidP="007C2F8A">
      <w:pPr>
        <w:ind w:left="0" w:firstLine="0"/>
      </w:pPr>
      <w:r w:rsidRPr="00747974">
        <w:rPr>
          <w:b/>
        </w:rPr>
        <w:t xml:space="preserve">Figure </w:t>
      </w:r>
      <w:r>
        <w:rPr>
          <w:b/>
        </w:rPr>
        <w:t>4</w:t>
      </w:r>
      <w:r>
        <w:t xml:space="preserve"> illustrates the stages in the classification development </w:t>
      </w:r>
      <w:r w:rsidR="00BB3FA7">
        <w:t xml:space="preserve">cycle </w:t>
      </w:r>
      <w:r>
        <w:t>with key governance groups identified and the role of the Pricing Authority</w:t>
      </w:r>
      <w:r w:rsidR="00F624AE">
        <w:t xml:space="preserve"> in the finalisation stage</w:t>
      </w:r>
      <w:r>
        <w:t>.</w:t>
      </w:r>
    </w:p>
    <w:p w14:paraId="746D3449" w14:textId="3B0D934A" w:rsidR="00F671FA" w:rsidRDefault="00F671FA" w:rsidP="00F671FA">
      <w:pPr>
        <w:pStyle w:val="FigureHeading"/>
      </w:pPr>
      <w:r>
        <w:lastRenderedPageBreak/>
        <w:t>Figure 4. Overview of the</w:t>
      </w:r>
      <w:r w:rsidR="0080132A">
        <w:t xml:space="preserve"> stages in the</w:t>
      </w:r>
      <w:r>
        <w:t xml:space="preserve"> classification development process</w:t>
      </w:r>
      <w:r w:rsidRPr="00747974">
        <w:t>.</w:t>
      </w:r>
      <w:r w:rsidRPr="00680761">
        <w:t xml:space="preserve"> </w:t>
      </w:r>
    </w:p>
    <w:p w14:paraId="1C7BBFAB" w14:textId="63A2B905" w:rsidR="00F671FA" w:rsidRDefault="00E14E81" w:rsidP="00F671FA">
      <w:pPr>
        <w:jc w:val="center"/>
      </w:pPr>
      <w:r>
        <w:rPr>
          <w:noProof/>
        </w:rPr>
        <w:drawing>
          <wp:inline distT="0" distB="0" distL="0" distR="0" wp14:anchorId="74A0D133" wp14:editId="551F3866">
            <wp:extent cx="5997575" cy="39128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97575" cy="3912870"/>
                    </a:xfrm>
                    <a:prstGeom prst="rect">
                      <a:avLst/>
                    </a:prstGeom>
                  </pic:spPr>
                </pic:pic>
              </a:graphicData>
            </a:graphic>
          </wp:inline>
        </w:drawing>
      </w:r>
    </w:p>
    <w:p w14:paraId="03AD4BCD" w14:textId="6FFFEF36" w:rsidR="0012687B" w:rsidRPr="0039630C" w:rsidRDefault="0012687B" w:rsidP="00C444C2"/>
    <w:p w14:paraId="47439FA3" w14:textId="1EE4DDCD" w:rsidR="00F20479" w:rsidRDefault="00B608AF" w:rsidP="009578A4">
      <w:pPr>
        <w:pStyle w:val="Heading1"/>
        <w:rPr>
          <w:lang w:eastAsia="en-US"/>
        </w:rPr>
      </w:pPr>
      <w:bookmarkStart w:id="46" w:name="_Toc57217931"/>
      <w:r>
        <w:rPr>
          <w:lang w:eastAsia="en-US"/>
        </w:rPr>
        <w:lastRenderedPageBreak/>
        <w:t>Development cycle outputs</w:t>
      </w:r>
      <w:bookmarkEnd w:id="46"/>
    </w:p>
    <w:p w14:paraId="6B279E3E" w14:textId="2D60AF74" w:rsidR="00B608AF" w:rsidRDefault="00B608AF" w:rsidP="00FF0171">
      <w:pPr>
        <w:pStyle w:val="Heading2"/>
        <w:ind w:left="0" w:firstLine="0"/>
      </w:pPr>
      <w:bookmarkStart w:id="47" w:name="_Toc57217932"/>
      <w:bookmarkStart w:id="48" w:name="_Toc53098186"/>
      <w:r>
        <w:t>5.1</w:t>
      </w:r>
      <w:r>
        <w:tab/>
        <w:t>New edition education</w:t>
      </w:r>
      <w:bookmarkEnd w:id="47"/>
    </w:p>
    <w:p w14:paraId="6EDF0ED1" w14:textId="5A3624A9" w:rsidR="00B608AF" w:rsidRDefault="00B608AF" w:rsidP="00395F33">
      <w:pPr>
        <w:pStyle w:val="Body"/>
        <w:spacing w:before="120" w:after="120" w:line="240" w:lineRule="auto"/>
        <w:ind w:left="0" w:firstLine="0"/>
      </w:pPr>
      <w:r>
        <w:t>Education is released with each new edition of ICD-10-AM/ACHI/ACS and AR-DRGs to familiarise users with the changes being implemented. The education is designed to highlight major changes in a comprehensive and accessible manner and may be provided in varying formats. Education is also supplemented by a number of accompanying documents that support implementation.</w:t>
      </w:r>
    </w:p>
    <w:p w14:paraId="17AE583A" w14:textId="47620C22" w:rsidR="00B608AF" w:rsidRDefault="00B608AF" w:rsidP="00FF0171">
      <w:pPr>
        <w:pStyle w:val="Heading2"/>
        <w:ind w:left="0" w:firstLine="0"/>
      </w:pPr>
      <w:bookmarkStart w:id="49" w:name="_Toc57217933"/>
      <w:r>
        <w:t>5.2</w:t>
      </w:r>
      <w:r>
        <w:tab/>
        <w:t>Classification products</w:t>
      </w:r>
      <w:bookmarkEnd w:id="49"/>
    </w:p>
    <w:p w14:paraId="22219A7F" w14:textId="7432AECC" w:rsidR="00407592" w:rsidRDefault="00407592" w:rsidP="007C2F8A">
      <w:pPr>
        <w:pStyle w:val="Body"/>
        <w:spacing w:before="120" w:after="120" w:line="240" w:lineRule="auto"/>
        <w:ind w:left="0" w:firstLine="0"/>
      </w:pPr>
      <w:r>
        <w:t xml:space="preserve">The ICD-10-AM/ACHI/ACS and AR-DRG classification systems are licenced products. </w:t>
      </w:r>
      <w:r w:rsidRPr="00407592">
        <w:t>There are no restrictions for purchasing the books if you are located within Australia</w:t>
      </w:r>
      <w:r>
        <w:t xml:space="preserve">, however </w:t>
      </w:r>
      <w:r w:rsidR="0015003E">
        <w:t>users from other countries require a licence agreement to purchase the relevant classification products</w:t>
      </w:r>
      <w:r w:rsidRPr="00407592">
        <w:t xml:space="preserve">. </w:t>
      </w:r>
      <w:r>
        <w:t xml:space="preserve"> </w:t>
      </w:r>
    </w:p>
    <w:p w14:paraId="109F9DCA" w14:textId="7F82CE2B" w:rsidR="0015003E" w:rsidRDefault="0015003E" w:rsidP="00F62BB2">
      <w:pPr>
        <w:pStyle w:val="Body"/>
        <w:spacing w:before="120" w:after="120" w:line="240" w:lineRule="auto"/>
        <w:ind w:left="0" w:right="-53" w:firstLine="0"/>
      </w:pPr>
      <w:r>
        <w:t xml:space="preserve">Further information can be found on IHPA’s website: </w:t>
      </w:r>
      <w:hyperlink r:id="rId22" w:history="1">
        <w:r>
          <w:rPr>
            <w:rStyle w:val="Hyperlink"/>
          </w:rPr>
          <w:t>www.ihpa.gov.au/what-we-do/products/admitted-acute-care-products-and-licences</w:t>
        </w:r>
      </w:hyperlink>
    </w:p>
    <w:p w14:paraId="0197D8A8" w14:textId="7F6A057B" w:rsidR="00623912" w:rsidRDefault="00026E99" w:rsidP="00B608AF">
      <w:pPr>
        <w:pStyle w:val="Heading3"/>
        <w:numPr>
          <w:ilvl w:val="0"/>
          <w:numId w:val="0"/>
        </w:numPr>
      </w:pPr>
      <w:bookmarkStart w:id="50" w:name="_Toc57217934"/>
      <w:r>
        <w:t>5.</w:t>
      </w:r>
      <w:r w:rsidR="00B608AF">
        <w:t>2.1</w:t>
      </w:r>
      <w:r>
        <w:tab/>
      </w:r>
      <w:r w:rsidR="00623912">
        <w:t>ICD-10-AM/ACHI/ACS products</w:t>
      </w:r>
      <w:bookmarkEnd w:id="48"/>
      <w:bookmarkEnd w:id="50"/>
      <w:r w:rsidR="0072118A">
        <w:t xml:space="preserve"> </w:t>
      </w:r>
    </w:p>
    <w:p w14:paraId="2E2E7E0F" w14:textId="7684AC9E" w:rsidR="00691992" w:rsidRPr="00691992" w:rsidRDefault="00691992" w:rsidP="007C2F8A">
      <w:pPr>
        <w:ind w:left="0" w:firstLine="0"/>
      </w:pPr>
      <w:r>
        <w:t>The following classification products were produced for ICD-10-AM/ACHI/ACS Eleventh Edition:</w:t>
      </w:r>
    </w:p>
    <w:p w14:paraId="1BB62F2D" w14:textId="07E7261E" w:rsidR="00623912" w:rsidRDefault="00623912" w:rsidP="00A840A5">
      <w:pPr>
        <w:pStyle w:val="ListParagraph"/>
      </w:pPr>
      <w:r w:rsidRPr="00632DD9">
        <w:rPr>
          <w:b/>
        </w:rPr>
        <w:t>ICD-10-AM Alphabetic Index</w:t>
      </w:r>
      <w:r>
        <w:t xml:space="preserve"> </w:t>
      </w:r>
      <w:r w:rsidRPr="00632DD9">
        <w:t>is used to locate diagnostic terms to be coded. The ICD</w:t>
      </w:r>
      <w:r w:rsidRPr="00632DD9">
        <w:rPr>
          <w:rFonts w:ascii="Cambria Math" w:hAnsi="Cambria Math" w:cs="Cambria Math"/>
        </w:rPr>
        <w:t>‑</w:t>
      </w:r>
      <w:r w:rsidRPr="00632DD9">
        <w:t>10-A</w:t>
      </w:r>
      <w:r>
        <w:t>M Alphabetic Index contains</w:t>
      </w:r>
      <w:r w:rsidRPr="00632DD9">
        <w:t xml:space="preserve"> diagnostic terms </w:t>
      </w:r>
      <w:r w:rsidR="006D0DE7">
        <w:t>that</w:t>
      </w:r>
      <w:r w:rsidR="006D0DE7" w:rsidRPr="00632DD9">
        <w:t xml:space="preserve"> </w:t>
      </w:r>
      <w:r w:rsidRPr="00632DD9">
        <w:t>do not appea</w:t>
      </w:r>
      <w:r>
        <w:t xml:space="preserve">r in the </w:t>
      </w:r>
      <w:r w:rsidR="00F62BB2">
        <w:br/>
      </w:r>
      <w:r>
        <w:t xml:space="preserve">ICD-10-AM Tabular List. </w:t>
      </w:r>
      <w:r w:rsidRPr="00B13963">
        <w:t>The ICD-10-AM Alphabetic Index contains three sections:</w:t>
      </w:r>
    </w:p>
    <w:p w14:paraId="373C8E0A" w14:textId="77777777" w:rsidR="00623912" w:rsidRDefault="00623912" w:rsidP="00A840A5">
      <w:pPr>
        <w:pStyle w:val="BodyText"/>
        <w:ind w:left="1440"/>
      </w:pPr>
      <w:r w:rsidRPr="00B13963">
        <w:t>Section I: Alphabetic index of diseases and nature of injury</w:t>
      </w:r>
    </w:p>
    <w:p w14:paraId="2921F46B" w14:textId="77777777" w:rsidR="00623912" w:rsidRDefault="00623912" w:rsidP="00A840A5">
      <w:pPr>
        <w:pStyle w:val="BodyText"/>
        <w:ind w:left="1440"/>
      </w:pPr>
      <w:r>
        <w:t xml:space="preserve">Section II: </w:t>
      </w:r>
      <w:r w:rsidRPr="00B13963">
        <w:t>External causes of injury</w:t>
      </w:r>
    </w:p>
    <w:p w14:paraId="16AA7E19" w14:textId="77777777" w:rsidR="00623912" w:rsidRDefault="00623912" w:rsidP="00A840A5">
      <w:pPr>
        <w:pStyle w:val="BodyText"/>
        <w:ind w:left="1440"/>
      </w:pPr>
      <w:r>
        <w:t xml:space="preserve">Section III: </w:t>
      </w:r>
      <w:r w:rsidRPr="00B13963">
        <w:t>Table of drugs and chemicals</w:t>
      </w:r>
    </w:p>
    <w:p w14:paraId="25B434AA" w14:textId="77777777" w:rsidR="00623912" w:rsidRDefault="00623912" w:rsidP="00A840A5">
      <w:pPr>
        <w:pStyle w:val="ListParagraph"/>
      </w:pPr>
      <w:r w:rsidRPr="00632DD9">
        <w:rPr>
          <w:b/>
        </w:rPr>
        <w:t>ICD-10-AM Tabular List</w:t>
      </w:r>
      <w:r>
        <w:t xml:space="preserve"> </w:t>
      </w:r>
      <w:r w:rsidRPr="00632DD9">
        <w:t>contains the disease classification itself at the three, four and five character levels. A listing of the three character ca</w:t>
      </w:r>
      <w:r>
        <w:t>tegories is included, as are four</w:t>
      </w:r>
      <w:r w:rsidRPr="00632DD9">
        <w:t xml:space="preserve"> appendices: </w:t>
      </w:r>
    </w:p>
    <w:p w14:paraId="0D551E59" w14:textId="77777777" w:rsidR="00623912" w:rsidRDefault="00623912" w:rsidP="00A840A5">
      <w:pPr>
        <w:pStyle w:val="BodyText"/>
        <w:ind w:left="1440"/>
      </w:pPr>
      <w:r w:rsidRPr="00632DD9">
        <w:t>Appendix A</w:t>
      </w:r>
      <w:r>
        <w:t xml:space="preserve">: Morphology of neoplasms </w:t>
      </w:r>
    </w:p>
    <w:p w14:paraId="157A05D7" w14:textId="77777777" w:rsidR="00623912" w:rsidRDefault="00623912" w:rsidP="00A840A5">
      <w:pPr>
        <w:pStyle w:val="BodyText"/>
        <w:ind w:left="1440"/>
      </w:pPr>
      <w:r>
        <w:t>Appendix B:</w:t>
      </w:r>
      <w:r w:rsidRPr="00632DD9">
        <w:t xml:space="preserve"> Special tabulation li</w:t>
      </w:r>
      <w:r>
        <w:t xml:space="preserve">sts for mortality and morbidity </w:t>
      </w:r>
    </w:p>
    <w:p w14:paraId="053EC3DA" w14:textId="77777777" w:rsidR="00623912" w:rsidRDefault="00623912" w:rsidP="00A840A5">
      <w:pPr>
        <w:pStyle w:val="BodyText"/>
        <w:ind w:left="1440"/>
      </w:pPr>
      <w:r>
        <w:t>Appendix C: Unacceptable principal diagnosis codes</w:t>
      </w:r>
    </w:p>
    <w:p w14:paraId="53EC4541" w14:textId="77777777" w:rsidR="00623912" w:rsidRDefault="00623912" w:rsidP="00A840A5">
      <w:pPr>
        <w:pStyle w:val="BodyText"/>
        <w:ind w:left="1440"/>
      </w:pPr>
      <w:r>
        <w:t>Appendix D: Classification of hospital acquired diagnoses.</w:t>
      </w:r>
    </w:p>
    <w:p w14:paraId="2A29BE42" w14:textId="29D6C862" w:rsidR="00623912" w:rsidRPr="00B13963" w:rsidRDefault="00623912" w:rsidP="007C2F8A">
      <w:pPr>
        <w:pStyle w:val="BodyText"/>
        <w:ind w:left="720" w:firstLine="0"/>
      </w:pPr>
      <w:r>
        <w:t xml:space="preserve">The </w:t>
      </w:r>
      <w:r w:rsidRPr="00B13963">
        <w:t>Alphabetic</w:t>
      </w:r>
      <w:r>
        <w:t xml:space="preserve"> Index and Tabular List</w:t>
      </w:r>
      <w:r w:rsidRPr="00167F85">
        <w:t xml:space="preserve"> are use</w:t>
      </w:r>
      <w:r>
        <w:t>d in conjunction with each other.</w:t>
      </w:r>
      <w:r w:rsidRPr="00167F85">
        <w:t xml:space="preserve"> After locati</w:t>
      </w:r>
      <w:r>
        <w:t xml:space="preserve">ng the appropriate code in the </w:t>
      </w:r>
      <w:r w:rsidRPr="00B13963">
        <w:t>Alphabetic</w:t>
      </w:r>
      <w:r>
        <w:t xml:space="preserve"> I</w:t>
      </w:r>
      <w:r w:rsidRPr="00167F85">
        <w:t xml:space="preserve">ndex, the corresponding </w:t>
      </w:r>
      <w:r>
        <w:t>code must be identified in the Tabular List. The Tabular L</w:t>
      </w:r>
      <w:r w:rsidRPr="00167F85">
        <w:t>ist provides further guidance on the use of additional codes, sequencing, inclusion and exclusion criteria.</w:t>
      </w:r>
    </w:p>
    <w:p w14:paraId="1E74B62E" w14:textId="084C4FB0" w:rsidR="00623912" w:rsidRDefault="00623912" w:rsidP="00A840A5">
      <w:pPr>
        <w:pStyle w:val="ListParagraph"/>
      </w:pPr>
      <w:r w:rsidRPr="00632DD9">
        <w:rPr>
          <w:b/>
        </w:rPr>
        <w:t>ACHI Alphabetic Index</w:t>
      </w:r>
      <w:r>
        <w:t xml:space="preserve"> </w:t>
      </w:r>
      <w:r w:rsidRPr="00632DD9">
        <w:t>is used to locate procedural terms to be coded. The ACHI Alphabetic Index contains procedural terms which do not appear in the ACHI Tabular List.</w:t>
      </w:r>
    </w:p>
    <w:p w14:paraId="075495C2" w14:textId="77777777" w:rsidR="00F62BB2" w:rsidRDefault="00F62BB2">
      <w:pPr>
        <w:rPr>
          <w:b/>
        </w:rPr>
      </w:pPr>
      <w:r>
        <w:rPr>
          <w:b/>
        </w:rPr>
        <w:br w:type="page"/>
      </w:r>
    </w:p>
    <w:p w14:paraId="7E7DD222" w14:textId="33455EDA" w:rsidR="00623912" w:rsidRDefault="00623912" w:rsidP="00A840A5">
      <w:pPr>
        <w:pStyle w:val="ListParagraph"/>
      </w:pPr>
      <w:r w:rsidRPr="00632DD9">
        <w:rPr>
          <w:b/>
        </w:rPr>
        <w:lastRenderedPageBreak/>
        <w:t>ACHI Tabular List</w:t>
      </w:r>
      <w:r>
        <w:t xml:space="preserve"> </w:t>
      </w:r>
      <w:r w:rsidRPr="00632DD9">
        <w:t xml:space="preserve">contains the procedure classification itself and includes the following appendices: </w:t>
      </w:r>
    </w:p>
    <w:p w14:paraId="3BF350DF" w14:textId="77777777" w:rsidR="00623912" w:rsidRDefault="00623912" w:rsidP="00A840A5">
      <w:pPr>
        <w:pStyle w:val="BodyText"/>
        <w:ind w:left="1440"/>
      </w:pPr>
      <w:r>
        <w:t>Appendix A: Mapping table</w:t>
      </w:r>
      <w:r w:rsidRPr="00632DD9">
        <w:t xml:space="preserve"> </w:t>
      </w:r>
      <w:r w:rsidRPr="00FF7F65">
        <w:t>for MBS items not included in ACHI</w:t>
      </w:r>
    </w:p>
    <w:p w14:paraId="007251DC" w14:textId="77777777" w:rsidR="00623912" w:rsidRDefault="00623912" w:rsidP="00A840A5">
      <w:pPr>
        <w:pStyle w:val="BodyText"/>
        <w:ind w:left="1440"/>
      </w:pPr>
      <w:r>
        <w:t>Appendix B:</w:t>
      </w:r>
      <w:r w:rsidRPr="00632DD9">
        <w:t xml:space="preserve"> ACHI code</w:t>
      </w:r>
      <w:r>
        <w:t>s listed in numerical order.</w:t>
      </w:r>
      <w:r w:rsidRPr="00632DD9">
        <w:t xml:space="preserve"> </w:t>
      </w:r>
    </w:p>
    <w:p w14:paraId="3CBB060A" w14:textId="2FD22168" w:rsidR="00623912" w:rsidRDefault="00623912" w:rsidP="00FF0171">
      <w:pPr>
        <w:pStyle w:val="BodyText"/>
        <w:ind w:left="720" w:firstLine="0"/>
      </w:pPr>
      <w:r>
        <w:t xml:space="preserve">Similar to ICD-10-AM, the </w:t>
      </w:r>
      <w:r w:rsidRPr="00B13963">
        <w:t>Alphabetic</w:t>
      </w:r>
      <w:r>
        <w:t xml:space="preserve"> Index and Tabular List are used together for accurate coding. </w:t>
      </w:r>
    </w:p>
    <w:p w14:paraId="6DE39269" w14:textId="33B3E123" w:rsidR="00623912" w:rsidRDefault="00623912" w:rsidP="00A840A5">
      <w:pPr>
        <w:pStyle w:val="ListParagraph"/>
      </w:pPr>
      <w:r w:rsidRPr="00632DD9">
        <w:rPr>
          <w:b/>
        </w:rPr>
        <w:t>ACS</w:t>
      </w:r>
      <w:r>
        <w:t xml:space="preserve"> </w:t>
      </w:r>
      <w:r w:rsidRPr="00632DD9">
        <w:t xml:space="preserve">contains the Australian standards </w:t>
      </w:r>
      <w:r w:rsidR="00574F8B">
        <w:t xml:space="preserve">that </w:t>
      </w:r>
      <w:r w:rsidRPr="00632DD9">
        <w:t>provide guidance in the application of the ICD-10-AM and the ACHI codes.</w:t>
      </w:r>
    </w:p>
    <w:p w14:paraId="4E74B736" w14:textId="727282BD" w:rsidR="00623912" w:rsidRDefault="00623912" w:rsidP="00A840A5">
      <w:pPr>
        <w:pStyle w:val="ListParagraph"/>
      </w:pPr>
      <w:r w:rsidRPr="00DA7E4E">
        <w:rPr>
          <w:b/>
        </w:rPr>
        <w:t>Mapping tables for ICD-10-AM and ACHI</w:t>
      </w:r>
      <w:r>
        <w:t xml:space="preserve"> </w:t>
      </w:r>
      <w:r w:rsidRPr="00DA7E4E">
        <w:t xml:space="preserve">demonstrate the relationship between the codes in two concurrent editions of the ICD-10-AM/ACHI. The mapping tables provide a means of interpreting data using codes from either of the two concurrent editions of the classification </w:t>
      </w:r>
      <w:r w:rsidR="00F702D0">
        <w:t>with</w:t>
      </w:r>
      <w:r w:rsidRPr="00DA7E4E">
        <w:t>:</w:t>
      </w:r>
    </w:p>
    <w:p w14:paraId="6EA57033" w14:textId="484DB659" w:rsidR="00623912" w:rsidRDefault="00623912" w:rsidP="007C2F8A">
      <w:pPr>
        <w:pStyle w:val="ListParagraph"/>
        <w:ind w:left="1134"/>
      </w:pPr>
      <w:r>
        <w:t>backward maps providing equivalent code</w:t>
      </w:r>
      <w:r w:rsidR="00F702D0">
        <w:t>s</w:t>
      </w:r>
      <w:r>
        <w:t xml:space="preserve"> for new codes in the newer edition</w:t>
      </w:r>
    </w:p>
    <w:p w14:paraId="5BCE4FB5" w14:textId="77777777" w:rsidR="00623912" w:rsidRDefault="00623912" w:rsidP="007C2F8A">
      <w:pPr>
        <w:pStyle w:val="ListParagraph"/>
        <w:ind w:left="1134"/>
      </w:pPr>
      <w:r>
        <w:t>forward maps providing equivalent codes for deleted codes in the newer edition.</w:t>
      </w:r>
    </w:p>
    <w:p w14:paraId="14D4C446" w14:textId="77777777" w:rsidR="00623912" w:rsidRDefault="00623912" w:rsidP="007C2F8A">
      <w:pPr>
        <w:ind w:left="720" w:firstLine="0"/>
      </w:pPr>
      <w:r w:rsidRPr="00632DD9">
        <w:t>Both of these types of maps provide an equivalent code that best matches the concept from a clinical perspective</w:t>
      </w:r>
      <w:r>
        <w:t xml:space="preserve"> in a tabulated form.</w:t>
      </w:r>
    </w:p>
    <w:p w14:paraId="417A6C06" w14:textId="77777777" w:rsidR="00623912" w:rsidRDefault="00623912" w:rsidP="00A840A5">
      <w:pPr>
        <w:pStyle w:val="ListParagraph"/>
      </w:pPr>
      <w:r w:rsidRPr="00632DD9">
        <w:rPr>
          <w:b/>
        </w:rPr>
        <w:t>Electronic code lists (ECLs) for ICD-10-AM and ACHI</w:t>
      </w:r>
      <w:r>
        <w:t xml:space="preserve"> </w:t>
      </w:r>
      <w:r w:rsidRPr="00632DD9">
        <w:t>are electronic files that are used in the development of software or are integrated into existing patient software using the ICD-10-AM and ACHI codes for private or commercial purposes.</w:t>
      </w:r>
    </w:p>
    <w:p w14:paraId="108EFDAC" w14:textId="30FF1A23" w:rsidR="00623912" w:rsidRDefault="00F702D0" w:rsidP="00A840A5">
      <w:pPr>
        <w:pStyle w:val="ListParagraph"/>
      </w:pPr>
      <w:r w:rsidRPr="002D0751">
        <w:t>The</w:t>
      </w:r>
      <w:r>
        <w:rPr>
          <w:b/>
        </w:rPr>
        <w:t xml:space="preserve"> </w:t>
      </w:r>
      <w:r w:rsidR="00623912" w:rsidRPr="00892E81">
        <w:rPr>
          <w:b/>
        </w:rPr>
        <w:t>Chronicle</w:t>
      </w:r>
      <w:r w:rsidR="00623912">
        <w:t xml:space="preserve"> is a reference tool to document changes between editions of </w:t>
      </w:r>
      <w:r>
        <w:br/>
      </w:r>
      <w:r w:rsidR="00623912">
        <w:t>ICD-10-AM/ACHI/ACS and aims to improve the understanding about changes made to the ICD-10-AM/ACHI/ACS, and reasons for changes. The chronicle is updated with each edition of ICD-10-AM/ACHI/ACS</w:t>
      </w:r>
      <w:r>
        <w:t>.</w:t>
      </w:r>
      <w:r w:rsidR="00623912">
        <w:t xml:space="preserve"> </w:t>
      </w:r>
    </w:p>
    <w:p w14:paraId="58A65AA4" w14:textId="3638B740" w:rsidR="00623912" w:rsidRDefault="00026E99" w:rsidP="00B608AF">
      <w:pPr>
        <w:pStyle w:val="Heading3"/>
        <w:numPr>
          <w:ilvl w:val="0"/>
          <w:numId w:val="0"/>
        </w:numPr>
      </w:pPr>
      <w:bookmarkStart w:id="51" w:name="_Toc53098187"/>
      <w:bookmarkStart w:id="52" w:name="_Toc57217935"/>
      <w:r>
        <w:t>5.2</w:t>
      </w:r>
      <w:r w:rsidR="00B608AF">
        <w:t>.2</w:t>
      </w:r>
      <w:r>
        <w:tab/>
      </w:r>
      <w:r w:rsidR="00623912">
        <w:t>AR-DRG products</w:t>
      </w:r>
      <w:bookmarkEnd w:id="51"/>
      <w:bookmarkEnd w:id="52"/>
    </w:p>
    <w:p w14:paraId="1ACC1400" w14:textId="09A61DCC" w:rsidR="00691992" w:rsidRPr="00691992" w:rsidRDefault="00691992" w:rsidP="00691992">
      <w:r>
        <w:t>The following classification products were produced for AR-DRG Version 10.0:</w:t>
      </w:r>
    </w:p>
    <w:p w14:paraId="1A89F429" w14:textId="41F1BF4B" w:rsidR="00623912" w:rsidRDefault="00623912" w:rsidP="00A75859">
      <w:pPr>
        <w:pStyle w:val="BodyText"/>
        <w:numPr>
          <w:ilvl w:val="0"/>
          <w:numId w:val="15"/>
        </w:numPr>
      </w:pPr>
      <w:r w:rsidRPr="00DA7E4E">
        <w:rPr>
          <w:b/>
        </w:rPr>
        <w:t>AR-DRG Definitions Manual</w:t>
      </w:r>
      <w:r>
        <w:t xml:space="preserve"> provide</w:t>
      </w:r>
      <w:r w:rsidR="00F702D0">
        <w:t>s</w:t>
      </w:r>
      <w:r>
        <w:t xml:space="preserve"> a high level understanding of DRG grouping logic and assist</w:t>
      </w:r>
      <w:r w:rsidR="003C233D">
        <w:t>s</w:t>
      </w:r>
      <w:r>
        <w:t xml:space="preserve"> with the identification of likely DRG assignments for individual episodes of care. The Definitions Manual </w:t>
      </w:r>
      <w:r w:rsidR="00F702D0">
        <w:t xml:space="preserve">comprise </w:t>
      </w:r>
      <w:r>
        <w:t>three volumes</w:t>
      </w:r>
      <w:r w:rsidR="00F702D0">
        <w:t xml:space="preserve">: </w:t>
      </w:r>
    </w:p>
    <w:p w14:paraId="396893E6" w14:textId="42D65D44" w:rsidR="00623912" w:rsidRDefault="00623912" w:rsidP="00A840A5">
      <w:pPr>
        <w:pStyle w:val="BodyText"/>
        <w:ind w:left="1440"/>
      </w:pPr>
      <w:r>
        <w:t>Volume One</w:t>
      </w:r>
      <w:r w:rsidRPr="00165AA4">
        <w:t>:</w:t>
      </w:r>
      <w:r>
        <w:t xml:space="preserve"> DRGs A13A–I180Z</w:t>
      </w:r>
    </w:p>
    <w:p w14:paraId="7BFEBD13" w14:textId="19D5E121" w:rsidR="00623912" w:rsidRDefault="00623912" w:rsidP="00A840A5">
      <w:pPr>
        <w:pStyle w:val="BodyText"/>
        <w:ind w:left="1440"/>
      </w:pPr>
      <w:r>
        <w:t>Volume Two: DRGs J01</w:t>
      </w:r>
      <w:r w:rsidR="00F62BB2">
        <w:t>A</w:t>
      </w:r>
      <w:r>
        <w:t>–Z66Z</w:t>
      </w:r>
    </w:p>
    <w:p w14:paraId="76A8743D" w14:textId="79401809" w:rsidR="00623912" w:rsidRDefault="00623912" w:rsidP="00A840A5">
      <w:pPr>
        <w:pStyle w:val="BodyText"/>
        <w:ind w:left="1440"/>
      </w:pPr>
      <w:r>
        <w:t xml:space="preserve">Volume Three: Appendices. </w:t>
      </w:r>
    </w:p>
    <w:p w14:paraId="37804F8E" w14:textId="79B4D363" w:rsidR="00623912" w:rsidRPr="00165AA4" w:rsidRDefault="00D81BBC" w:rsidP="007C2F8A">
      <w:pPr>
        <w:pStyle w:val="BodyText"/>
        <w:ind w:left="720" w:firstLine="0"/>
      </w:pPr>
      <w:r>
        <w:t xml:space="preserve">Appendices found in volume three are also provided in excel format. </w:t>
      </w:r>
      <w:r w:rsidR="00623912">
        <w:t xml:space="preserve">As there is no DCL information within the Definitions Manual, users are unable to identify the resulting DRG </w:t>
      </w:r>
      <w:r w:rsidR="00F702D0">
        <w:t xml:space="preserve">that </w:t>
      </w:r>
      <w:r w:rsidR="00623912">
        <w:t>requires Episode Clinical Complexity Score splits, therefore, it is not intended to serve as a substitute for the grouper</w:t>
      </w:r>
      <w:r w:rsidR="00623912" w:rsidRPr="00F16863">
        <w:t>.</w:t>
      </w:r>
    </w:p>
    <w:p w14:paraId="47C79C44" w14:textId="3D36E63F" w:rsidR="00623912" w:rsidRDefault="00623912" w:rsidP="00A840A5">
      <w:pPr>
        <w:pStyle w:val="ListParagraph"/>
      </w:pPr>
      <w:r w:rsidRPr="008E12C5">
        <w:rPr>
          <w:b/>
        </w:rPr>
        <w:t>Code descriptions</w:t>
      </w:r>
      <w:r>
        <w:t xml:space="preserve"> </w:t>
      </w:r>
      <w:r w:rsidRPr="008E12C5">
        <w:t xml:space="preserve">provide a full listing of long and short descriptions for </w:t>
      </w:r>
      <w:r>
        <w:t>MDC</w:t>
      </w:r>
      <w:r w:rsidR="00436C17">
        <w:t>s</w:t>
      </w:r>
      <w:r w:rsidRPr="008E12C5">
        <w:t xml:space="preserve">, </w:t>
      </w:r>
      <w:r>
        <w:t>ADRG</w:t>
      </w:r>
      <w:r w:rsidR="00436C17">
        <w:t>s</w:t>
      </w:r>
      <w:r w:rsidRPr="008E12C5">
        <w:t xml:space="preserve"> and </w:t>
      </w:r>
      <w:r>
        <w:t>DRG</w:t>
      </w:r>
      <w:r w:rsidR="00436C17">
        <w:t>s</w:t>
      </w:r>
      <w:r>
        <w:t xml:space="preserve"> and are displayed in an excel format.</w:t>
      </w:r>
    </w:p>
    <w:p w14:paraId="29A0E266" w14:textId="2AAE0B4E" w:rsidR="00A14A46" w:rsidRDefault="00A14A46" w:rsidP="00A840A5">
      <w:pPr>
        <w:pStyle w:val="ListParagraph"/>
      </w:pPr>
      <w:r>
        <w:rPr>
          <w:b/>
        </w:rPr>
        <w:t xml:space="preserve">Technical specifications </w:t>
      </w:r>
      <w:r w:rsidRPr="00A14A46">
        <w:t xml:space="preserve">for grouper software </w:t>
      </w:r>
      <w:r>
        <w:t>are</w:t>
      </w:r>
      <w:r w:rsidRPr="00A14A46">
        <w:t xml:space="preserve"> used </w:t>
      </w:r>
      <w:r>
        <w:t>to define the</w:t>
      </w:r>
      <w:r>
        <w:rPr>
          <w:b/>
        </w:rPr>
        <w:t xml:space="preserve"> </w:t>
      </w:r>
      <w:r>
        <w:t>electronic</w:t>
      </w:r>
      <w:r>
        <w:rPr>
          <w:b/>
        </w:rPr>
        <w:t xml:space="preserve"> </w:t>
      </w:r>
      <w:r w:rsidRPr="00715BA2">
        <w:t>group</w:t>
      </w:r>
      <w:r>
        <w:t>ing</w:t>
      </w:r>
      <w:r w:rsidRPr="00715BA2">
        <w:t xml:space="preserve"> </w:t>
      </w:r>
      <w:r>
        <w:t>of episodes of care</w:t>
      </w:r>
      <w:r w:rsidRPr="00715BA2">
        <w:t>, based on both clinical (</w:t>
      </w:r>
      <w:r>
        <w:t>underpinned by</w:t>
      </w:r>
      <w:r w:rsidRPr="00715BA2">
        <w:t xml:space="preserve"> ICD-10-AM</w:t>
      </w:r>
      <w:r>
        <w:t xml:space="preserve"> and ACHI) and demographic information for admitted episodes of care into</w:t>
      </w:r>
      <w:r w:rsidRPr="00715BA2">
        <w:t xml:space="preserve"> </w:t>
      </w:r>
      <w:r>
        <w:t>MDCs and DRGs</w:t>
      </w:r>
      <w:r w:rsidRPr="00715BA2">
        <w:t xml:space="preserve"> for </w:t>
      </w:r>
      <w:r>
        <w:t>c</w:t>
      </w:r>
      <w:r w:rsidRPr="00715BA2">
        <w:t>asemix purposes.</w:t>
      </w:r>
      <w:r>
        <w:t xml:space="preserve"> </w:t>
      </w:r>
    </w:p>
    <w:p w14:paraId="10B304EB" w14:textId="7589EDAD" w:rsidR="00F20479" w:rsidRDefault="00F20479" w:rsidP="00F20479"/>
    <w:p w14:paraId="4F1145ED" w14:textId="6418C642" w:rsidR="000D5D29" w:rsidRDefault="000D5D29" w:rsidP="00B608AF">
      <w:r>
        <w:br w:type="page"/>
      </w:r>
    </w:p>
    <w:p w14:paraId="64B46A84" w14:textId="77777777" w:rsidR="000D5D29" w:rsidRDefault="000D5D29" w:rsidP="000D5D29"/>
    <w:p w14:paraId="7867267D" w14:textId="2DDE0D5E" w:rsidR="000D5D29" w:rsidRDefault="000D5D29" w:rsidP="000D5D29">
      <w:r>
        <w:rPr>
          <w:noProof/>
        </w:rPr>
        <w:drawing>
          <wp:anchor distT="0" distB="0" distL="114300" distR="114300" simplePos="0" relativeHeight="251668480" behindDoc="1" locked="1" layoutInCell="0" allowOverlap="1" wp14:anchorId="283C6FC4" wp14:editId="05E6152F">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227C8646" w14:textId="77777777" w:rsidR="009A235B" w:rsidRPr="00E0760E" w:rsidRDefault="009A235B" w:rsidP="009A235B">
      <w:pPr>
        <w:tabs>
          <w:tab w:val="left" w:pos="6290"/>
        </w:tabs>
        <w:rPr>
          <w:rFonts w:cs="Arial"/>
          <w:szCs w:val="22"/>
        </w:rPr>
      </w:pPr>
    </w:p>
    <w:p w14:paraId="1E37EB45" w14:textId="77777777" w:rsidR="009A235B" w:rsidRPr="00D845FD" w:rsidRDefault="009A235B" w:rsidP="009A235B">
      <w:pPr>
        <w:rPr>
          <w:rFonts w:cs="Arial"/>
          <w:szCs w:val="22"/>
        </w:rPr>
      </w:pPr>
    </w:p>
    <w:p w14:paraId="6249869D" w14:textId="77777777" w:rsidR="009A235B" w:rsidRPr="000B780D" w:rsidRDefault="009A235B" w:rsidP="009A235B">
      <w:pPr>
        <w:rPr>
          <w:rFonts w:cs="Arial"/>
          <w:szCs w:val="22"/>
        </w:rPr>
      </w:pPr>
    </w:p>
    <w:p w14:paraId="39BE18FD" w14:textId="77777777" w:rsidR="009A235B" w:rsidRPr="000E4956" w:rsidRDefault="009A235B" w:rsidP="009A235B">
      <w:pPr>
        <w:rPr>
          <w:rFonts w:cs="Arial"/>
          <w:szCs w:val="22"/>
        </w:rPr>
      </w:pPr>
      <w:r>
        <w:rPr>
          <w:rFonts w:cs="Arial"/>
          <w:szCs w:val="22"/>
        </w:rPr>
        <w:t xml:space="preserve"> </w:t>
      </w:r>
    </w:p>
    <w:p w14:paraId="4CD18796" w14:textId="77777777" w:rsidR="009A235B" w:rsidRPr="000E4956" w:rsidRDefault="009A235B" w:rsidP="009A235B">
      <w:pPr>
        <w:rPr>
          <w:rFonts w:cs="Arial"/>
          <w:szCs w:val="22"/>
        </w:rPr>
      </w:pPr>
    </w:p>
    <w:p w14:paraId="1D4B71FE" w14:textId="77777777" w:rsidR="009A235B" w:rsidRPr="00FF121C" w:rsidRDefault="009A235B" w:rsidP="009A235B">
      <w:pPr>
        <w:rPr>
          <w:rFonts w:cs="Arial"/>
          <w:szCs w:val="22"/>
        </w:rPr>
      </w:pPr>
    </w:p>
    <w:p w14:paraId="7260D159" w14:textId="77777777" w:rsidR="009A235B" w:rsidRPr="005C2556" w:rsidRDefault="009A235B" w:rsidP="009A235B">
      <w:pPr>
        <w:rPr>
          <w:rFonts w:cs="Arial"/>
          <w:szCs w:val="22"/>
        </w:rPr>
      </w:pPr>
    </w:p>
    <w:p w14:paraId="074C2664" w14:textId="77777777" w:rsidR="009A235B" w:rsidRPr="001C4A5E" w:rsidRDefault="009A235B" w:rsidP="009A235B">
      <w:pPr>
        <w:rPr>
          <w:rFonts w:cs="Arial"/>
          <w:szCs w:val="22"/>
        </w:rPr>
      </w:pPr>
    </w:p>
    <w:p w14:paraId="0F6982E7" w14:textId="77777777" w:rsidR="009A235B" w:rsidRDefault="009A235B" w:rsidP="009A235B">
      <w:pPr>
        <w:rPr>
          <w:rFonts w:cs="Arial"/>
          <w:szCs w:val="22"/>
        </w:rPr>
      </w:pPr>
    </w:p>
    <w:p w14:paraId="5DCF90B6" w14:textId="77777777" w:rsidR="009A235B" w:rsidRPr="00EA203C" w:rsidRDefault="009A235B" w:rsidP="009A235B">
      <w:pPr>
        <w:rPr>
          <w:rFonts w:cs="Arial"/>
          <w:szCs w:val="22"/>
        </w:rPr>
      </w:pPr>
    </w:p>
    <w:p w14:paraId="7EEF8A2D" w14:textId="77777777" w:rsidR="009A235B" w:rsidRPr="005A5288" w:rsidRDefault="009A235B" w:rsidP="009A235B">
      <w:pPr>
        <w:rPr>
          <w:rFonts w:cs="Arial"/>
        </w:rPr>
      </w:pPr>
    </w:p>
    <w:p w14:paraId="4694EE69" w14:textId="77777777" w:rsidR="009A235B" w:rsidRPr="00C33EB6" w:rsidRDefault="009A235B" w:rsidP="009A235B">
      <w:pPr>
        <w:rPr>
          <w:rFonts w:cs="Arial"/>
        </w:rPr>
      </w:pPr>
    </w:p>
    <w:p w14:paraId="5A8B1AF8" w14:textId="77777777" w:rsidR="009A235B" w:rsidRDefault="009A235B" w:rsidP="009A235B">
      <w:pPr>
        <w:rPr>
          <w:rFonts w:cs="Arial"/>
        </w:rPr>
      </w:pPr>
    </w:p>
    <w:p w14:paraId="25967A5B" w14:textId="77777777" w:rsidR="009A235B" w:rsidRDefault="009A235B" w:rsidP="009A235B">
      <w:pPr>
        <w:rPr>
          <w:rFonts w:cs="Arial"/>
        </w:rPr>
      </w:pPr>
      <w:r>
        <w:rPr>
          <w:rFonts w:cs="Arial"/>
        </w:rPr>
        <w:t xml:space="preserve">  </w:t>
      </w:r>
    </w:p>
    <w:p w14:paraId="18E0BBDE" w14:textId="77777777" w:rsidR="009A235B" w:rsidRDefault="009A235B" w:rsidP="009A235B">
      <w:pPr>
        <w:rPr>
          <w:rFonts w:cs="Arial"/>
          <w:szCs w:val="22"/>
        </w:rPr>
      </w:pPr>
    </w:p>
    <w:p w14:paraId="00940014" w14:textId="77777777" w:rsidR="009A235B" w:rsidRDefault="009A235B" w:rsidP="009A235B">
      <w:pPr>
        <w:rPr>
          <w:rFonts w:cs="Arial"/>
          <w:szCs w:val="22"/>
        </w:rPr>
      </w:pPr>
    </w:p>
    <w:p w14:paraId="48D3BD3B" w14:textId="77777777" w:rsidR="009A235B" w:rsidRDefault="009A235B" w:rsidP="009A235B"/>
    <w:p w14:paraId="7E0F6296" w14:textId="77777777" w:rsidR="009A235B" w:rsidRPr="00511830" w:rsidRDefault="009A235B" w:rsidP="009A235B"/>
    <w:p w14:paraId="2F461E36" w14:textId="77777777" w:rsidR="009A235B" w:rsidRDefault="009A235B" w:rsidP="009A235B">
      <w:pPr>
        <w:rPr>
          <w:rFonts w:cs="Arial"/>
          <w:szCs w:val="22"/>
        </w:rPr>
      </w:pPr>
    </w:p>
    <w:p w14:paraId="3001D210" w14:textId="77777777" w:rsidR="009A235B" w:rsidRPr="00F32F51" w:rsidRDefault="009A235B" w:rsidP="009A235B">
      <w:pPr>
        <w:rPr>
          <w:rFonts w:cs="Arial"/>
          <w:szCs w:val="22"/>
        </w:rPr>
      </w:pPr>
    </w:p>
    <w:p w14:paraId="50E47E7D" w14:textId="77777777" w:rsidR="009A235B" w:rsidRPr="00E4313F" w:rsidRDefault="009A235B" w:rsidP="009A235B">
      <w:pPr>
        <w:rPr>
          <w:rFonts w:cs="Arial"/>
          <w:szCs w:val="22"/>
        </w:rPr>
      </w:pPr>
    </w:p>
    <w:p w14:paraId="68D5509B" w14:textId="77777777" w:rsidR="009A235B" w:rsidRPr="00434ACD" w:rsidRDefault="009A235B" w:rsidP="009A235B">
      <w:pPr>
        <w:rPr>
          <w:rFonts w:cs="Arial"/>
          <w:szCs w:val="22"/>
        </w:rPr>
      </w:pPr>
    </w:p>
    <w:p w14:paraId="5A824A49" w14:textId="77777777" w:rsidR="009A235B" w:rsidRDefault="009A235B" w:rsidP="009A235B"/>
    <w:p w14:paraId="7079E1AD" w14:textId="3AB39FEC" w:rsidR="000C6B16" w:rsidRDefault="00FF0171">
      <w:pPr>
        <w:spacing w:after="0"/>
        <w:rPr>
          <w:rFonts w:ascii="Times New Roman" w:hAnsi="Times New Roman"/>
          <w:sz w:val="20"/>
          <w:szCs w:val="20"/>
        </w:rPr>
      </w:pPr>
      <w:r>
        <w:rPr>
          <w:noProof/>
        </w:rPr>
        <mc:AlternateContent>
          <mc:Choice Requires="wps">
            <w:drawing>
              <wp:anchor distT="0" distB="0" distL="114300" distR="114300" simplePos="0" relativeHeight="251667456" behindDoc="0" locked="0" layoutInCell="1" allowOverlap="1" wp14:anchorId="3F398D9B" wp14:editId="1BD0850E">
                <wp:simplePos x="0" y="0"/>
                <wp:positionH relativeFrom="column">
                  <wp:posOffset>146685</wp:posOffset>
                </wp:positionH>
                <wp:positionV relativeFrom="margin">
                  <wp:posOffset>7633970</wp:posOffset>
                </wp:positionV>
                <wp:extent cx="2956560" cy="1257300"/>
                <wp:effectExtent l="0" t="0" r="15240" b="0"/>
                <wp:wrapSquare wrapText="bothSides"/>
                <wp:docPr id="14" name="Text Box 14"/>
                <wp:cNvGraphicFramePr/>
                <a:graphic xmlns:a="http://schemas.openxmlformats.org/drawingml/2006/main">
                  <a:graphicData uri="http://schemas.microsoft.com/office/word/2010/wordprocessingShape">
                    <wps:wsp>
                      <wps:cNvSpPr txBox="1"/>
                      <wps:spPr>
                        <a:xfrm>
                          <a:off x="0" y="0"/>
                          <a:ext cx="295656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DB6F6" w14:textId="77777777" w:rsidR="00A922F6" w:rsidRPr="00996126" w:rsidRDefault="00A922F6" w:rsidP="000D5D29">
                            <w:pPr>
                              <w:pStyle w:val="Address"/>
                              <w:rPr>
                                <w:color w:val="auto"/>
                              </w:rPr>
                            </w:pPr>
                            <w:r w:rsidRPr="00996126">
                              <w:rPr>
                                <w:color w:val="auto"/>
                              </w:rPr>
                              <w:t>Independent Hospital Pricing Authority</w:t>
                            </w:r>
                          </w:p>
                          <w:p w14:paraId="6B80A27A" w14:textId="77777777" w:rsidR="00A922F6" w:rsidRPr="00996126" w:rsidRDefault="00A922F6" w:rsidP="000D5D29">
                            <w:pPr>
                              <w:pStyle w:val="Address"/>
                              <w:rPr>
                                <w:color w:val="auto"/>
                              </w:rPr>
                            </w:pPr>
                          </w:p>
                          <w:p w14:paraId="40E61B7B" w14:textId="77777777" w:rsidR="00A922F6" w:rsidRPr="00996126" w:rsidRDefault="00A922F6" w:rsidP="000D5D29">
                            <w:pPr>
                              <w:pStyle w:val="Address"/>
                              <w:rPr>
                                <w:color w:val="008542" w:themeColor="accent2"/>
                              </w:rPr>
                            </w:pPr>
                            <w:r w:rsidRPr="00996126">
                              <w:rPr>
                                <w:color w:val="008542" w:themeColor="accent2"/>
                              </w:rPr>
                              <w:t>Level 6, 1 Oxford Street</w:t>
                            </w:r>
                          </w:p>
                          <w:p w14:paraId="56B90C95" w14:textId="77777777" w:rsidR="00A922F6" w:rsidRPr="00996126" w:rsidRDefault="00A922F6" w:rsidP="000D5D29">
                            <w:pPr>
                              <w:pStyle w:val="Address"/>
                              <w:rPr>
                                <w:color w:val="008542" w:themeColor="accent2"/>
                              </w:rPr>
                            </w:pPr>
                            <w:r w:rsidRPr="00996126">
                              <w:rPr>
                                <w:color w:val="008542" w:themeColor="accent2"/>
                              </w:rPr>
                              <w:t>Sydney NSW 2000</w:t>
                            </w:r>
                          </w:p>
                          <w:p w14:paraId="1424943C" w14:textId="77777777" w:rsidR="00A922F6" w:rsidRPr="00562759" w:rsidRDefault="00A922F6" w:rsidP="000D5D29">
                            <w:pPr>
                              <w:pStyle w:val="Address"/>
                            </w:pPr>
                          </w:p>
                          <w:p w14:paraId="5A578F0C" w14:textId="77777777" w:rsidR="00A922F6" w:rsidRPr="00996126" w:rsidRDefault="00A922F6" w:rsidP="000D5D29">
                            <w:pPr>
                              <w:pStyle w:val="Address"/>
                              <w:rPr>
                                <w:color w:val="008542" w:themeColor="accent2"/>
                              </w:rPr>
                            </w:pPr>
                            <w:r w:rsidRPr="00996126">
                              <w:rPr>
                                <w:color w:val="auto"/>
                              </w:rPr>
                              <w:t xml:space="preserve">Phone </w:t>
                            </w:r>
                            <w:r w:rsidRPr="00996126">
                              <w:rPr>
                                <w:color w:val="008542" w:themeColor="accent2"/>
                              </w:rPr>
                              <w:t>02 8215 1100</w:t>
                            </w:r>
                          </w:p>
                          <w:p w14:paraId="6C17A39C" w14:textId="77777777" w:rsidR="00A922F6" w:rsidRPr="00996126" w:rsidRDefault="00A922F6" w:rsidP="000D5D29">
                            <w:pPr>
                              <w:pStyle w:val="Address"/>
                              <w:rPr>
                                <w:color w:val="008542" w:themeColor="accent2"/>
                              </w:rPr>
                            </w:pPr>
                            <w:r w:rsidRPr="00996126">
                              <w:rPr>
                                <w:color w:val="auto"/>
                              </w:rPr>
                              <w:t xml:space="preserve">Email </w:t>
                            </w:r>
                            <w:r w:rsidRPr="00996126">
                              <w:rPr>
                                <w:color w:val="008542" w:themeColor="accent2"/>
                              </w:rPr>
                              <w:t>enquiries.ihpa@ihpa.gov.au</w:t>
                            </w:r>
                          </w:p>
                          <w:p w14:paraId="61EC9939" w14:textId="77777777" w:rsidR="00A922F6" w:rsidRPr="00996126" w:rsidRDefault="00A922F6" w:rsidP="000D5D29">
                            <w:pPr>
                              <w:pStyle w:val="Address"/>
                              <w:rPr>
                                <w:color w:val="008542" w:themeColor="accent2"/>
                              </w:rPr>
                            </w:pPr>
                            <w:r w:rsidRPr="00996126">
                              <w:rPr>
                                <w:color w:val="auto"/>
                              </w:rPr>
                              <w:t xml:space="preserve">Twitter </w:t>
                            </w:r>
                            <w:r w:rsidRPr="00996126">
                              <w:rPr>
                                <w:color w:val="008542" w:themeColor="accent2"/>
                              </w:rPr>
                              <w:t>@IHPAnews</w:t>
                            </w:r>
                          </w:p>
                          <w:p w14:paraId="4CBEFBCB" w14:textId="77777777" w:rsidR="00A922F6" w:rsidRPr="00562759" w:rsidRDefault="00A922F6" w:rsidP="000D5D29">
                            <w:pPr>
                              <w:pStyle w:val="Address"/>
                            </w:pPr>
                          </w:p>
                          <w:p w14:paraId="55CE7DA7" w14:textId="77777777" w:rsidR="00A922F6" w:rsidRPr="00996126" w:rsidRDefault="00A922F6" w:rsidP="000D5D29">
                            <w:pPr>
                              <w:pStyle w:val="Address"/>
                              <w:rPr>
                                <w:color w:val="auto"/>
                              </w:rPr>
                            </w:pPr>
                            <w:r w:rsidRPr="00996126">
                              <w:rPr>
                                <w:color w:val="auto"/>
                              </w:rPr>
                              <w:t>www.ihpa.gov.au</w:t>
                            </w:r>
                          </w:p>
                          <w:p w14:paraId="6DB74083" w14:textId="77777777" w:rsidR="00A922F6" w:rsidRPr="0098702F" w:rsidRDefault="00A922F6" w:rsidP="000D5D2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98D9B" id="_x0000_t202" coordsize="21600,21600" o:spt="202" path="m,l,21600r21600,l21600,xe">
                <v:stroke joinstyle="miter"/>
                <v:path gradientshapeok="t" o:connecttype="rect"/>
              </v:shapetype>
              <v:shape id="Text Box 14" o:spid="_x0000_s1026" type="#_x0000_t202" style="position:absolute;left:0;text-align:left;margin-left:11.55pt;margin-top:601.1pt;width:232.8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" filled="f" stroked="f">
                <v:textbox inset="0,0,0,0">
                  <w:txbxContent>
                    <w:p w14:paraId="069DB6F6" w14:textId="77777777" w:rsidR="00A922F6" w:rsidRPr="00996126" w:rsidRDefault="00A922F6" w:rsidP="000D5D29">
                      <w:pPr>
                        <w:pStyle w:val="Address"/>
                        <w:rPr>
                          <w:color w:val="auto"/>
                        </w:rPr>
                      </w:pPr>
                      <w:r w:rsidRPr="00996126">
                        <w:rPr>
                          <w:color w:val="auto"/>
                        </w:rPr>
                        <w:t>Independent Hospital Pricing Authority</w:t>
                      </w:r>
                    </w:p>
                    <w:p w14:paraId="6B80A27A" w14:textId="77777777" w:rsidR="00A922F6" w:rsidRPr="00996126" w:rsidRDefault="00A922F6" w:rsidP="000D5D29">
                      <w:pPr>
                        <w:pStyle w:val="Address"/>
                        <w:rPr>
                          <w:color w:val="auto"/>
                        </w:rPr>
                      </w:pPr>
                    </w:p>
                    <w:p w14:paraId="40E61B7B" w14:textId="77777777" w:rsidR="00A922F6" w:rsidRPr="00996126" w:rsidRDefault="00A922F6" w:rsidP="000D5D29">
                      <w:pPr>
                        <w:pStyle w:val="Address"/>
                        <w:rPr>
                          <w:color w:val="008542" w:themeColor="accent2"/>
                        </w:rPr>
                      </w:pPr>
                      <w:r w:rsidRPr="00996126">
                        <w:rPr>
                          <w:color w:val="008542" w:themeColor="accent2"/>
                        </w:rPr>
                        <w:t>Level 6, 1 Oxford Street</w:t>
                      </w:r>
                    </w:p>
                    <w:p w14:paraId="56B90C95" w14:textId="77777777" w:rsidR="00A922F6" w:rsidRPr="00996126" w:rsidRDefault="00A922F6" w:rsidP="000D5D29">
                      <w:pPr>
                        <w:pStyle w:val="Address"/>
                        <w:rPr>
                          <w:color w:val="008542" w:themeColor="accent2"/>
                        </w:rPr>
                      </w:pPr>
                      <w:r w:rsidRPr="00996126">
                        <w:rPr>
                          <w:color w:val="008542" w:themeColor="accent2"/>
                        </w:rPr>
                        <w:t>Sydney NSW 2000</w:t>
                      </w:r>
                    </w:p>
                    <w:p w14:paraId="1424943C" w14:textId="77777777" w:rsidR="00A922F6" w:rsidRPr="00562759" w:rsidRDefault="00A922F6" w:rsidP="000D5D29">
                      <w:pPr>
                        <w:pStyle w:val="Address"/>
                      </w:pPr>
                    </w:p>
                    <w:p w14:paraId="5A578F0C" w14:textId="77777777" w:rsidR="00A922F6" w:rsidRPr="00996126" w:rsidRDefault="00A922F6" w:rsidP="000D5D29">
                      <w:pPr>
                        <w:pStyle w:val="Address"/>
                        <w:rPr>
                          <w:color w:val="008542" w:themeColor="accent2"/>
                        </w:rPr>
                      </w:pPr>
                      <w:r w:rsidRPr="00996126">
                        <w:rPr>
                          <w:color w:val="auto"/>
                        </w:rPr>
                        <w:t xml:space="preserve">Phone </w:t>
                      </w:r>
                      <w:r w:rsidRPr="00996126">
                        <w:rPr>
                          <w:color w:val="008542" w:themeColor="accent2"/>
                        </w:rPr>
                        <w:t>02 8215 1100</w:t>
                      </w:r>
                    </w:p>
                    <w:p w14:paraId="6C17A39C" w14:textId="77777777" w:rsidR="00A922F6" w:rsidRPr="00996126" w:rsidRDefault="00A922F6" w:rsidP="000D5D29">
                      <w:pPr>
                        <w:pStyle w:val="Address"/>
                        <w:rPr>
                          <w:color w:val="008542" w:themeColor="accent2"/>
                        </w:rPr>
                      </w:pPr>
                      <w:r w:rsidRPr="00996126">
                        <w:rPr>
                          <w:color w:val="auto"/>
                        </w:rPr>
                        <w:t xml:space="preserve">Email </w:t>
                      </w:r>
                      <w:r w:rsidRPr="00996126">
                        <w:rPr>
                          <w:color w:val="008542" w:themeColor="accent2"/>
                        </w:rPr>
                        <w:t>enquiries.ihpa@ihpa.gov.au</w:t>
                      </w:r>
                    </w:p>
                    <w:p w14:paraId="61EC9939" w14:textId="77777777" w:rsidR="00A922F6" w:rsidRPr="00996126" w:rsidRDefault="00A922F6" w:rsidP="000D5D29">
                      <w:pPr>
                        <w:pStyle w:val="Address"/>
                        <w:rPr>
                          <w:color w:val="008542" w:themeColor="accent2"/>
                        </w:rPr>
                      </w:pPr>
                      <w:r w:rsidRPr="00996126">
                        <w:rPr>
                          <w:color w:val="auto"/>
                        </w:rPr>
                        <w:t xml:space="preserve">Twitter </w:t>
                      </w:r>
                      <w:r w:rsidRPr="00996126">
                        <w:rPr>
                          <w:color w:val="008542" w:themeColor="accent2"/>
                        </w:rPr>
                        <w:t>@IHPAnews</w:t>
                      </w:r>
                    </w:p>
                    <w:p w14:paraId="4CBEFBCB" w14:textId="77777777" w:rsidR="00A922F6" w:rsidRPr="00562759" w:rsidRDefault="00A922F6" w:rsidP="000D5D29">
                      <w:pPr>
                        <w:pStyle w:val="Address"/>
                      </w:pPr>
                    </w:p>
                    <w:p w14:paraId="55CE7DA7" w14:textId="77777777" w:rsidR="00A922F6" w:rsidRPr="00996126" w:rsidRDefault="00A922F6" w:rsidP="000D5D29">
                      <w:pPr>
                        <w:pStyle w:val="Address"/>
                        <w:rPr>
                          <w:color w:val="auto"/>
                        </w:rPr>
                      </w:pPr>
                      <w:r w:rsidRPr="00996126">
                        <w:rPr>
                          <w:color w:val="auto"/>
                        </w:rPr>
                        <w:t>www.ihpa.gov.au</w:t>
                      </w:r>
                    </w:p>
                    <w:p w14:paraId="6DB74083" w14:textId="77777777" w:rsidR="00A922F6" w:rsidRPr="0098702F" w:rsidRDefault="00A922F6" w:rsidP="000D5D29">
                      <w:pPr>
                        <w:pStyle w:val="Address"/>
                      </w:pPr>
                    </w:p>
                  </w:txbxContent>
                </v:textbox>
                <w10:wrap type="square" anchory="margin"/>
              </v:shape>
            </w:pict>
          </mc:Fallback>
        </mc:AlternateContent>
      </w:r>
    </w:p>
    <w:sectPr w:rsidR="000C6B16" w:rsidSect="008C2111">
      <w:headerReference w:type="default" r:id="rId24"/>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99ED" w14:textId="77777777" w:rsidR="00A922F6" w:rsidRDefault="00A922F6">
      <w:r>
        <w:separator/>
      </w:r>
    </w:p>
  </w:endnote>
  <w:endnote w:type="continuationSeparator" w:id="0">
    <w:p w14:paraId="783D7DEC" w14:textId="77777777" w:rsidR="00A922F6" w:rsidRDefault="00A9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8D74D" w14:textId="77777777" w:rsidR="00A922F6" w:rsidRDefault="00A922F6">
      <w:r>
        <w:separator/>
      </w:r>
    </w:p>
  </w:footnote>
  <w:footnote w:type="continuationSeparator" w:id="0">
    <w:p w14:paraId="4417C10E" w14:textId="77777777" w:rsidR="00A922F6" w:rsidRDefault="00A922F6">
      <w:r>
        <w:continuationSeparator/>
      </w:r>
    </w:p>
  </w:footnote>
  <w:footnote w:id="1">
    <w:p w14:paraId="3EF294FB" w14:textId="521494AE" w:rsidR="00A922F6" w:rsidRPr="002B2F8F" w:rsidRDefault="00A922F6">
      <w:pPr>
        <w:pStyle w:val="FootnoteText"/>
        <w:rPr>
          <w:sz w:val="16"/>
          <w:szCs w:val="16"/>
        </w:rPr>
      </w:pPr>
      <w:r w:rsidRPr="002B2F8F">
        <w:rPr>
          <w:rStyle w:val="FootnoteReference"/>
          <w:sz w:val="16"/>
          <w:szCs w:val="16"/>
        </w:rPr>
        <w:footnoteRef/>
      </w:r>
      <w:r w:rsidRPr="002B2F8F">
        <w:rPr>
          <w:sz w:val="16"/>
          <w:szCs w:val="16"/>
        </w:rPr>
        <w:t xml:space="preserve"> Specific ADRGs are ADRGs designed for one or more specific interventions. Non-specific ADRGs are residual ADRGs designed to catch episodes not grouped to specific ADRGs but have interventions related to the principal diagnoses. Non-specific ADRGs normally start with the word ‘Other’. For example. ADRG C02 </w:t>
      </w:r>
      <w:r w:rsidRPr="002B2F8F">
        <w:rPr>
          <w:i/>
          <w:iCs/>
          <w:sz w:val="16"/>
          <w:szCs w:val="16"/>
        </w:rPr>
        <w:t xml:space="preserve">Enucleations and Orbital Interventions </w:t>
      </w:r>
      <w:r w:rsidRPr="002B2F8F">
        <w:rPr>
          <w:sz w:val="16"/>
          <w:szCs w:val="16"/>
        </w:rPr>
        <w:t xml:space="preserve">is a specific ADRG, while ADRG C14 </w:t>
      </w:r>
      <w:r w:rsidRPr="002B2F8F">
        <w:rPr>
          <w:i/>
          <w:iCs/>
          <w:sz w:val="16"/>
          <w:szCs w:val="16"/>
        </w:rPr>
        <w:t xml:space="preserve">Other Eye Interventions </w:t>
      </w:r>
      <w:r w:rsidRPr="002B2F8F">
        <w:rPr>
          <w:sz w:val="16"/>
          <w:szCs w:val="16"/>
        </w:rPr>
        <w:t xml:space="preserve">is a non-specific ADRG. Non-specific ADRGs are normally at the bottom of the intervention hierarchy but before ADRG 801 </w:t>
      </w:r>
      <w:r w:rsidRPr="002B2F8F">
        <w:rPr>
          <w:i/>
          <w:iCs/>
          <w:sz w:val="16"/>
          <w:szCs w:val="16"/>
        </w:rPr>
        <w:t xml:space="preserve">General Interventions </w:t>
      </w:r>
      <w:r w:rsidRPr="002B2F8F">
        <w:rPr>
          <w:sz w:val="16"/>
          <w:szCs w:val="16"/>
        </w:rPr>
        <w:t>(</w:t>
      </w:r>
      <w:r w:rsidRPr="002B2F8F">
        <w:rPr>
          <w:i/>
          <w:iCs/>
          <w:sz w:val="16"/>
          <w:szCs w:val="16"/>
        </w:rPr>
        <w:t>GIs) Unrelated to Principal Diagnosis</w:t>
      </w:r>
      <w:r w:rsidRPr="002B2F8F">
        <w:rPr>
          <w:sz w:val="16"/>
          <w:szCs w:val="16"/>
        </w:rPr>
        <w:t>.</w:t>
      </w:r>
    </w:p>
  </w:footnote>
  <w:footnote w:id="2">
    <w:p w14:paraId="1A71437C" w14:textId="2268E9F3" w:rsidR="00A922F6" w:rsidRDefault="00A922F6">
      <w:pPr>
        <w:pStyle w:val="FootnoteText"/>
      </w:pPr>
      <w:r w:rsidRPr="002B2F8F">
        <w:rPr>
          <w:rStyle w:val="FootnoteReference"/>
          <w:sz w:val="16"/>
          <w:szCs w:val="16"/>
        </w:rPr>
        <w:footnoteRef/>
      </w:r>
      <w:r w:rsidRPr="002B2F8F">
        <w:rPr>
          <w:sz w:val="16"/>
          <w:szCs w:val="16"/>
        </w:rPr>
        <w:t xml:space="preserve"> The thresholds of DRG principles 1 to 5 were used in AR-DRG V8.0 and V9.0.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559" w14:textId="5E3289DB" w:rsidR="00A922F6" w:rsidRPr="00CC2138" w:rsidRDefault="00A922F6" w:rsidP="00D006B4">
    <w:pPr>
      <w:pStyle w:val="Header"/>
      <w:rPr>
        <w:color w:val="008542" w:themeColor="accent2"/>
      </w:rPr>
    </w:pPr>
    <w:r w:rsidRPr="00D006B4">
      <w:rPr>
        <w:color w:val="FFFFFF" w:themeColor="background1"/>
        <w:sz w:val="18"/>
      </w:rPr>
      <w:t>Governance Framework for the Development of the Admitted Care Classifications</w:t>
    </w:r>
    <w:r w:rsidRPr="00D006B4">
      <w:rPr>
        <w:color w:val="FFFFFF" w:themeColor="background1"/>
      </w:rPr>
      <w:br/>
      <w:t xml:space="preserve">ICD-10-AM/ACHI/ACS Twelfth Edition and AR-DRG Version 11.0 </w:t>
    </w:r>
    <w:r>
      <w:rPr>
        <w:noProof/>
      </w:rPr>
      <w:drawing>
        <wp:anchor distT="0" distB="0" distL="114300" distR="114300" simplePos="0" relativeHeight="251657216" behindDoc="1" locked="0" layoutInCell="0" allowOverlap="1" wp14:anchorId="096EB48A" wp14:editId="7710BF89">
          <wp:simplePos x="0" y="0"/>
          <wp:positionH relativeFrom="page">
            <wp:posOffset>0</wp:posOffset>
          </wp:positionH>
          <wp:positionV relativeFrom="page">
            <wp:posOffset>1179</wp:posOffset>
          </wp:positionV>
          <wp:extent cx="6080400" cy="918140"/>
          <wp:effectExtent l="0" t="0" r="0" b="0"/>
          <wp:wrapNone/>
          <wp:docPr id="22" name="Picture 2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9C6416">
      <w:rPr>
        <w:noProof/>
        <w:color w:val="008542" w:themeColor="accent2"/>
      </w:rPr>
      <w:t>21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64E1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31E19"/>
    <w:multiLevelType w:val="hybridMultilevel"/>
    <w:tmpl w:val="ADFE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B4EE3"/>
    <w:multiLevelType w:val="hybridMultilevel"/>
    <w:tmpl w:val="212A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804E8"/>
    <w:multiLevelType w:val="multilevel"/>
    <w:tmpl w:val="A27258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Heading7"/>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D02D8"/>
    <w:multiLevelType w:val="multilevel"/>
    <w:tmpl w:val="9FA62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3D215B"/>
    <w:multiLevelType w:val="multilevel"/>
    <w:tmpl w:val="FB08EAEA"/>
    <w:lvl w:ilvl="0">
      <w:start w:val="1"/>
      <w:numFmt w:val="decimal"/>
      <w:pStyle w:val="Heading1"/>
      <w:lvlText w:val="%1."/>
      <w:lvlJc w:val="left"/>
      <w:pPr>
        <w:ind w:left="720" w:hanging="360"/>
      </w:pPr>
    </w:lvl>
    <w:lvl w:ilvl="1">
      <w:start w:val="1"/>
      <w:numFmt w:val="decimal"/>
      <w:isLgl/>
      <w:lvlText w:val="%1.%2"/>
      <w:lvlJc w:val="left"/>
      <w:pPr>
        <w:ind w:left="957" w:hanging="525"/>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15" w15:restartNumberingAfterBreak="0">
    <w:nsid w:val="352C24A9"/>
    <w:multiLevelType w:val="hybridMultilevel"/>
    <w:tmpl w:val="39C4A5B8"/>
    <w:lvl w:ilvl="0" w:tplc="FF9820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D57DD"/>
    <w:multiLevelType w:val="hybridMultilevel"/>
    <w:tmpl w:val="25D2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A5338"/>
    <w:multiLevelType w:val="hybridMultilevel"/>
    <w:tmpl w:val="70F845A2"/>
    <w:lvl w:ilvl="0" w:tplc="CBDC76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457606"/>
    <w:multiLevelType w:val="multilevel"/>
    <w:tmpl w:val="67B0648A"/>
    <w:lvl w:ilvl="0">
      <w:start w:val="3"/>
      <w:numFmt w:val="decimal"/>
      <w:lvlText w:val="%1"/>
      <w:lvlJc w:val="left"/>
      <w:pPr>
        <w:ind w:left="525" w:hanging="525"/>
      </w:pPr>
      <w:rPr>
        <w:rFonts w:hint="default"/>
      </w:rPr>
    </w:lvl>
    <w:lvl w:ilvl="1">
      <w:start w:val="1"/>
      <w:numFmt w:val="decimal"/>
      <w:lvlText w:val="%1.%2"/>
      <w:lvlJc w:val="left"/>
      <w:pPr>
        <w:ind w:left="777" w:hanging="525"/>
      </w:pPr>
      <w:rPr>
        <w:rFonts w:hint="default"/>
      </w:rPr>
    </w:lvl>
    <w:lvl w:ilvl="2">
      <w:start w:val="1"/>
      <w:numFmt w:val="decimal"/>
      <w:pStyle w:val="Heading3"/>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8"/>
  </w:num>
  <w:num w:numId="15">
    <w:abstractNumId w:val="16"/>
  </w:num>
  <w:num w:numId="16">
    <w:abstractNumId w:val="14"/>
  </w:num>
  <w:num w:numId="17">
    <w:abstractNumId w:val="17"/>
  </w:num>
  <w:num w:numId="18">
    <w:abstractNumId w:val="1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E7"/>
    <w:rsid w:val="00000B90"/>
    <w:rsid w:val="00000C85"/>
    <w:rsid w:val="000026B0"/>
    <w:rsid w:val="0000488E"/>
    <w:rsid w:val="000056D7"/>
    <w:rsid w:val="00005785"/>
    <w:rsid w:val="00006876"/>
    <w:rsid w:val="00006901"/>
    <w:rsid w:val="000079AD"/>
    <w:rsid w:val="00007D1F"/>
    <w:rsid w:val="00010D84"/>
    <w:rsid w:val="00010F15"/>
    <w:rsid w:val="00011016"/>
    <w:rsid w:val="00011CE3"/>
    <w:rsid w:val="00011F31"/>
    <w:rsid w:val="00020318"/>
    <w:rsid w:val="00022E9C"/>
    <w:rsid w:val="00024EF0"/>
    <w:rsid w:val="00025631"/>
    <w:rsid w:val="00026E99"/>
    <w:rsid w:val="00027B26"/>
    <w:rsid w:val="00030705"/>
    <w:rsid w:val="00030D77"/>
    <w:rsid w:val="00032861"/>
    <w:rsid w:val="000328AC"/>
    <w:rsid w:val="00032B77"/>
    <w:rsid w:val="0003376C"/>
    <w:rsid w:val="0004165D"/>
    <w:rsid w:val="00042285"/>
    <w:rsid w:val="00043256"/>
    <w:rsid w:val="00043CF6"/>
    <w:rsid w:val="00044517"/>
    <w:rsid w:val="00045A89"/>
    <w:rsid w:val="00046F8E"/>
    <w:rsid w:val="00047524"/>
    <w:rsid w:val="0005040E"/>
    <w:rsid w:val="0005087D"/>
    <w:rsid w:val="00050F9E"/>
    <w:rsid w:val="00053FC7"/>
    <w:rsid w:val="000547EF"/>
    <w:rsid w:val="00056004"/>
    <w:rsid w:val="00056DC2"/>
    <w:rsid w:val="0006075A"/>
    <w:rsid w:val="00061C84"/>
    <w:rsid w:val="00062484"/>
    <w:rsid w:val="00063129"/>
    <w:rsid w:val="00064EE9"/>
    <w:rsid w:val="00065022"/>
    <w:rsid w:val="00065A1C"/>
    <w:rsid w:val="00065A5E"/>
    <w:rsid w:val="00070681"/>
    <w:rsid w:val="00077081"/>
    <w:rsid w:val="0007728A"/>
    <w:rsid w:val="000777AD"/>
    <w:rsid w:val="00080A09"/>
    <w:rsid w:val="00081CEB"/>
    <w:rsid w:val="00081DEA"/>
    <w:rsid w:val="00082B53"/>
    <w:rsid w:val="00083082"/>
    <w:rsid w:val="0008760F"/>
    <w:rsid w:val="000879ED"/>
    <w:rsid w:val="00087B2C"/>
    <w:rsid w:val="00087DBD"/>
    <w:rsid w:val="00090718"/>
    <w:rsid w:val="00091B4E"/>
    <w:rsid w:val="00091CD7"/>
    <w:rsid w:val="00093DD5"/>
    <w:rsid w:val="000A03DD"/>
    <w:rsid w:val="000A15DD"/>
    <w:rsid w:val="000A1A09"/>
    <w:rsid w:val="000A47A8"/>
    <w:rsid w:val="000A73FB"/>
    <w:rsid w:val="000A7EB4"/>
    <w:rsid w:val="000B218A"/>
    <w:rsid w:val="000B6945"/>
    <w:rsid w:val="000B7CA9"/>
    <w:rsid w:val="000C014D"/>
    <w:rsid w:val="000C29B4"/>
    <w:rsid w:val="000C4163"/>
    <w:rsid w:val="000C5734"/>
    <w:rsid w:val="000C5CD8"/>
    <w:rsid w:val="000C6B16"/>
    <w:rsid w:val="000C7A69"/>
    <w:rsid w:val="000C7C11"/>
    <w:rsid w:val="000D1158"/>
    <w:rsid w:val="000D4703"/>
    <w:rsid w:val="000D5D29"/>
    <w:rsid w:val="000D73B5"/>
    <w:rsid w:val="000E12D4"/>
    <w:rsid w:val="000E174A"/>
    <w:rsid w:val="000E39EF"/>
    <w:rsid w:val="000E620E"/>
    <w:rsid w:val="000F182F"/>
    <w:rsid w:val="000F2063"/>
    <w:rsid w:val="000F33C3"/>
    <w:rsid w:val="000F3D28"/>
    <w:rsid w:val="000F63C4"/>
    <w:rsid w:val="00100200"/>
    <w:rsid w:val="0010263D"/>
    <w:rsid w:val="00102824"/>
    <w:rsid w:val="0010300A"/>
    <w:rsid w:val="001126DD"/>
    <w:rsid w:val="001131F0"/>
    <w:rsid w:val="001139C7"/>
    <w:rsid w:val="00114EBC"/>
    <w:rsid w:val="00122C01"/>
    <w:rsid w:val="0012427E"/>
    <w:rsid w:val="001247E0"/>
    <w:rsid w:val="00126750"/>
    <w:rsid w:val="0012687B"/>
    <w:rsid w:val="001271A1"/>
    <w:rsid w:val="00131C0F"/>
    <w:rsid w:val="001325BF"/>
    <w:rsid w:val="00132F0D"/>
    <w:rsid w:val="00133713"/>
    <w:rsid w:val="001352E5"/>
    <w:rsid w:val="00135858"/>
    <w:rsid w:val="00135B7E"/>
    <w:rsid w:val="0014065D"/>
    <w:rsid w:val="00140FC9"/>
    <w:rsid w:val="001413C5"/>
    <w:rsid w:val="0014231B"/>
    <w:rsid w:val="00142956"/>
    <w:rsid w:val="00142D10"/>
    <w:rsid w:val="00144868"/>
    <w:rsid w:val="001452BC"/>
    <w:rsid w:val="0015003E"/>
    <w:rsid w:val="00150D2A"/>
    <w:rsid w:val="00150E25"/>
    <w:rsid w:val="00150EA9"/>
    <w:rsid w:val="00150FBC"/>
    <w:rsid w:val="00151650"/>
    <w:rsid w:val="00152BF6"/>
    <w:rsid w:val="00155164"/>
    <w:rsid w:val="00155B98"/>
    <w:rsid w:val="00156642"/>
    <w:rsid w:val="00157001"/>
    <w:rsid w:val="00157709"/>
    <w:rsid w:val="001608CE"/>
    <w:rsid w:val="00160E91"/>
    <w:rsid w:val="00165626"/>
    <w:rsid w:val="00166D63"/>
    <w:rsid w:val="00167025"/>
    <w:rsid w:val="00167CF4"/>
    <w:rsid w:val="0017018F"/>
    <w:rsid w:val="0017147C"/>
    <w:rsid w:val="0017194E"/>
    <w:rsid w:val="0017249B"/>
    <w:rsid w:val="001727A4"/>
    <w:rsid w:val="00177EC4"/>
    <w:rsid w:val="00181533"/>
    <w:rsid w:val="001824C8"/>
    <w:rsid w:val="00182698"/>
    <w:rsid w:val="001864FD"/>
    <w:rsid w:val="001943DD"/>
    <w:rsid w:val="00196BAC"/>
    <w:rsid w:val="001974B5"/>
    <w:rsid w:val="001A0551"/>
    <w:rsid w:val="001A13F6"/>
    <w:rsid w:val="001A2D78"/>
    <w:rsid w:val="001A62A2"/>
    <w:rsid w:val="001A7249"/>
    <w:rsid w:val="001B13F8"/>
    <w:rsid w:val="001B29F2"/>
    <w:rsid w:val="001B385A"/>
    <w:rsid w:val="001B3904"/>
    <w:rsid w:val="001B3AEC"/>
    <w:rsid w:val="001B3E8D"/>
    <w:rsid w:val="001B46A9"/>
    <w:rsid w:val="001B5259"/>
    <w:rsid w:val="001B60D4"/>
    <w:rsid w:val="001B6F28"/>
    <w:rsid w:val="001C2D5A"/>
    <w:rsid w:val="001C4F4F"/>
    <w:rsid w:val="001C6BA1"/>
    <w:rsid w:val="001C6C89"/>
    <w:rsid w:val="001D0F6F"/>
    <w:rsid w:val="001D141C"/>
    <w:rsid w:val="001D2904"/>
    <w:rsid w:val="001D2E8B"/>
    <w:rsid w:val="001D3610"/>
    <w:rsid w:val="001D3D49"/>
    <w:rsid w:val="001D652D"/>
    <w:rsid w:val="001D693F"/>
    <w:rsid w:val="001D6F9E"/>
    <w:rsid w:val="001E3560"/>
    <w:rsid w:val="001E38FB"/>
    <w:rsid w:val="001E52C2"/>
    <w:rsid w:val="001F0BE1"/>
    <w:rsid w:val="001F101A"/>
    <w:rsid w:val="001F24EF"/>
    <w:rsid w:val="001F56C7"/>
    <w:rsid w:val="00201B12"/>
    <w:rsid w:val="00203039"/>
    <w:rsid w:val="00204B17"/>
    <w:rsid w:val="002069D2"/>
    <w:rsid w:val="00211DA2"/>
    <w:rsid w:val="00212E8D"/>
    <w:rsid w:val="00213693"/>
    <w:rsid w:val="00215CCB"/>
    <w:rsid w:val="00216CF5"/>
    <w:rsid w:val="002175EF"/>
    <w:rsid w:val="0022037B"/>
    <w:rsid w:val="00222C8D"/>
    <w:rsid w:val="00224E29"/>
    <w:rsid w:val="002256A8"/>
    <w:rsid w:val="00230E6B"/>
    <w:rsid w:val="00232B97"/>
    <w:rsid w:val="0023523A"/>
    <w:rsid w:val="0023757C"/>
    <w:rsid w:val="00237C47"/>
    <w:rsid w:val="002402E4"/>
    <w:rsid w:val="00240496"/>
    <w:rsid w:val="00241C2C"/>
    <w:rsid w:val="002421A0"/>
    <w:rsid w:val="00242B98"/>
    <w:rsid w:val="002445A1"/>
    <w:rsid w:val="00245C30"/>
    <w:rsid w:val="00245C67"/>
    <w:rsid w:val="00246FE6"/>
    <w:rsid w:val="002470E3"/>
    <w:rsid w:val="00250EF8"/>
    <w:rsid w:val="0025207D"/>
    <w:rsid w:val="00254DE9"/>
    <w:rsid w:val="002564DA"/>
    <w:rsid w:val="00257620"/>
    <w:rsid w:val="00257D40"/>
    <w:rsid w:val="002615D3"/>
    <w:rsid w:val="002672F1"/>
    <w:rsid w:val="00271414"/>
    <w:rsid w:val="00271922"/>
    <w:rsid w:val="00273412"/>
    <w:rsid w:val="0027373F"/>
    <w:rsid w:val="00274ACF"/>
    <w:rsid w:val="00275CED"/>
    <w:rsid w:val="00276BE1"/>
    <w:rsid w:val="0028159B"/>
    <w:rsid w:val="00282362"/>
    <w:rsid w:val="00282671"/>
    <w:rsid w:val="00282861"/>
    <w:rsid w:val="002831F9"/>
    <w:rsid w:val="00283AE1"/>
    <w:rsid w:val="00283E63"/>
    <w:rsid w:val="002843E2"/>
    <w:rsid w:val="00287BAA"/>
    <w:rsid w:val="00287F52"/>
    <w:rsid w:val="00293489"/>
    <w:rsid w:val="00296320"/>
    <w:rsid w:val="00296F5E"/>
    <w:rsid w:val="002A1302"/>
    <w:rsid w:val="002A229B"/>
    <w:rsid w:val="002A30F0"/>
    <w:rsid w:val="002A6DF5"/>
    <w:rsid w:val="002B2F8F"/>
    <w:rsid w:val="002B42CB"/>
    <w:rsid w:val="002B5F72"/>
    <w:rsid w:val="002B6406"/>
    <w:rsid w:val="002B6809"/>
    <w:rsid w:val="002B7F9D"/>
    <w:rsid w:val="002C3A69"/>
    <w:rsid w:val="002C4231"/>
    <w:rsid w:val="002C7080"/>
    <w:rsid w:val="002D00B0"/>
    <w:rsid w:val="002D0751"/>
    <w:rsid w:val="002D0A73"/>
    <w:rsid w:val="002D2364"/>
    <w:rsid w:val="002D29B1"/>
    <w:rsid w:val="002D2E16"/>
    <w:rsid w:val="002D7432"/>
    <w:rsid w:val="002D746B"/>
    <w:rsid w:val="002E0684"/>
    <w:rsid w:val="002E45F0"/>
    <w:rsid w:val="002E7778"/>
    <w:rsid w:val="002F54B7"/>
    <w:rsid w:val="002F693A"/>
    <w:rsid w:val="00300784"/>
    <w:rsid w:val="00304B3E"/>
    <w:rsid w:val="00304D97"/>
    <w:rsid w:val="00305379"/>
    <w:rsid w:val="00306754"/>
    <w:rsid w:val="003105EA"/>
    <w:rsid w:val="0031117B"/>
    <w:rsid w:val="0031180A"/>
    <w:rsid w:val="00313127"/>
    <w:rsid w:val="00313304"/>
    <w:rsid w:val="003155F4"/>
    <w:rsid w:val="00316DF3"/>
    <w:rsid w:val="00320309"/>
    <w:rsid w:val="00321D1E"/>
    <w:rsid w:val="0032530E"/>
    <w:rsid w:val="00325A61"/>
    <w:rsid w:val="00325B2E"/>
    <w:rsid w:val="00326976"/>
    <w:rsid w:val="003305EE"/>
    <w:rsid w:val="003311D7"/>
    <w:rsid w:val="00332B8B"/>
    <w:rsid w:val="0033521E"/>
    <w:rsid w:val="00335708"/>
    <w:rsid w:val="00335849"/>
    <w:rsid w:val="00337CA2"/>
    <w:rsid w:val="003404A4"/>
    <w:rsid w:val="00342507"/>
    <w:rsid w:val="003428C3"/>
    <w:rsid w:val="00347104"/>
    <w:rsid w:val="00350852"/>
    <w:rsid w:val="0035096E"/>
    <w:rsid w:val="0035219F"/>
    <w:rsid w:val="003544B8"/>
    <w:rsid w:val="0035504E"/>
    <w:rsid w:val="00355D01"/>
    <w:rsid w:val="00360B81"/>
    <w:rsid w:val="0036146D"/>
    <w:rsid w:val="00366283"/>
    <w:rsid w:val="0036777E"/>
    <w:rsid w:val="003701FA"/>
    <w:rsid w:val="00372A26"/>
    <w:rsid w:val="0037484C"/>
    <w:rsid w:val="003749CD"/>
    <w:rsid w:val="00374A6C"/>
    <w:rsid w:val="00375091"/>
    <w:rsid w:val="00376785"/>
    <w:rsid w:val="00376C71"/>
    <w:rsid w:val="00380C91"/>
    <w:rsid w:val="00382718"/>
    <w:rsid w:val="00382B1E"/>
    <w:rsid w:val="00382B3B"/>
    <w:rsid w:val="00384B44"/>
    <w:rsid w:val="00385ED2"/>
    <w:rsid w:val="00386C45"/>
    <w:rsid w:val="003875F1"/>
    <w:rsid w:val="00391F86"/>
    <w:rsid w:val="003923FB"/>
    <w:rsid w:val="003926D3"/>
    <w:rsid w:val="00393841"/>
    <w:rsid w:val="00393F00"/>
    <w:rsid w:val="003945C0"/>
    <w:rsid w:val="00395F33"/>
    <w:rsid w:val="0039630C"/>
    <w:rsid w:val="003A25A7"/>
    <w:rsid w:val="003A32E0"/>
    <w:rsid w:val="003A42EF"/>
    <w:rsid w:val="003B053A"/>
    <w:rsid w:val="003B45E8"/>
    <w:rsid w:val="003B535C"/>
    <w:rsid w:val="003C154E"/>
    <w:rsid w:val="003C1911"/>
    <w:rsid w:val="003C2120"/>
    <w:rsid w:val="003C233D"/>
    <w:rsid w:val="003C49F6"/>
    <w:rsid w:val="003C7789"/>
    <w:rsid w:val="003D030E"/>
    <w:rsid w:val="003D040D"/>
    <w:rsid w:val="003D1F49"/>
    <w:rsid w:val="003D2061"/>
    <w:rsid w:val="003D22B0"/>
    <w:rsid w:val="003E0B3F"/>
    <w:rsid w:val="003E1FE3"/>
    <w:rsid w:val="003E2F2C"/>
    <w:rsid w:val="003E32A7"/>
    <w:rsid w:val="003E436F"/>
    <w:rsid w:val="003E4ED8"/>
    <w:rsid w:val="003F1A33"/>
    <w:rsid w:val="003F2AC0"/>
    <w:rsid w:val="003F3072"/>
    <w:rsid w:val="003F3D54"/>
    <w:rsid w:val="004024E4"/>
    <w:rsid w:val="00406289"/>
    <w:rsid w:val="00406578"/>
    <w:rsid w:val="00406774"/>
    <w:rsid w:val="004074EF"/>
    <w:rsid w:val="00407592"/>
    <w:rsid w:val="004102C3"/>
    <w:rsid w:val="00412409"/>
    <w:rsid w:val="00412771"/>
    <w:rsid w:val="0041307C"/>
    <w:rsid w:val="00413699"/>
    <w:rsid w:val="004167B4"/>
    <w:rsid w:val="004167BC"/>
    <w:rsid w:val="004174F3"/>
    <w:rsid w:val="0042032D"/>
    <w:rsid w:val="004225DC"/>
    <w:rsid w:val="004233CF"/>
    <w:rsid w:val="00423A41"/>
    <w:rsid w:val="00425FBA"/>
    <w:rsid w:val="00426282"/>
    <w:rsid w:val="00430D7E"/>
    <w:rsid w:val="00432332"/>
    <w:rsid w:val="00432368"/>
    <w:rsid w:val="00433156"/>
    <w:rsid w:val="00433B04"/>
    <w:rsid w:val="00436C17"/>
    <w:rsid w:val="0043784D"/>
    <w:rsid w:val="00440256"/>
    <w:rsid w:val="0044055C"/>
    <w:rsid w:val="00440E22"/>
    <w:rsid w:val="00443927"/>
    <w:rsid w:val="00443B5F"/>
    <w:rsid w:val="0044547D"/>
    <w:rsid w:val="00446F93"/>
    <w:rsid w:val="004503F1"/>
    <w:rsid w:val="00451A74"/>
    <w:rsid w:val="004552AB"/>
    <w:rsid w:val="00455791"/>
    <w:rsid w:val="0045622C"/>
    <w:rsid w:val="00461F29"/>
    <w:rsid w:val="004631AA"/>
    <w:rsid w:val="0046370A"/>
    <w:rsid w:val="00464FB1"/>
    <w:rsid w:val="00465398"/>
    <w:rsid w:val="00467185"/>
    <w:rsid w:val="00467736"/>
    <w:rsid w:val="0047050C"/>
    <w:rsid w:val="004750DB"/>
    <w:rsid w:val="00475365"/>
    <w:rsid w:val="004757A4"/>
    <w:rsid w:val="00476DF9"/>
    <w:rsid w:val="004772DB"/>
    <w:rsid w:val="00477970"/>
    <w:rsid w:val="00477E7D"/>
    <w:rsid w:val="004804A7"/>
    <w:rsid w:val="00480F21"/>
    <w:rsid w:val="0048108E"/>
    <w:rsid w:val="00485247"/>
    <w:rsid w:val="0048537F"/>
    <w:rsid w:val="00486844"/>
    <w:rsid w:val="004874E5"/>
    <w:rsid w:val="00487885"/>
    <w:rsid w:val="00490A65"/>
    <w:rsid w:val="0049116C"/>
    <w:rsid w:val="00491406"/>
    <w:rsid w:val="004930C9"/>
    <w:rsid w:val="00493F62"/>
    <w:rsid w:val="00494832"/>
    <w:rsid w:val="004957C2"/>
    <w:rsid w:val="00495AF1"/>
    <w:rsid w:val="00497A89"/>
    <w:rsid w:val="004A4CED"/>
    <w:rsid w:val="004A66CB"/>
    <w:rsid w:val="004A6BE6"/>
    <w:rsid w:val="004A7CA5"/>
    <w:rsid w:val="004B0828"/>
    <w:rsid w:val="004B3304"/>
    <w:rsid w:val="004B3DF1"/>
    <w:rsid w:val="004B4858"/>
    <w:rsid w:val="004B4BC0"/>
    <w:rsid w:val="004B5555"/>
    <w:rsid w:val="004B778D"/>
    <w:rsid w:val="004C0484"/>
    <w:rsid w:val="004C28AB"/>
    <w:rsid w:val="004C777E"/>
    <w:rsid w:val="004D16A4"/>
    <w:rsid w:val="004D2869"/>
    <w:rsid w:val="004D3044"/>
    <w:rsid w:val="004D5915"/>
    <w:rsid w:val="004E0C12"/>
    <w:rsid w:val="004E5450"/>
    <w:rsid w:val="004E6682"/>
    <w:rsid w:val="004E687C"/>
    <w:rsid w:val="004E6D8A"/>
    <w:rsid w:val="004F15EF"/>
    <w:rsid w:val="004F22FE"/>
    <w:rsid w:val="004F774D"/>
    <w:rsid w:val="005013B0"/>
    <w:rsid w:val="005015E4"/>
    <w:rsid w:val="005017A6"/>
    <w:rsid w:val="0050291D"/>
    <w:rsid w:val="005056D3"/>
    <w:rsid w:val="005064CD"/>
    <w:rsid w:val="00506C00"/>
    <w:rsid w:val="00511016"/>
    <w:rsid w:val="00511EE1"/>
    <w:rsid w:val="005120AA"/>
    <w:rsid w:val="005144F4"/>
    <w:rsid w:val="005159B3"/>
    <w:rsid w:val="00520FD5"/>
    <w:rsid w:val="00522C03"/>
    <w:rsid w:val="005236EB"/>
    <w:rsid w:val="00525EA4"/>
    <w:rsid w:val="0052791F"/>
    <w:rsid w:val="005305FB"/>
    <w:rsid w:val="00532CFF"/>
    <w:rsid w:val="00536880"/>
    <w:rsid w:val="00540422"/>
    <w:rsid w:val="00540AD0"/>
    <w:rsid w:val="00540BAE"/>
    <w:rsid w:val="00543A76"/>
    <w:rsid w:val="0054508E"/>
    <w:rsid w:val="005523D1"/>
    <w:rsid w:val="005535B9"/>
    <w:rsid w:val="00553737"/>
    <w:rsid w:val="0055532E"/>
    <w:rsid w:val="00555BC3"/>
    <w:rsid w:val="005575AC"/>
    <w:rsid w:val="005576DB"/>
    <w:rsid w:val="00557C8E"/>
    <w:rsid w:val="00561B2B"/>
    <w:rsid w:val="00562759"/>
    <w:rsid w:val="0056308F"/>
    <w:rsid w:val="0056357E"/>
    <w:rsid w:val="00564952"/>
    <w:rsid w:val="0056645F"/>
    <w:rsid w:val="00570E05"/>
    <w:rsid w:val="00571AB1"/>
    <w:rsid w:val="005727D0"/>
    <w:rsid w:val="00574F8B"/>
    <w:rsid w:val="00577E1C"/>
    <w:rsid w:val="00580DB1"/>
    <w:rsid w:val="005814AC"/>
    <w:rsid w:val="00584676"/>
    <w:rsid w:val="005854B7"/>
    <w:rsid w:val="00586CC2"/>
    <w:rsid w:val="00587AB1"/>
    <w:rsid w:val="0059070B"/>
    <w:rsid w:val="00592244"/>
    <w:rsid w:val="00592489"/>
    <w:rsid w:val="0059283C"/>
    <w:rsid w:val="005A0D95"/>
    <w:rsid w:val="005A224B"/>
    <w:rsid w:val="005B0254"/>
    <w:rsid w:val="005B1225"/>
    <w:rsid w:val="005B17D8"/>
    <w:rsid w:val="005B19EF"/>
    <w:rsid w:val="005B1D82"/>
    <w:rsid w:val="005B4077"/>
    <w:rsid w:val="005B4145"/>
    <w:rsid w:val="005B5130"/>
    <w:rsid w:val="005B54AB"/>
    <w:rsid w:val="005B761D"/>
    <w:rsid w:val="005C28B0"/>
    <w:rsid w:val="005C2F01"/>
    <w:rsid w:val="005C3B61"/>
    <w:rsid w:val="005C5F3C"/>
    <w:rsid w:val="005D01BE"/>
    <w:rsid w:val="005D1177"/>
    <w:rsid w:val="005D1D13"/>
    <w:rsid w:val="005D21C8"/>
    <w:rsid w:val="005D3ECF"/>
    <w:rsid w:val="005D495C"/>
    <w:rsid w:val="005D5460"/>
    <w:rsid w:val="005D549E"/>
    <w:rsid w:val="005E08CD"/>
    <w:rsid w:val="005E37E8"/>
    <w:rsid w:val="005E3D2B"/>
    <w:rsid w:val="005E50DF"/>
    <w:rsid w:val="005E729E"/>
    <w:rsid w:val="005E74C5"/>
    <w:rsid w:val="005F219D"/>
    <w:rsid w:val="005F2437"/>
    <w:rsid w:val="005F318A"/>
    <w:rsid w:val="005F4BE2"/>
    <w:rsid w:val="005F7710"/>
    <w:rsid w:val="006004F7"/>
    <w:rsid w:val="00603261"/>
    <w:rsid w:val="00607597"/>
    <w:rsid w:val="00610F93"/>
    <w:rsid w:val="006127CC"/>
    <w:rsid w:val="00613AD5"/>
    <w:rsid w:val="00615A2B"/>
    <w:rsid w:val="00615CA9"/>
    <w:rsid w:val="00617248"/>
    <w:rsid w:val="00623912"/>
    <w:rsid w:val="006243C6"/>
    <w:rsid w:val="006265E4"/>
    <w:rsid w:val="006273BC"/>
    <w:rsid w:val="00632009"/>
    <w:rsid w:val="0063267B"/>
    <w:rsid w:val="0063312B"/>
    <w:rsid w:val="00633CF1"/>
    <w:rsid w:val="00635A6C"/>
    <w:rsid w:val="00636074"/>
    <w:rsid w:val="00637091"/>
    <w:rsid w:val="00640B0C"/>
    <w:rsid w:val="00640F21"/>
    <w:rsid w:val="00642839"/>
    <w:rsid w:val="00643320"/>
    <w:rsid w:val="006457F8"/>
    <w:rsid w:val="00645CCB"/>
    <w:rsid w:val="0064700E"/>
    <w:rsid w:val="006478CB"/>
    <w:rsid w:val="006508CB"/>
    <w:rsid w:val="00650B88"/>
    <w:rsid w:val="00652C58"/>
    <w:rsid w:val="006530EF"/>
    <w:rsid w:val="00653B85"/>
    <w:rsid w:val="006554DD"/>
    <w:rsid w:val="00656517"/>
    <w:rsid w:val="00660246"/>
    <w:rsid w:val="00660951"/>
    <w:rsid w:val="006636E2"/>
    <w:rsid w:val="00663C7B"/>
    <w:rsid w:val="00666273"/>
    <w:rsid w:val="00667186"/>
    <w:rsid w:val="006677B3"/>
    <w:rsid w:val="00667FA9"/>
    <w:rsid w:val="0067233D"/>
    <w:rsid w:val="00672B2E"/>
    <w:rsid w:val="00673767"/>
    <w:rsid w:val="006745AE"/>
    <w:rsid w:val="00674670"/>
    <w:rsid w:val="00676870"/>
    <w:rsid w:val="00676AF3"/>
    <w:rsid w:val="00677895"/>
    <w:rsid w:val="00677BEF"/>
    <w:rsid w:val="00680761"/>
    <w:rsid w:val="00680807"/>
    <w:rsid w:val="006814A3"/>
    <w:rsid w:val="00682AFC"/>
    <w:rsid w:val="00683344"/>
    <w:rsid w:val="00684FC9"/>
    <w:rsid w:val="0069072B"/>
    <w:rsid w:val="006909CD"/>
    <w:rsid w:val="0069174B"/>
    <w:rsid w:val="00691992"/>
    <w:rsid w:val="00693340"/>
    <w:rsid w:val="006A04C7"/>
    <w:rsid w:val="006A3A4C"/>
    <w:rsid w:val="006A49A9"/>
    <w:rsid w:val="006A50A9"/>
    <w:rsid w:val="006B05E3"/>
    <w:rsid w:val="006B09BC"/>
    <w:rsid w:val="006B3656"/>
    <w:rsid w:val="006B57AC"/>
    <w:rsid w:val="006B6D5D"/>
    <w:rsid w:val="006B7B5A"/>
    <w:rsid w:val="006C0801"/>
    <w:rsid w:val="006C0C2C"/>
    <w:rsid w:val="006C1EAA"/>
    <w:rsid w:val="006C216F"/>
    <w:rsid w:val="006C2E70"/>
    <w:rsid w:val="006C45D4"/>
    <w:rsid w:val="006C60FF"/>
    <w:rsid w:val="006D0DE7"/>
    <w:rsid w:val="006D1D42"/>
    <w:rsid w:val="006D2042"/>
    <w:rsid w:val="006D4E56"/>
    <w:rsid w:val="006D66E3"/>
    <w:rsid w:val="006D7855"/>
    <w:rsid w:val="006E010C"/>
    <w:rsid w:val="006E1003"/>
    <w:rsid w:val="006E16BF"/>
    <w:rsid w:val="006E18F0"/>
    <w:rsid w:val="006E38AF"/>
    <w:rsid w:val="006E4F93"/>
    <w:rsid w:val="006E61BD"/>
    <w:rsid w:val="006F0814"/>
    <w:rsid w:val="006F1174"/>
    <w:rsid w:val="006F2A8E"/>
    <w:rsid w:val="006F33C3"/>
    <w:rsid w:val="00700135"/>
    <w:rsid w:val="00705180"/>
    <w:rsid w:val="00711605"/>
    <w:rsid w:val="00711DF6"/>
    <w:rsid w:val="0071410F"/>
    <w:rsid w:val="00716FBC"/>
    <w:rsid w:val="00717090"/>
    <w:rsid w:val="00720739"/>
    <w:rsid w:val="0072118A"/>
    <w:rsid w:val="0072253E"/>
    <w:rsid w:val="00722B1F"/>
    <w:rsid w:val="00723E1F"/>
    <w:rsid w:val="0072443D"/>
    <w:rsid w:val="007247E5"/>
    <w:rsid w:val="007248B7"/>
    <w:rsid w:val="007254CA"/>
    <w:rsid w:val="0073090C"/>
    <w:rsid w:val="00730CF8"/>
    <w:rsid w:val="00731A90"/>
    <w:rsid w:val="00732608"/>
    <w:rsid w:val="00733251"/>
    <w:rsid w:val="007360A2"/>
    <w:rsid w:val="00736DCA"/>
    <w:rsid w:val="00743A87"/>
    <w:rsid w:val="00745C47"/>
    <w:rsid w:val="00747968"/>
    <w:rsid w:val="00747974"/>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6E31"/>
    <w:rsid w:val="00787656"/>
    <w:rsid w:val="00791767"/>
    <w:rsid w:val="0079268A"/>
    <w:rsid w:val="00794859"/>
    <w:rsid w:val="00795191"/>
    <w:rsid w:val="00796BA9"/>
    <w:rsid w:val="00797C88"/>
    <w:rsid w:val="007A1013"/>
    <w:rsid w:val="007A4CA9"/>
    <w:rsid w:val="007A4CCA"/>
    <w:rsid w:val="007A7D19"/>
    <w:rsid w:val="007A7EC2"/>
    <w:rsid w:val="007B042D"/>
    <w:rsid w:val="007B05BB"/>
    <w:rsid w:val="007B1AB1"/>
    <w:rsid w:val="007B325E"/>
    <w:rsid w:val="007B6E0A"/>
    <w:rsid w:val="007B764C"/>
    <w:rsid w:val="007B766E"/>
    <w:rsid w:val="007B7F89"/>
    <w:rsid w:val="007C118A"/>
    <w:rsid w:val="007C24F3"/>
    <w:rsid w:val="007C2F8A"/>
    <w:rsid w:val="007C5177"/>
    <w:rsid w:val="007C636F"/>
    <w:rsid w:val="007C78B9"/>
    <w:rsid w:val="007D0C42"/>
    <w:rsid w:val="007D3473"/>
    <w:rsid w:val="007D39EB"/>
    <w:rsid w:val="007E239C"/>
    <w:rsid w:val="007E3929"/>
    <w:rsid w:val="007E74E1"/>
    <w:rsid w:val="007E77A8"/>
    <w:rsid w:val="007F294B"/>
    <w:rsid w:val="007F3612"/>
    <w:rsid w:val="007F491C"/>
    <w:rsid w:val="007F6B87"/>
    <w:rsid w:val="00800D14"/>
    <w:rsid w:val="0080132A"/>
    <w:rsid w:val="00803BF8"/>
    <w:rsid w:val="008056B0"/>
    <w:rsid w:val="008061C9"/>
    <w:rsid w:val="008061EF"/>
    <w:rsid w:val="008066D8"/>
    <w:rsid w:val="008068AB"/>
    <w:rsid w:val="0080723B"/>
    <w:rsid w:val="00811A18"/>
    <w:rsid w:val="00813711"/>
    <w:rsid w:val="00821E64"/>
    <w:rsid w:val="008226A3"/>
    <w:rsid w:val="008263C2"/>
    <w:rsid w:val="008307DB"/>
    <w:rsid w:val="00832FE3"/>
    <w:rsid w:val="00833085"/>
    <w:rsid w:val="00833398"/>
    <w:rsid w:val="00835D9D"/>
    <w:rsid w:val="00835FC9"/>
    <w:rsid w:val="00836684"/>
    <w:rsid w:val="008366E7"/>
    <w:rsid w:val="00836759"/>
    <w:rsid w:val="008368F8"/>
    <w:rsid w:val="008370E3"/>
    <w:rsid w:val="00840D27"/>
    <w:rsid w:val="008418FA"/>
    <w:rsid w:val="00842959"/>
    <w:rsid w:val="00843390"/>
    <w:rsid w:val="00845E52"/>
    <w:rsid w:val="0085235A"/>
    <w:rsid w:val="00854138"/>
    <w:rsid w:val="00854410"/>
    <w:rsid w:val="008544DF"/>
    <w:rsid w:val="008559FE"/>
    <w:rsid w:val="008561B3"/>
    <w:rsid w:val="00857C73"/>
    <w:rsid w:val="00860005"/>
    <w:rsid w:val="00860AAD"/>
    <w:rsid w:val="00861AA6"/>
    <w:rsid w:val="00866268"/>
    <w:rsid w:val="00866A50"/>
    <w:rsid w:val="00870365"/>
    <w:rsid w:val="008708F3"/>
    <w:rsid w:val="00871354"/>
    <w:rsid w:val="00873611"/>
    <w:rsid w:val="00873C8F"/>
    <w:rsid w:val="00874FB3"/>
    <w:rsid w:val="00876FCB"/>
    <w:rsid w:val="00877ADA"/>
    <w:rsid w:val="00880BE3"/>
    <w:rsid w:val="00881359"/>
    <w:rsid w:val="00882093"/>
    <w:rsid w:val="00882588"/>
    <w:rsid w:val="00884ADE"/>
    <w:rsid w:val="008856CF"/>
    <w:rsid w:val="00885864"/>
    <w:rsid w:val="00890A1D"/>
    <w:rsid w:val="00892F27"/>
    <w:rsid w:val="0089383B"/>
    <w:rsid w:val="0089534B"/>
    <w:rsid w:val="0089616F"/>
    <w:rsid w:val="008A0232"/>
    <w:rsid w:val="008B0470"/>
    <w:rsid w:val="008B04A4"/>
    <w:rsid w:val="008B06C5"/>
    <w:rsid w:val="008B164E"/>
    <w:rsid w:val="008B502A"/>
    <w:rsid w:val="008B57D8"/>
    <w:rsid w:val="008B7A65"/>
    <w:rsid w:val="008C1219"/>
    <w:rsid w:val="008C123E"/>
    <w:rsid w:val="008C137D"/>
    <w:rsid w:val="008C2111"/>
    <w:rsid w:val="008C22DD"/>
    <w:rsid w:val="008C3ED0"/>
    <w:rsid w:val="008C5E94"/>
    <w:rsid w:val="008D196A"/>
    <w:rsid w:val="008D25AE"/>
    <w:rsid w:val="008E03E8"/>
    <w:rsid w:val="008E04E1"/>
    <w:rsid w:val="008E3EF2"/>
    <w:rsid w:val="008E51C9"/>
    <w:rsid w:val="008E5BEB"/>
    <w:rsid w:val="008E6306"/>
    <w:rsid w:val="008F18D0"/>
    <w:rsid w:val="008F21A8"/>
    <w:rsid w:val="008F5A85"/>
    <w:rsid w:val="008F68F7"/>
    <w:rsid w:val="009005A6"/>
    <w:rsid w:val="009006CF"/>
    <w:rsid w:val="00900C71"/>
    <w:rsid w:val="00902A1C"/>
    <w:rsid w:val="009037B6"/>
    <w:rsid w:val="0090536A"/>
    <w:rsid w:val="00906CBE"/>
    <w:rsid w:val="00910024"/>
    <w:rsid w:val="00910384"/>
    <w:rsid w:val="00911BDE"/>
    <w:rsid w:val="00913F8E"/>
    <w:rsid w:val="0091643D"/>
    <w:rsid w:val="00916E33"/>
    <w:rsid w:val="0092093B"/>
    <w:rsid w:val="00921AF4"/>
    <w:rsid w:val="00924583"/>
    <w:rsid w:val="00925911"/>
    <w:rsid w:val="00925FD2"/>
    <w:rsid w:val="009273FD"/>
    <w:rsid w:val="00930669"/>
    <w:rsid w:val="00932C33"/>
    <w:rsid w:val="00934FA9"/>
    <w:rsid w:val="0094003E"/>
    <w:rsid w:val="009408B6"/>
    <w:rsid w:val="009427A1"/>
    <w:rsid w:val="00942FFE"/>
    <w:rsid w:val="00946062"/>
    <w:rsid w:val="00946B12"/>
    <w:rsid w:val="00947B46"/>
    <w:rsid w:val="00951887"/>
    <w:rsid w:val="00954FB1"/>
    <w:rsid w:val="009551E0"/>
    <w:rsid w:val="009554DF"/>
    <w:rsid w:val="00955E0D"/>
    <w:rsid w:val="0095654E"/>
    <w:rsid w:val="00956F3C"/>
    <w:rsid w:val="00957646"/>
    <w:rsid w:val="009578A4"/>
    <w:rsid w:val="009609B2"/>
    <w:rsid w:val="00963C4A"/>
    <w:rsid w:val="00966F91"/>
    <w:rsid w:val="00971C34"/>
    <w:rsid w:val="00972161"/>
    <w:rsid w:val="00972488"/>
    <w:rsid w:val="009726D0"/>
    <w:rsid w:val="0097421D"/>
    <w:rsid w:val="00976117"/>
    <w:rsid w:val="00976A23"/>
    <w:rsid w:val="009800BC"/>
    <w:rsid w:val="009816F6"/>
    <w:rsid w:val="0098702F"/>
    <w:rsid w:val="009900F0"/>
    <w:rsid w:val="00990B9B"/>
    <w:rsid w:val="00991769"/>
    <w:rsid w:val="00992397"/>
    <w:rsid w:val="00992DB2"/>
    <w:rsid w:val="00993236"/>
    <w:rsid w:val="00993321"/>
    <w:rsid w:val="00993D8C"/>
    <w:rsid w:val="00994E3D"/>
    <w:rsid w:val="00996126"/>
    <w:rsid w:val="00996551"/>
    <w:rsid w:val="009A02E1"/>
    <w:rsid w:val="009A235B"/>
    <w:rsid w:val="009A2858"/>
    <w:rsid w:val="009A297E"/>
    <w:rsid w:val="009A6127"/>
    <w:rsid w:val="009B0CC1"/>
    <w:rsid w:val="009B12B8"/>
    <w:rsid w:val="009B27E1"/>
    <w:rsid w:val="009B348D"/>
    <w:rsid w:val="009B713C"/>
    <w:rsid w:val="009B785F"/>
    <w:rsid w:val="009C0F18"/>
    <w:rsid w:val="009C12C6"/>
    <w:rsid w:val="009C2555"/>
    <w:rsid w:val="009C6416"/>
    <w:rsid w:val="009C7778"/>
    <w:rsid w:val="009D06AE"/>
    <w:rsid w:val="009D09E2"/>
    <w:rsid w:val="009D0C34"/>
    <w:rsid w:val="009D1E42"/>
    <w:rsid w:val="009D1FB0"/>
    <w:rsid w:val="009D7148"/>
    <w:rsid w:val="009E02FD"/>
    <w:rsid w:val="009E4C74"/>
    <w:rsid w:val="009E62B6"/>
    <w:rsid w:val="009F35DA"/>
    <w:rsid w:val="009F43D0"/>
    <w:rsid w:val="00A00568"/>
    <w:rsid w:val="00A00884"/>
    <w:rsid w:val="00A01F5F"/>
    <w:rsid w:val="00A02F62"/>
    <w:rsid w:val="00A02FA3"/>
    <w:rsid w:val="00A030C3"/>
    <w:rsid w:val="00A04803"/>
    <w:rsid w:val="00A04E7B"/>
    <w:rsid w:val="00A068EF"/>
    <w:rsid w:val="00A069DA"/>
    <w:rsid w:val="00A10147"/>
    <w:rsid w:val="00A11331"/>
    <w:rsid w:val="00A131E6"/>
    <w:rsid w:val="00A13843"/>
    <w:rsid w:val="00A146A5"/>
    <w:rsid w:val="00A14A46"/>
    <w:rsid w:val="00A17466"/>
    <w:rsid w:val="00A20275"/>
    <w:rsid w:val="00A204B3"/>
    <w:rsid w:val="00A20576"/>
    <w:rsid w:val="00A21593"/>
    <w:rsid w:val="00A221F7"/>
    <w:rsid w:val="00A22C21"/>
    <w:rsid w:val="00A23EE1"/>
    <w:rsid w:val="00A2604E"/>
    <w:rsid w:val="00A264BA"/>
    <w:rsid w:val="00A27CA4"/>
    <w:rsid w:val="00A30B71"/>
    <w:rsid w:val="00A31CCE"/>
    <w:rsid w:val="00A33C95"/>
    <w:rsid w:val="00A34FF3"/>
    <w:rsid w:val="00A35351"/>
    <w:rsid w:val="00A353AE"/>
    <w:rsid w:val="00A361C7"/>
    <w:rsid w:val="00A36723"/>
    <w:rsid w:val="00A40952"/>
    <w:rsid w:val="00A41815"/>
    <w:rsid w:val="00A428EF"/>
    <w:rsid w:val="00A43C1C"/>
    <w:rsid w:val="00A46DF5"/>
    <w:rsid w:val="00A47FD3"/>
    <w:rsid w:val="00A50908"/>
    <w:rsid w:val="00A5149A"/>
    <w:rsid w:val="00A53650"/>
    <w:rsid w:val="00A53D9C"/>
    <w:rsid w:val="00A53E51"/>
    <w:rsid w:val="00A54DA8"/>
    <w:rsid w:val="00A57183"/>
    <w:rsid w:val="00A6019C"/>
    <w:rsid w:val="00A60693"/>
    <w:rsid w:val="00A6196D"/>
    <w:rsid w:val="00A619C0"/>
    <w:rsid w:val="00A61ADF"/>
    <w:rsid w:val="00A624CB"/>
    <w:rsid w:val="00A62AC0"/>
    <w:rsid w:val="00A643A3"/>
    <w:rsid w:val="00A7052D"/>
    <w:rsid w:val="00A75859"/>
    <w:rsid w:val="00A76BD2"/>
    <w:rsid w:val="00A8267D"/>
    <w:rsid w:val="00A82E14"/>
    <w:rsid w:val="00A840A5"/>
    <w:rsid w:val="00A86775"/>
    <w:rsid w:val="00A8688E"/>
    <w:rsid w:val="00A8722B"/>
    <w:rsid w:val="00A901E9"/>
    <w:rsid w:val="00A917B6"/>
    <w:rsid w:val="00A91831"/>
    <w:rsid w:val="00A91B3B"/>
    <w:rsid w:val="00A922F6"/>
    <w:rsid w:val="00A92BCB"/>
    <w:rsid w:val="00A935DB"/>
    <w:rsid w:val="00A93B4F"/>
    <w:rsid w:val="00A94F7A"/>
    <w:rsid w:val="00A95D3B"/>
    <w:rsid w:val="00A97341"/>
    <w:rsid w:val="00AA0081"/>
    <w:rsid w:val="00AA1705"/>
    <w:rsid w:val="00AA3EB7"/>
    <w:rsid w:val="00AA4E4D"/>
    <w:rsid w:val="00AA6DAE"/>
    <w:rsid w:val="00AB0774"/>
    <w:rsid w:val="00AB09ED"/>
    <w:rsid w:val="00AB2629"/>
    <w:rsid w:val="00AB31E6"/>
    <w:rsid w:val="00AB3985"/>
    <w:rsid w:val="00AB3AF1"/>
    <w:rsid w:val="00AB3DC0"/>
    <w:rsid w:val="00AB4CBB"/>
    <w:rsid w:val="00AB6297"/>
    <w:rsid w:val="00AB7CED"/>
    <w:rsid w:val="00AC0069"/>
    <w:rsid w:val="00AC125E"/>
    <w:rsid w:val="00AC45DF"/>
    <w:rsid w:val="00AC474D"/>
    <w:rsid w:val="00AC4DFD"/>
    <w:rsid w:val="00AC5663"/>
    <w:rsid w:val="00AC58FD"/>
    <w:rsid w:val="00AD0F6D"/>
    <w:rsid w:val="00AD1166"/>
    <w:rsid w:val="00AD1906"/>
    <w:rsid w:val="00AD19D2"/>
    <w:rsid w:val="00AD1A96"/>
    <w:rsid w:val="00AD22A7"/>
    <w:rsid w:val="00AD2522"/>
    <w:rsid w:val="00AD3042"/>
    <w:rsid w:val="00AD333C"/>
    <w:rsid w:val="00AD71D7"/>
    <w:rsid w:val="00AD7218"/>
    <w:rsid w:val="00AD793A"/>
    <w:rsid w:val="00AE0120"/>
    <w:rsid w:val="00AE3038"/>
    <w:rsid w:val="00AE3D4A"/>
    <w:rsid w:val="00AE5956"/>
    <w:rsid w:val="00AE619F"/>
    <w:rsid w:val="00AE7A88"/>
    <w:rsid w:val="00AF2A56"/>
    <w:rsid w:val="00AF3EE2"/>
    <w:rsid w:val="00AF4A34"/>
    <w:rsid w:val="00AF63AB"/>
    <w:rsid w:val="00AF783E"/>
    <w:rsid w:val="00B011C4"/>
    <w:rsid w:val="00B01784"/>
    <w:rsid w:val="00B0388B"/>
    <w:rsid w:val="00B03BEE"/>
    <w:rsid w:val="00B0517E"/>
    <w:rsid w:val="00B11314"/>
    <w:rsid w:val="00B113E3"/>
    <w:rsid w:val="00B1156A"/>
    <w:rsid w:val="00B138E3"/>
    <w:rsid w:val="00B13FB5"/>
    <w:rsid w:val="00B1453F"/>
    <w:rsid w:val="00B15ED0"/>
    <w:rsid w:val="00B16EDF"/>
    <w:rsid w:val="00B17315"/>
    <w:rsid w:val="00B17610"/>
    <w:rsid w:val="00B178FA"/>
    <w:rsid w:val="00B17D8E"/>
    <w:rsid w:val="00B200E0"/>
    <w:rsid w:val="00B207C3"/>
    <w:rsid w:val="00B21227"/>
    <w:rsid w:val="00B23267"/>
    <w:rsid w:val="00B23906"/>
    <w:rsid w:val="00B23AF4"/>
    <w:rsid w:val="00B257BF"/>
    <w:rsid w:val="00B27149"/>
    <w:rsid w:val="00B34454"/>
    <w:rsid w:val="00B35B4D"/>
    <w:rsid w:val="00B362F0"/>
    <w:rsid w:val="00B36652"/>
    <w:rsid w:val="00B40F71"/>
    <w:rsid w:val="00B425AB"/>
    <w:rsid w:val="00B442A6"/>
    <w:rsid w:val="00B47090"/>
    <w:rsid w:val="00B47583"/>
    <w:rsid w:val="00B532D1"/>
    <w:rsid w:val="00B608AF"/>
    <w:rsid w:val="00B61E3E"/>
    <w:rsid w:val="00B626BC"/>
    <w:rsid w:val="00B64356"/>
    <w:rsid w:val="00B67A79"/>
    <w:rsid w:val="00B71970"/>
    <w:rsid w:val="00B72D62"/>
    <w:rsid w:val="00B767AF"/>
    <w:rsid w:val="00B80511"/>
    <w:rsid w:val="00B80798"/>
    <w:rsid w:val="00B80876"/>
    <w:rsid w:val="00B82C0C"/>
    <w:rsid w:val="00B82C3C"/>
    <w:rsid w:val="00B82DE6"/>
    <w:rsid w:val="00B831CD"/>
    <w:rsid w:val="00B85329"/>
    <w:rsid w:val="00B91B9D"/>
    <w:rsid w:val="00B91FC8"/>
    <w:rsid w:val="00BA5E20"/>
    <w:rsid w:val="00BA607C"/>
    <w:rsid w:val="00BA6734"/>
    <w:rsid w:val="00BB21CA"/>
    <w:rsid w:val="00BB3442"/>
    <w:rsid w:val="00BB3E2A"/>
    <w:rsid w:val="00BB3FA7"/>
    <w:rsid w:val="00BB61DD"/>
    <w:rsid w:val="00BB69EB"/>
    <w:rsid w:val="00BB7121"/>
    <w:rsid w:val="00BC0479"/>
    <w:rsid w:val="00BC1032"/>
    <w:rsid w:val="00BC1651"/>
    <w:rsid w:val="00BC16F5"/>
    <w:rsid w:val="00BC18FF"/>
    <w:rsid w:val="00BC287D"/>
    <w:rsid w:val="00BC2A38"/>
    <w:rsid w:val="00BC46EB"/>
    <w:rsid w:val="00BC643B"/>
    <w:rsid w:val="00BD0D80"/>
    <w:rsid w:val="00BD32E5"/>
    <w:rsid w:val="00BD36C4"/>
    <w:rsid w:val="00BE0B5F"/>
    <w:rsid w:val="00BE1095"/>
    <w:rsid w:val="00BE150A"/>
    <w:rsid w:val="00BE6767"/>
    <w:rsid w:val="00BE78EC"/>
    <w:rsid w:val="00BF39BC"/>
    <w:rsid w:val="00BF3C7D"/>
    <w:rsid w:val="00BF46EE"/>
    <w:rsid w:val="00C02138"/>
    <w:rsid w:val="00C02E3E"/>
    <w:rsid w:val="00C05394"/>
    <w:rsid w:val="00C0613C"/>
    <w:rsid w:val="00C10D05"/>
    <w:rsid w:val="00C123C0"/>
    <w:rsid w:val="00C14FBA"/>
    <w:rsid w:val="00C15EA1"/>
    <w:rsid w:val="00C17A8E"/>
    <w:rsid w:val="00C231BB"/>
    <w:rsid w:val="00C240F3"/>
    <w:rsid w:val="00C24A2E"/>
    <w:rsid w:val="00C24F70"/>
    <w:rsid w:val="00C25DC2"/>
    <w:rsid w:val="00C26395"/>
    <w:rsid w:val="00C321B8"/>
    <w:rsid w:val="00C33479"/>
    <w:rsid w:val="00C365BD"/>
    <w:rsid w:val="00C40ED2"/>
    <w:rsid w:val="00C41F10"/>
    <w:rsid w:val="00C432DD"/>
    <w:rsid w:val="00C4337F"/>
    <w:rsid w:val="00C4423A"/>
    <w:rsid w:val="00C444C2"/>
    <w:rsid w:val="00C44A23"/>
    <w:rsid w:val="00C501FE"/>
    <w:rsid w:val="00C5784B"/>
    <w:rsid w:val="00C639FF"/>
    <w:rsid w:val="00C6442A"/>
    <w:rsid w:val="00C64D15"/>
    <w:rsid w:val="00C66088"/>
    <w:rsid w:val="00C66B40"/>
    <w:rsid w:val="00C67C4C"/>
    <w:rsid w:val="00C7280E"/>
    <w:rsid w:val="00C73372"/>
    <w:rsid w:val="00C74B5D"/>
    <w:rsid w:val="00C74F74"/>
    <w:rsid w:val="00C7554B"/>
    <w:rsid w:val="00C75B96"/>
    <w:rsid w:val="00C760D9"/>
    <w:rsid w:val="00C80951"/>
    <w:rsid w:val="00C812DE"/>
    <w:rsid w:val="00C8205E"/>
    <w:rsid w:val="00C82EB5"/>
    <w:rsid w:val="00C84779"/>
    <w:rsid w:val="00C8633F"/>
    <w:rsid w:val="00C87489"/>
    <w:rsid w:val="00C87966"/>
    <w:rsid w:val="00C902DE"/>
    <w:rsid w:val="00C90897"/>
    <w:rsid w:val="00C916AE"/>
    <w:rsid w:val="00C93AAA"/>
    <w:rsid w:val="00C95FCD"/>
    <w:rsid w:val="00C97188"/>
    <w:rsid w:val="00C97242"/>
    <w:rsid w:val="00CA0639"/>
    <w:rsid w:val="00CA11D0"/>
    <w:rsid w:val="00CA2E02"/>
    <w:rsid w:val="00CA3EED"/>
    <w:rsid w:val="00CA583A"/>
    <w:rsid w:val="00CA5E3D"/>
    <w:rsid w:val="00CA5EC6"/>
    <w:rsid w:val="00CB0636"/>
    <w:rsid w:val="00CB424B"/>
    <w:rsid w:val="00CB5744"/>
    <w:rsid w:val="00CB7022"/>
    <w:rsid w:val="00CB7BC5"/>
    <w:rsid w:val="00CC2138"/>
    <w:rsid w:val="00CC586D"/>
    <w:rsid w:val="00CC7DBC"/>
    <w:rsid w:val="00CD1BA3"/>
    <w:rsid w:val="00CD1D23"/>
    <w:rsid w:val="00CD3612"/>
    <w:rsid w:val="00CD3E69"/>
    <w:rsid w:val="00CD539A"/>
    <w:rsid w:val="00CD636B"/>
    <w:rsid w:val="00CD6B7D"/>
    <w:rsid w:val="00CD7407"/>
    <w:rsid w:val="00CD7D29"/>
    <w:rsid w:val="00CE0847"/>
    <w:rsid w:val="00CE0B6C"/>
    <w:rsid w:val="00CE11D0"/>
    <w:rsid w:val="00CE207A"/>
    <w:rsid w:val="00CE4708"/>
    <w:rsid w:val="00CE4C50"/>
    <w:rsid w:val="00CE6858"/>
    <w:rsid w:val="00CE7450"/>
    <w:rsid w:val="00CE754E"/>
    <w:rsid w:val="00CE770C"/>
    <w:rsid w:val="00CF0E9B"/>
    <w:rsid w:val="00CF50BE"/>
    <w:rsid w:val="00CF7625"/>
    <w:rsid w:val="00D006B4"/>
    <w:rsid w:val="00D0180A"/>
    <w:rsid w:val="00D01A19"/>
    <w:rsid w:val="00D03D9E"/>
    <w:rsid w:val="00D0506A"/>
    <w:rsid w:val="00D1289C"/>
    <w:rsid w:val="00D12DBA"/>
    <w:rsid w:val="00D1666F"/>
    <w:rsid w:val="00D2071A"/>
    <w:rsid w:val="00D260F6"/>
    <w:rsid w:val="00D30F73"/>
    <w:rsid w:val="00D30F97"/>
    <w:rsid w:val="00D313A0"/>
    <w:rsid w:val="00D36FE0"/>
    <w:rsid w:val="00D40799"/>
    <w:rsid w:val="00D41A06"/>
    <w:rsid w:val="00D42ABF"/>
    <w:rsid w:val="00D42F40"/>
    <w:rsid w:val="00D454C4"/>
    <w:rsid w:val="00D45B67"/>
    <w:rsid w:val="00D4618F"/>
    <w:rsid w:val="00D5034A"/>
    <w:rsid w:val="00D51F49"/>
    <w:rsid w:val="00D524DF"/>
    <w:rsid w:val="00D556EA"/>
    <w:rsid w:val="00D557FE"/>
    <w:rsid w:val="00D55EE8"/>
    <w:rsid w:val="00D562CB"/>
    <w:rsid w:val="00D5637B"/>
    <w:rsid w:val="00D569D1"/>
    <w:rsid w:val="00D56AD8"/>
    <w:rsid w:val="00D56C05"/>
    <w:rsid w:val="00D5785A"/>
    <w:rsid w:val="00D6375F"/>
    <w:rsid w:val="00D64C48"/>
    <w:rsid w:val="00D6680B"/>
    <w:rsid w:val="00D7184A"/>
    <w:rsid w:val="00D72F4F"/>
    <w:rsid w:val="00D731C4"/>
    <w:rsid w:val="00D74EB4"/>
    <w:rsid w:val="00D761DD"/>
    <w:rsid w:val="00D8001E"/>
    <w:rsid w:val="00D801FC"/>
    <w:rsid w:val="00D81BBC"/>
    <w:rsid w:val="00D84679"/>
    <w:rsid w:val="00D84FFA"/>
    <w:rsid w:val="00D85BE0"/>
    <w:rsid w:val="00D862B5"/>
    <w:rsid w:val="00D87FD7"/>
    <w:rsid w:val="00D91466"/>
    <w:rsid w:val="00D915ED"/>
    <w:rsid w:val="00D92300"/>
    <w:rsid w:val="00D94092"/>
    <w:rsid w:val="00D94AFC"/>
    <w:rsid w:val="00D950E6"/>
    <w:rsid w:val="00D97047"/>
    <w:rsid w:val="00DA3619"/>
    <w:rsid w:val="00DA593C"/>
    <w:rsid w:val="00DA6822"/>
    <w:rsid w:val="00DA7697"/>
    <w:rsid w:val="00DB0B88"/>
    <w:rsid w:val="00DB1652"/>
    <w:rsid w:val="00DB58A6"/>
    <w:rsid w:val="00DB6B99"/>
    <w:rsid w:val="00DC001A"/>
    <w:rsid w:val="00DC4DDF"/>
    <w:rsid w:val="00DD055F"/>
    <w:rsid w:val="00DD2729"/>
    <w:rsid w:val="00DD4F44"/>
    <w:rsid w:val="00DD686C"/>
    <w:rsid w:val="00DE247E"/>
    <w:rsid w:val="00DE296C"/>
    <w:rsid w:val="00DE2AC3"/>
    <w:rsid w:val="00DE2E40"/>
    <w:rsid w:val="00DE3598"/>
    <w:rsid w:val="00DE3FBD"/>
    <w:rsid w:val="00DE43F5"/>
    <w:rsid w:val="00DE65FB"/>
    <w:rsid w:val="00DF420A"/>
    <w:rsid w:val="00DF77A7"/>
    <w:rsid w:val="00E02472"/>
    <w:rsid w:val="00E0305E"/>
    <w:rsid w:val="00E041F0"/>
    <w:rsid w:val="00E128D5"/>
    <w:rsid w:val="00E128D8"/>
    <w:rsid w:val="00E130C3"/>
    <w:rsid w:val="00E14E81"/>
    <w:rsid w:val="00E17EDF"/>
    <w:rsid w:val="00E2082D"/>
    <w:rsid w:val="00E210DD"/>
    <w:rsid w:val="00E221E2"/>
    <w:rsid w:val="00E24303"/>
    <w:rsid w:val="00E27A16"/>
    <w:rsid w:val="00E335DF"/>
    <w:rsid w:val="00E40F7B"/>
    <w:rsid w:val="00E432A2"/>
    <w:rsid w:val="00E457A5"/>
    <w:rsid w:val="00E45E62"/>
    <w:rsid w:val="00E46095"/>
    <w:rsid w:val="00E46D60"/>
    <w:rsid w:val="00E47C33"/>
    <w:rsid w:val="00E47F58"/>
    <w:rsid w:val="00E5109A"/>
    <w:rsid w:val="00E53FFB"/>
    <w:rsid w:val="00E54BFC"/>
    <w:rsid w:val="00E56D9D"/>
    <w:rsid w:val="00E60443"/>
    <w:rsid w:val="00E60870"/>
    <w:rsid w:val="00E60E2E"/>
    <w:rsid w:val="00E648A6"/>
    <w:rsid w:val="00E6787E"/>
    <w:rsid w:val="00E71A2D"/>
    <w:rsid w:val="00E74A25"/>
    <w:rsid w:val="00E74A73"/>
    <w:rsid w:val="00E823C1"/>
    <w:rsid w:val="00E82DB7"/>
    <w:rsid w:val="00E8579C"/>
    <w:rsid w:val="00E865FE"/>
    <w:rsid w:val="00E86D45"/>
    <w:rsid w:val="00E91408"/>
    <w:rsid w:val="00E91759"/>
    <w:rsid w:val="00E92EF9"/>
    <w:rsid w:val="00E9654B"/>
    <w:rsid w:val="00EA18DB"/>
    <w:rsid w:val="00EA2FBA"/>
    <w:rsid w:val="00EA4DC5"/>
    <w:rsid w:val="00EA66DF"/>
    <w:rsid w:val="00EA6ADC"/>
    <w:rsid w:val="00EB13A7"/>
    <w:rsid w:val="00EB14DF"/>
    <w:rsid w:val="00EB1A4D"/>
    <w:rsid w:val="00EB3A07"/>
    <w:rsid w:val="00EB5539"/>
    <w:rsid w:val="00EC3F31"/>
    <w:rsid w:val="00EC52E7"/>
    <w:rsid w:val="00ED246E"/>
    <w:rsid w:val="00ED3698"/>
    <w:rsid w:val="00ED4794"/>
    <w:rsid w:val="00EE265C"/>
    <w:rsid w:val="00EE56DD"/>
    <w:rsid w:val="00EE5C63"/>
    <w:rsid w:val="00EF0848"/>
    <w:rsid w:val="00EF5ACE"/>
    <w:rsid w:val="00F003B3"/>
    <w:rsid w:val="00F0095C"/>
    <w:rsid w:val="00F01129"/>
    <w:rsid w:val="00F01CCA"/>
    <w:rsid w:val="00F01D8C"/>
    <w:rsid w:val="00F01F2C"/>
    <w:rsid w:val="00F02104"/>
    <w:rsid w:val="00F04455"/>
    <w:rsid w:val="00F06C17"/>
    <w:rsid w:val="00F06F06"/>
    <w:rsid w:val="00F12120"/>
    <w:rsid w:val="00F1289E"/>
    <w:rsid w:val="00F162AA"/>
    <w:rsid w:val="00F1632B"/>
    <w:rsid w:val="00F20479"/>
    <w:rsid w:val="00F334CB"/>
    <w:rsid w:val="00F3495A"/>
    <w:rsid w:val="00F34E2C"/>
    <w:rsid w:val="00F370BC"/>
    <w:rsid w:val="00F37143"/>
    <w:rsid w:val="00F37D84"/>
    <w:rsid w:val="00F42D9C"/>
    <w:rsid w:val="00F45EEC"/>
    <w:rsid w:val="00F50562"/>
    <w:rsid w:val="00F50A92"/>
    <w:rsid w:val="00F50D01"/>
    <w:rsid w:val="00F51382"/>
    <w:rsid w:val="00F56BC1"/>
    <w:rsid w:val="00F6035E"/>
    <w:rsid w:val="00F618C4"/>
    <w:rsid w:val="00F624AE"/>
    <w:rsid w:val="00F62BB2"/>
    <w:rsid w:val="00F64B4C"/>
    <w:rsid w:val="00F65774"/>
    <w:rsid w:val="00F65A34"/>
    <w:rsid w:val="00F65F4C"/>
    <w:rsid w:val="00F671FA"/>
    <w:rsid w:val="00F702D0"/>
    <w:rsid w:val="00F71A60"/>
    <w:rsid w:val="00F725DA"/>
    <w:rsid w:val="00F7536E"/>
    <w:rsid w:val="00F75652"/>
    <w:rsid w:val="00F77ABB"/>
    <w:rsid w:val="00F8168B"/>
    <w:rsid w:val="00F81CF2"/>
    <w:rsid w:val="00F81F93"/>
    <w:rsid w:val="00F857D1"/>
    <w:rsid w:val="00F863E7"/>
    <w:rsid w:val="00F91DCC"/>
    <w:rsid w:val="00F9323F"/>
    <w:rsid w:val="00F943FE"/>
    <w:rsid w:val="00F95814"/>
    <w:rsid w:val="00F95CE9"/>
    <w:rsid w:val="00F97100"/>
    <w:rsid w:val="00FA01D9"/>
    <w:rsid w:val="00FA1CB8"/>
    <w:rsid w:val="00FA2D32"/>
    <w:rsid w:val="00FA6444"/>
    <w:rsid w:val="00FB0049"/>
    <w:rsid w:val="00FB0401"/>
    <w:rsid w:val="00FB115B"/>
    <w:rsid w:val="00FB2321"/>
    <w:rsid w:val="00FB4A9C"/>
    <w:rsid w:val="00FB79A6"/>
    <w:rsid w:val="00FC0709"/>
    <w:rsid w:val="00FC0776"/>
    <w:rsid w:val="00FC1DFB"/>
    <w:rsid w:val="00FC1EF2"/>
    <w:rsid w:val="00FC3343"/>
    <w:rsid w:val="00FC33BA"/>
    <w:rsid w:val="00FC35AB"/>
    <w:rsid w:val="00FC598B"/>
    <w:rsid w:val="00FC6134"/>
    <w:rsid w:val="00FC654D"/>
    <w:rsid w:val="00FC7C04"/>
    <w:rsid w:val="00FD0555"/>
    <w:rsid w:val="00FD5961"/>
    <w:rsid w:val="00FD69DD"/>
    <w:rsid w:val="00FE2C04"/>
    <w:rsid w:val="00FE3EFA"/>
    <w:rsid w:val="00FE4DF5"/>
    <w:rsid w:val="00FE5C56"/>
    <w:rsid w:val="00FE5E20"/>
    <w:rsid w:val="00FE68A1"/>
    <w:rsid w:val="00FE7AAC"/>
    <w:rsid w:val="00FE7B06"/>
    <w:rsid w:val="00FE7E98"/>
    <w:rsid w:val="00FF0171"/>
    <w:rsid w:val="00FF06BC"/>
    <w:rsid w:val="00FF20AC"/>
    <w:rsid w:val="00FF2410"/>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0C1E8300"/>
  <w15:docId w15:val="{96F1AF70-6D83-4681-9D4C-F592FD6E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20"/>
        <w:ind w:left="714" w:hanging="357"/>
      </w:pPr>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2397"/>
    <w:rPr>
      <w:rFonts w:ascii="Arial" w:hAnsi="Arial"/>
      <w:sz w:val="22"/>
      <w:szCs w:val="24"/>
    </w:rPr>
  </w:style>
  <w:style w:type="paragraph" w:styleId="Heading1">
    <w:name w:val="heading 1"/>
    <w:basedOn w:val="Normal"/>
    <w:next w:val="Normal"/>
    <w:link w:val="Heading1Char"/>
    <w:autoRedefine/>
    <w:uiPriority w:val="2"/>
    <w:qFormat/>
    <w:rsid w:val="009578A4"/>
    <w:pPr>
      <w:keepNext/>
      <w:keepLines/>
      <w:pageBreakBefore/>
      <w:numPr>
        <w:numId w:val="16"/>
      </w:numPr>
      <w:spacing w:after="1080"/>
      <w:ind w:left="993" w:hanging="993"/>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1D3D49"/>
    <w:pPr>
      <w:keepNext/>
      <w:keepLines/>
      <w:spacing w:before="360"/>
      <w:contextualSpacing/>
      <w:outlineLvl w:val="1"/>
    </w:pPr>
    <w:rPr>
      <w:rFonts w:cs="Arial"/>
      <w:b/>
      <w:sz w:val="24"/>
      <w:szCs w:val="28"/>
    </w:rPr>
  </w:style>
  <w:style w:type="paragraph" w:styleId="Heading3">
    <w:name w:val="heading 3"/>
    <w:basedOn w:val="Normal"/>
    <w:next w:val="Normal"/>
    <w:link w:val="Heading3Char"/>
    <w:autoRedefine/>
    <w:uiPriority w:val="2"/>
    <w:qFormat/>
    <w:rsid w:val="00026E99"/>
    <w:pPr>
      <w:keepNext/>
      <w:keepLines/>
      <w:numPr>
        <w:ilvl w:val="2"/>
        <w:numId w:val="14"/>
      </w:numPr>
      <w:spacing w:before="240"/>
      <w:contextualSpacing/>
      <w:outlineLvl w:val="2"/>
    </w:pPr>
    <w:rPr>
      <w:rFonts w:asciiTheme="majorHAnsi" w:hAnsiTheme="majorHAnsi"/>
      <w:color w:val="004200" w:themeColor="accent1"/>
      <w:sz w:val="24"/>
      <w:szCs w:val="28"/>
    </w:rPr>
  </w:style>
  <w:style w:type="paragraph" w:styleId="Heading4">
    <w:name w:val="heading 4"/>
    <w:basedOn w:val="Normal"/>
    <w:next w:val="Normal"/>
    <w:link w:val="Heading4Char"/>
    <w:autoRedefine/>
    <w:uiPriority w:val="2"/>
    <w:rsid w:val="00D006B4"/>
    <w:pPr>
      <w:keepNext/>
      <w:keepLines/>
      <w:spacing w:before="120"/>
      <w:ind w:left="0" w:firstLine="0"/>
      <w:contextualSpacing/>
      <w:outlineLvl w:val="3"/>
    </w:pPr>
    <w:rPr>
      <w:i/>
      <w:color w:val="404040" w:themeColor="text1" w:themeTint="BF"/>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unhideWhenUsed/>
    <w:rsid w:val="00992397"/>
    <w:pPr>
      <w:keepNext/>
      <w:keepLines/>
      <w:numPr>
        <w:ilvl w:val="3"/>
        <w:numId w:val="11"/>
      </w:numPr>
      <w:spacing w:before="24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D006B4"/>
    <w:pPr>
      <w:tabs>
        <w:tab w:val="right" w:pos="10319"/>
      </w:tabs>
      <w:spacing w:after="0"/>
      <w:ind w:left="0" w:firstLine="0"/>
    </w:pPr>
    <w:rPr>
      <w:b/>
      <w:sz w:val="16"/>
    </w:rPr>
  </w:style>
  <w:style w:type="paragraph" w:styleId="Title">
    <w:name w:val="Title"/>
    <w:basedOn w:val="Normal"/>
    <w:next w:val="Subtitle"/>
    <w:link w:val="TitleChar"/>
    <w:autoRedefine/>
    <w:uiPriority w:val="10"/>
    <w:qFormat/>
    <w:rsid w:val="00065A1C"/>
    <w:pPr>
      <w:spacing w:before="480" w:after="360" w:line="204" w:lineRule="auto"/>
      <w:ind w:left="426" w:hanging="69"/>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after="0"/>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after="0"/>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aliases w:val="List Paragraph1,Recommendation"/>
    <w:basedOn w:val="Normal"/>
    <w:link w:val="ListParagraphChar"/>
    <w:autoRedefine/>
    <w:uiPriority w:val="34"/>
    <w:qFormat/>
    <w:rsid w:val="00065A1C"/>
    <w:pPr>
      <w:numPr>
        <w:numId w:val="17"/>
      </w:numPr>
      <w:shd w:val="clear" w:color="auto" w:fill="FFFFFF"/>
      <w:ind w:left="714" w:hanging="357"/>
    </w:pPr>
  </w:style>
  <w:style w:type="character" w:customStyle="1" w:styleId="Heading2Char">
    <w:name w:val="Heading 2 Char"/>
    <w:basedOn w:val="DefaultParagraphFont"/>
    <w:link w:val="Heading2"/>
    <w:uiPriority w:val="2"/>
    <w:rsid w:val="001D3D49"/>
    <w:rPr>
      <w:rFonts w:ascii="Arial" w:hAnsi="Arial" w:cs="Arial"/>
      <w:b/>
      <w:sz w:val="24"/>
      <w:szCs w:val="28"/>
    </w:rPr>
  </w:style>
  <w:style w:type="paragraph" w:styleId="TOC1">
    <w:name w:val="toc 1"/>
    <w:basedOn w:val="Normal"/>
    <w:next w:val="Normal"/>
    <w:autoRedefine/>
    <w:uiPriority w:val="39"/>
    <w:rsid w:val="002175EF"/>
    <w:pPr>
      <w:spacing w:before="240" w:after="60"/>
      <w:ind w:right="567"/>
    </w:pPr>
    <w:rPr>
      <w:b/>
      <w:noProof/>
    </w:rPr>
  </w:style>
  <w:style w:type="paragraph" w:styleId="TOC2">
    <w:name w:val="toc 2"/>
    <w:basedOn w:val="Normal"/>
    <w:next w:val="Normal"/>
    <w:autoRedefine/>
    <w:uiPriority w:val="39"/>
    <w:rsid w:val="005B5130"/>
    <w:pPr>
      <w:tabs>
        <w:tab w:val="left" w:pos="1276"/>
        <w:tab w:val="right" w:leader="dot" w:pos="9435"/>
      </w:tabs>
      <w:spacing w:before="80" w:after="60"/>
      <w:ind w:left="993" w:right="567" w:hanging="64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C73372"/>
    <w:pPr>
      <w:pageBreakBefore w:val="0"/>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ind w:left="714" w:hanging="357"/>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747974"/>
    <w:pPr>
      <w:keepNext/>
      <w:keepLines/>
      <w:tabs>
        <w:tab w:val="left" w:pos="907"/>
      </w:tabs>
      <w:contextualSpacing/>
    </w:pPr>
    <w:rPr>
      <w:b/>
      <w:color w:val="004200" w:themeColor="accent1"/>
      <w:sz w:val="18"/>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1E3560"/>
    <w:rPr>
      <w:sz w:val="36"/>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C123C0"/>
    <w:pPr>
      <w:spacing w:before="72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unhideWhenUsed/>
    <w:rsid w:val="0015003E"/>
    <w:pPr>
      <w:snapToGrid w:val="0"/>
    </w:pPr>
  </w:style>
  <w:style w:type="character" w:customStyle="1" w:styleId="BodyTextChar">
    <w:name w:val="Body Text Char"/>
    <w:basedOn w:val="DefaultParagraphFont"/>
    <w:link w:val="BodyText"/>
    <w:rsid w:val="0015003E"/>
    <w:rPr>
      <w:rFonts w:ascii="Arial" w:hAnsi="Arial"/>
      <w:sz w:val="22"/>
      <w:szCs w:val="24"/>
    </w:rPr>
  </w:style>
  <w:style w:type="paragraph" w:styleId="BodyText2">
    <w:name w:val="Body Text 2"/>
    <w:basedOn w:val="Normal"/>
    <w:link w:val="BodyText2Char"/>
    <w:autoRedefine/>
    <w:unhideWhenUsed/>
    <w:rsid w:val="00CC2138"/>
    <w:pPr>
      <w:spacing w:line="480" w:lineRule="auto"/>
    </w:pPr>
  </w:style>
  <w:style w:type="character" w:customStyle="1" w:styleId="BodyText2Char">
    <w:name w:val="Body Text 2 Char"/>
    <w:basedOn w:val="DefaultParagraphFont"/>
    <w:link w:val="BodyText2"/>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nhideWhenUsed/>
    <w:rsid w:val="00ED246E"/>
    <w:pPr>
      <w:keepNext/>
      <w:spacing w:after="200"/>
    </w:pPr>
    <w:rPr>
      <w:b/>
      <w:bCs/>
      <w:color w:val="004200" w:themeColor="accent1"/>
      <w:sz w:val="18"/>
      <w:szCs w:val="18"/>
    </w:rPr>
  </w:style>
  <w:style w:type="paragraph" w:styleId="Closing">
    <w:name w:val="Closing"/>
    <w:basedOn w:val="Normal"/>
    <w:link w:val="ClosingChar"/>
    <w:autoRedefine/>
    <w:semiHidden/>
    <w:unhideWhenUsed/>
    <w:rsid w:val="00CC2138"/>
    <w:pPr>
      <w:spacing w:after="0"/>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uiPriority w:val="21"/>
    <w:unhideWhenUsed/>
    <w:rsid w:val="00CC2138"/>
    <w:rPr>
      <w:sz w:val="16"/>
      <w:szCs w:val="16"/>
    </w:rPr>
  </w:style>
  <w:style w:type="paragraph" w:styleId="CommentText">
    <w:name w:val="annotation text"/>
    <w:basedOn w:val="Normal"/>
    <w:link w:val="CommentTextChar"/>
    <w:autoRedefine/>
    <w:uiPriority w:val="21"/>
    <w:unhideWhenUsed/>
    <w:rsid w:val="003305EE"/>
    <w:rPr>
      <w:sz w:val="20"/>
      <w:szCs w:val="20"/>
    </w:rPr>
  </w:style>
  <w:style w:type="character" w:customStyle="1" w:styleId="CommentTextChar">
    <w:name w:val="Comment Text Char"/>
    <w:basedOn w:val="DefaultParagraphFont"/>
    <w:link w:val="CommentText"/>
    <w:uiPriority w:val="21"/>
    <w:rsid w:val="003305EE"/>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after="0"/>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after="0"/>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rsid w:val="00992397"/>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after="0"/>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after="0"/>
      <w:ind w:left="440" w:hanging="220"/>
    </w:pPr>
  </w:style>
  <w:style w:type="paragraph" w:styleId="Index3">
    <w:name w:val="index 3"/>
    <w:basedOn w:val="Normal"/>
    <w:next w:val="Normal"/>
    <w:autoRedefine/>
    <w:semiHidden/>
    <w:unhideWhenUsed/>
    <w:rsid w:val="00465398"/>
    <w:pPr>
      <w:spacing w:after="0"/>
      <w:ind w:left="660" w:hanging="220"/>
    </w:pPr>
  </w:style>
  <w:style w:type="paragraph" w:styleId="Index4">
    <w:name w:val="index 4"/>
    <w:basedOn w:val="Normal"/>
    <w:next w:val="Normal"/>
    <w:autoRedefine/>
    <w:semiHidden/>
    <w:unhideWhenUsed/>
    <w:rsid w:val="00465398"/>
    <w:pPr>
      <w:spacing w:after="0"/>
      <w:ind w:left="880" w:hanging="220"/>
    </w:pPr>
  </w:style>
  <w:style w:type="paragraph" w:styleId="Index5">
    <w:name w:val="index 5"/>
    <w:basedOn w:val="Normal"/>
    <w:next w:val="Normal"/>
    <w:autoRedefine/>
    <w:semiHidden/>
    <w:unhideWhenUsed/>
    <w:rsid w:val="00465398"/>
    <w:pPr>
      <w:spacing w:after="0"/>
      <w:ind w:left="1100" w:hanging="220"/>
    </w:pPr>
  </w:style>
  <w:style w:type="paragraph" w:styleId="Index6">
    <w:name w:val="index 6"/>
    <w:basedOn w:val="Normal"/>
    <w:next w:val="Normal"/>
    <w:autoRedefine/>
    <w:semiHidden/>
    <w:unhideWhenUsed/>
    <w:rsid w:val="00465398"/>
    <w:pPr>
      <w:spacing w:after="0"/>
      <w:ind w:left="1320" w:hanging="220"/>
    </w:pPr>
  </w:style>
  <w:style w:type="paragraph" w:styleId="Index7">
    <w:name w:val="index 7"/>
    <w:basedOn w:val="Normal"/>
    <w:next w:val="Normal"/>
    <w:autoRedefine/>
    <w:semiHidden/>
    <w:unhideWhenUsed/>
    <w:rsid w:val="00465398"/>
    <w:pPr>
      <w:spacing w:after="0"/>
      <w:ind w:left="1540" w:hanging="220"/>
    </w:pPr>
  </w:style>
  <w:style w:type="paragraph" w:styleId="Index8">
    <w:name w:val="index 8"/>
    <w:basedOn w:val="Normal"/>
    <w:next w:val="Normal"/>
    <w:autoRedefine/>
    <w:semiHidden/>
    <w:unhideWhenUsed/>
    <w:rsid w:val="00465398"/>
    <w:pPr>
      <w:spacing w:after="0"/>
      <w:ind w:left="1760" w:hanging="220"/>
    </w:pPr>
  </w:style>
  <w:style w:type="paragraph" w:styleId="Index9">
    <w:name w:val="index 9"/>
    <w:basedOn w:val="Normal"/>
    <w:next w:val="Normal"/>
    <w:autoRedefine/>
    <w:semiHidden/>
    <w:unhideWhenUsed/>
    <w:rsid w:val="00465398"/>
    <w:pPr>
      <w:spacing w:after="0"/>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287F52"/>
    <w:pPr>
      <w:spacing w:after="101" w:line="216" w:lineRule="auto"/>
      <w:jc w:val="center"/>
    </w:pPr>
    <w:rPr>
      <w:rFonts w:asciiTheme="minorHAnsi" w:cstheme="minorBidi"/>
      <w:color w:val="004200"/>
      <w:kern w:val="24"/>
      <w:sz w:val="24"/>
      <w:lang w:val="en-US"/>
    </w:rPr>
  </w:style>
  <w:style w:type="paragraph" w:styleId="NoteHeading">
    <w:name w:val="Note Heading"/>
    <w:basedOn w:val="Normal"/>
    <w:next w:val="Normal"/>
    <w:link w:val="NoteHeadingChar"/>
    <w:autoRedefine/>
    <w:semiHidden/>
    <w:unhideWhenUsed/>
    <w:rsid w:val="00465398"/>
    <w:pPr>
      <w:spacing w:after="0"/>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after="0"/>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F62BB2"/>
    <w:pPr>
      <w:tabs>
        <w:tab w:val="left" w:pos="1276"/>
        <w:tab w:val="right" w:leader="dot" w:pos="9435"/>
      </w:tabs>
      <w:ind w:left="709"/>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NormalArial">
    <w:name w:val="Normal + Arial"/>
    <w:aliases w:val="11 pt"/>
    <w:basedOn w:val="Normal"/>
    <w:rsid w:val="00393841"/>
    <w:pPr>
      <w:spacing w:after="0"/>
      <w:ind w:left="550"/>
    </w:pPr>
    <w:rPr>
      <w:rFonts w:cs="Arial"/>
      <w:szCs w:val="22"/>
      <w:lang w:eastAsia="zh-CN"/>
    </w:rPr>
  </w:style>
  <w:style w:type="character" w:customStyle="1" w:styleId="Heading1Char">
    <w:name w:val="Heading 1 Char"/>
    <w:basedOn w:val="DefaultParagraphFont"/>
    <w:link w:val="Heading1"/>
    <w:uiPriority w:val="2"/>
    <w:rsid w:val="009578A4"/>
    <w:rPr>
      <w:rFonts w:asciiTheme="majorHAnsi" w:hAnsiTheme="majorHAnsi"/>
      <w:b/>
      <w:sz w:val="64"/>
      <w:szCs w:val="44"/>
    </w:rPr>
  </w:style>
  <w:style w:type="character" w:customStyle="1" w:styleId="ListParagraphChar">
    <w:name w:val="List Paragraph Char"/>
    <w:aliases w:val="List Paragraph1 Char,Recommendation Char"/>
    <w:link w:val="ListParagraph"/>
    <w:uiPriority w:val="34"/>
    <w:locked/>
    <w:rsid w:val="00065A1C"/>
    <w:rPr>
      <w:rFonts w:ascii="Arial" w:hAnsi="Arial"/>
      <w:sz w:val="22"/>
      <w:szCs w:val="24"/>
      <w:shd w:val="clear" w:color="auto" w:fill="FFFFFF"/>
    </w:rPr>
  </w:style>
  <w:style w:type="paragraph" w:styleId="Revision">
    <w:name w:val="Revision"/>
    <w:hidden/>
    <w:uiPriority w:val="99"/>
    <w:semiHidden/>
    <w:rsid w:val="000777AD"/>
    <w:rPr>
      <w:rFonts w:ascii="Arial" w:hAnsi="Arial"/>
      <w:sz w:val="22"/>
      <w:szCs w:val="24"/>
    </w:rPr>
  </w:style>
  <w:style w:type="character" w:customStyle="1" w:styleId="Heading3Char">
    <w:name w:val="Heading 3 Char"/>
    <w:basedOn w:val="DefaultParagraphFont"/>
    <w:link w:val="Heading3"/>
    <w:uiPriority w:val="2"/>
    <w:rsid w:val="00026E99"/>
    <w:rPr>
      <w:rFonts w:asciiTheme="majorHAnsi" w:hAnsiTheme="majorHAnsi"/>
      <w:color w:val="004200" w:themeColor="accent1"/>
      <w:sz w:val="24"/>
      <w:szCs w:val="28"/>
    </w:rPr>
  </w:style>
  <w:style w:type="paragraph" w:customStyle="1" w:styleId="Default">
    <w:name w:val="Default"/>
    <w:rsid w:val="00443B5F"/>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10"/>
    <w:rsid w:val="00065A1C"/>
    <w:rPr>
      <w:rFonts w:ascii="Arial Bold" w:hAnsi="Arial Bold" w:cs="Arial"/>
      <w:b/>
      <w:bCs/>
      <w:color w:val="004200" w:themeColor="accent1"/>
      <w:kern w:val="28"/>
      <w:sz w:val="84"/>
      <w:szCs w:val="32"/>
    </w:rPr>
  </w:style>
  <w:style w:type="table" w:customStyle="1" w:styleId="TableGrid0">
    <w:name w:val="TableGrid"/>
    <w:rsid w:val="009A235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link w:val="BodyChar"/>
    <w:qFormat/>
    <w:rsid w:val="005C3B61"/>
    <w:pPr>
      <w:spacing w:before="60" w:after="40" w:line="260" w:lineRule="atLeast"/>
    </w:pPr>
    <w:rPr>
      <w:rFonts w:ascii="Arial" w:hAnsi="Arial"/>
      <w:color w:val="000000"/>
      <w:sz w:val="22"/>
      <w:lang w:eastAsia="en-US"/>
    </w:rPr>
  </w:style>
  <w:style w:type="character" w:customStyle="1" w:styleId="BodyChar">
    <w:name w:val="Body Char"/>
    <w:link w:val="Body"/>
    <w:locked/>
    <w:rsid w:val="005C3B61"/>
    <w:rPr>
      <w:rFonts w:ascii="Arial" w:hAnsi="Arial"/>
      <w:color w:val="000000"/>
      <w:sz w:val="22"/>
      <w:lang w:eastAsia="en-US"/>
    </w:rPr>
  </w:style>
  <w:style w:type="paragraph" w:customStyle="1" w:styleId="BodyText1">
    <w:name w:val="Body Text1"/>
    <w:basedOn w:val="Normal"/>
    <w:link w:val="BodytextChar0"/>
    <w:qFormat/>
    <w:rsid w:val="00065A1C"/>
    <w:pPr>
      <w:spacing w:before="60"/>
      <w:ind w:left="0" w:firstLine="0"/>
    </w:pPr>
    <w:rPr>
      <w:szCs w:val="20"/>
      <w:lang w:eastAsia="en-US"/>
    </w:rPr>
  </w:style>
  <w:style w:type="character" w:customStyle="1" w:styleId="BodytextChar0">
    <w:name w:val="Body text Char"/>
    <w:link w:val="BodyText1"/>
    <w:locked/>
    <w:rsid w:val="00065A1C"/>
    <w:rPr>
      <w:rFonts w:ascii="Arial" w:hAnsi="Arial"/>
      <w:sz w:val="22"/>
      <w:lang w:eastAsia="en-US"/>
    </w:rPr>
  </w:style>
  <w:style w:type="paragraph" w:customStyle="1" w:styleId="Heading40">
    <w:name w:val="Heading 4."/>
    <w:basedOn w:val="Heading4"/>
    <w:link w:val="Heading4Char0"/>
    <w:uiPriority w:val="1"/>
    <w:qFormat/>
    <w:rsid w:val="00D006B4"/>
  </w:style>
  <w:style w:type="character" w:customStyle="1" w:styleId="Heading4Char">
    <w:name w:val="Heading 4 Char"/>
    <w:basedOn w:val="DefaultParagraphFont"/>
    <w:link w:val="Heading4"/>
    <w:uiPriority w:val="2"/>
    <w:rsid w:val="00D006B4"/>
    <w:rPr>
      <w:rFonts w:ascii="Arial" w:hAnsi="Arial"/>
      <w:i/>
      <w:color w:val="404040" w:themeColor="text1" w:themeTint="BF"/>
      <w:sz w:val="22"/>
      <w:szCs w:val="24"/>
    </w:rPr>
  </w:style>
  <w:style w:type="character" w:customStyle="1" w:styleId="Heading4Char0">
    <w:name w:val="Heading 4. Char"/>
    <w:basedOn w:val="Heading4Char"/>
    <w:link w:val="Heading40"/>
    <w:uiPriority w:val="1"/>
    <w:rsid w:val="00D006B4"/>
    <w:rPr>
      <w:rFonts w:ascii="Arial" w:hAnsi="Arial"/>
      <w:i/>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755">
      <w:bodyDiv w:val="1"/>
      <w:marLeft w:val="0"/>
      <w:marRight w:val="0"/>
      <w:marTop w:val="0"/>
      <w:marBottom w:val="0"/>
      <w:divBdr>
        <w:top w:val="none" w:sz="0" w:space="0" w:color="auto"/>
        <w:left w:val="none" w:sz="0" w:space="0" w:color="auto"/>
        <w:bottom w:val="none" w:sz="0" w:space="0" w:color="auto"/>
        <w:right w:val="none" w:sz="0" w:space="0" w:color="auto"/>
      </w:divBdr>
    </w:div>
    <w:div w:id="42915730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6536566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95410850">
      <w:bodyDiv w:val="1"/>
      <w:marLeft w:val="0"/>
      <w:marRight w:val="0"/>
      <w:marTop w:val="0"/>
      <w:marBottom w:val="0"/>
      <w:divBdr>
        <w:top w:val="none" w:sz="0" w:space="0" w:color="auto"/>
        <w:left w:val="none" w:sz="0" w:space="0" w:color="auto"/>
        <w:bottom w:val="none" w:sz="0" w:space="0" w:color="auto"/>
        <w:right w:val="none" w:sz="0" w:space="0" w:color="auto"/>
      </w:divBdr>
    </w:div>
    <w:div w:id="167615012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mailto:enquiries.ihpa@ihp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hpa.gov.au/what-we-do/products/admitted-acute-care-products-and-licences" TargetMode="External"/><Relationship Id="rId20" Type="http://schemas.openxmlformats.org/officeDocument/2006/relationships/hyperlink" Target="https://ace.ihpa.gov.au/Submiss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drg.laneprint.com.au/" TargetMode="External"/><Relationship Id="rId23" Type="http://schemas.openxmlformats.org/officeDocument/2006/relationships/image" Target="media/image7.png"/><Relationship Id="rId10" Type="http://schemas.openxmlformats.org/officeDocument/2006/relationships/hyperlink" Target="http://creativecommons.org/licenses/by/3.0/au/legalcod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file:///\\central.health\dfsuserenv\Users\User_01\KATTEJ\Documents\Offline%20Records%20(P6)\International%20~%20PRICING%20-%20Committees(2)\ace.ihpa.gov.au\Submissions.aspx" TargetMode="External"/><Relationship Id="rId22" Type="http://schemas.openxmlformats.org/officeDocument/2006/relationships/hyperlink" Target="http://www.ihpa.gov.au/what-we-do/products/admitted-acute-care-products-and-lic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22AA-3945-4881-AD10-EC874983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4936</Words>
  <Characters>33331</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framework for development of the admitted care classifications</dc:title>
  <dc:subject/>
  <dc:creator>Independent Hospital Pricing Authority</dc:creator>
  <cp:keywords/>
  <dc:description/>
  <cp:lastModifiedBy>EARL, Andrea</cp:lastModifiedBy>
  <cp:revision>4</cp:revision>
  <cp:lastPrinted>2019-12-16T01:11:00Z</cp:lastPrinted>
  <dcterms:created xsi:type="dcterms:W3CDTF">2020-12-10T21:46:00Z</dcterms:created>
  <dcterms:modified xsi:type="dcterms:W3CDTF">2020-12-10T23:13:00Z</dcterms:modified>
</cp:coreProperties>
</file>