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63A9B" w14:textId="38845F84" w:rsidR="00464B93" w:rsidRPr="001727A4" w:rsidRDefault="00464B93" w:rsidP="00464B93">
      <w:pPr>
        <w:pStyle w:val="Organisation"/>
      </w:pPr>
      <w:r w:rsidRPr="001727A4">
        <w:drawing>
          <wp:anchor distT="0" distB="0" distL="114300" distR="114300" simplePos="0" relativeHeight="251663360" behindDoc="1" locked="0" layoutInCell="0" allowOverlap="1" wp14:anchorId="68D63FDA" wp14:editId="68D63FDB">
            <wp:simplePos x="0" y="0"/>
            <wp:positionH relativeFrom="page">
              <wp:align>left</wp:align>
            </wp:positionH>
            <wp:positionV relativeFrom="page">
              <wp:align>top</wp:align>
            </wp:positionV>
            <wp:extent cx="7558767" cy="10692000"/>
            <wp:effectExtent l="0" t="0" r="444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Pr="001727A4">
        <w:t>Independent Hospital Pricing Authority</w:t>
      </w:r>
    </w:p>
    <w:p w14:paraId="68D63A9C" w14:textId="77777777" w:rsidR="00464B93" w:rsidRPr="00464B93" w:rsidRDefault="00464B93" w:rsidP="00464B93">
      <w:pPr>
        <w:pStyle w:val="Title"/>
        <w:rPr>
          <w:color w:val="004200" w:themeColor="accent1"/>
        </w:rPr>
      </w:pPr>
      <w:bookmarkStart w:id="0" w:name="_Toc484771277"/>
      <w:bookmarkStart w:id="1" w:name="_Toc485998813"/>
      <w:bookmarkStart w:id="2" w:name="_Toc80778489"/>
      <w:r w:rsidRPr="00464B93">
        <w:rPr>
          <w:color w:val="004200" w:themeColor="accent1"/>
        </w:rPr>
        <w:t>Australian Hospital Patient Costing Standards</w:t>
      </w:r>
      <w:bookmarkEnd w:id="2"/>
    </w:p>
    <w:p w14:paraId="68D63A9D" w14:textId="30BE952B" w:rsidR="00464B93" w:rsidRPr="00464B93" w:rsidRDefault="006252EC" w:rsidP="00464B93">
      <w:pPr>
        <w:pStyle w:val="Subtitle"/>
        <w:rPr>
          <w:color w:val="008A00" w:themeColor="accent2"/>
        </w:rPr>
      </w:pPr>
      <w:r>
        <w:rPr>
          <w:color w:val="008A00" w:themeColor="accent2"/>
        </w:rPr>
        <w:t>Part 3: Costing G</w:t>
      </w:r>
      <w:r w:rsidR="00464B93" w:rsidRPr="00464B93">
        <w:rPr>
          <w:color w:val="008A00" w:themeColor="accent2"/>
        </w:rPr>
        <w:t>uidelines</w:t>
      </w:r>
    </w:p>
    <w:p w14:paraId="68D63A9E" w14:textId="22808EC2" w:rsidR="00464B93" w:rsidRDefault="00464B93" w:rsidP="00464B93">
      <w:pPr>
        <w:pStyle w:val="Versionanddate"/>
        <w:rPr>
          <w:color w:val="008A00" w:themeColor="accent2"/>
        </w:rPr>
      </w:pPr>
      <w:r w:rsidRPr="00464B93">
        <w:rPr>
          <w:color w:val="008A00" w:themeColor="accent2"/>
        </w:rPr>
        <w:t>Version 4.</w:t>
      </w:r>
      <w:r w:rsidR="009B4217">
        <w:rPr>
          <w:color w:val="008A00" w:themeColor="accent2"/>
        </w:rPr>
        <w:t>1</w:t>
      </w:r>
    </w:p>
    <w:p w14:paraId="68D63A9F" w14:textId="4656F332" w:rsidR="00464B93" w:rsidRPr="00464B93" w:rsidRDefault="00D15093" w:rsidP="00464B93">
      <w:pPr>
        <w:pStyle w:val="Versionanddate"/>
        <w:rPr>
          <w:color w:val="008A00" w:themeColor="accent2"/>
        </w:rPr>
      </w:pPr>
      <w:r>
        <w:rPr>
          <w:color w:val="008A00" w:themeColor="accent2"/>
        </w:rPr>
        <w:t xml:space="preserve">August </w:t>
      </w:r>
      <w:r w:rsidR="009B4217">
        <w:rPr>
          <w:color w:val="008A00" w:themeColor="accent2"/>
        </w:rPr>
        <w:t>2021</w:t>
      </w:r>
    </w:p>
    <w:bookmarkEnd w:id="0"/>
    <w:bookmarkEnd w:id="1"/>
    <w:p w14:paraId="68D63AA0" w14:textId="77777777" w:rsidR="00464B93" w:rsidRDefault="00464B93" w:rsidP="00464B93">
      <w:pPr>
        <w:spacing w:before="0" w:after="0" w:line="240" w:lineRule="auto"/>
        <w:sectPr w:rsidR="00464B93" w:rsidSect="006D7DE6">
          <w:headerReference w:type="default" r:id="rId12"/>
          <w:footerReference w:type="default" r:id="rId13"/>
          <w:pgSz w:w="11906" w:h="16838" w:code="9"/>
          <w:pgMar w:top="2041" w:right="3232" w:bottom="1021" w:left="1021" w:header="680" w:footer="510" w:gutter="0"/>
          <w:pgNumType w:start="1"/>
          <w:cols w:space="708"/>
          <w:docGrid w:linePitch="360"/>
        </w:sectPr>
      </w:pPr>
    </w:p>
    <w:p w14:paraId="68D63AA1" w14:textId="0F51A340" w:rsidR="00464B93" w:rsidRDefault="00464B93" w:rsidP="00464B93">
      <w:pPr>
        <w:pStyle w:val="Report"/>
      </w:pPr>
      <w:bookmarkStart w:id="3" w:name="_Toc432437392"/>
      <w:r>
        <w:lastRenderedPageBreak/>
        <w:t xml:space="preserve">Australian Hospital Patient Costing Standards – Part 3: Costing </w:t>
      </w:r>
      <w:r w:rsidR="006252EC">
        <w:t>G</w:t>
      </w:r>
      <w:r>
        <w:t>uidelines – Version 4.</w:t>
      </w:r>
      <w:r w:rsidR="009B4217">
        <w:t>1</w:t>
      </w:r>
      <w:r w:rsidR="000860BD">
        <w:t xml:space="preserve"> – </w:t>
      </w:r>
      <w:r w:rsidR="00AE0D13">
        <w:t>August</w:t>
      </w:r>
      <w:r w:rsidR="009B4217">
        <w:t xml:space="preserve"> 2021</w:t>
      </w:r>
    </w:p>
    <w:p w14:paraId="68D63AA2" w14:textId="77777777" w:rsidR="00464B93" w:rsidRDefault="00464B93" w:rsidP="00464B93"/>
    <w:p w14:paraId="68D63AA3" w14:textId="61411381" w:rsidR="00464B93" w:rsidRDefault="00464B93" w:rsidP="00464B93">
      <w:r>
        <w:t>© Independent Hospital Pricing Authority 20</w:t>
      </w:r>
      <w:r w:rsidR="00A221B9">
        <w:t>21</w:t>
      </w:r>
    </w:p>
    <w:p w14:paraId="68D63AA4" w14:textId="77777777" w:rsidR="00464B93" w:rsidRDefault="00464B93" w:rsidP="00464B93">
      <w:r>
        <w:t xml:space="preserve">This publication is available for your use under a </w:t>
      </w:r>
      <w:hyperlink r:id="rId14"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5" w:history="1">
        <w:r w:rsidRPr="002A4C1B">
          <w:rPr>
            <w:rStyle w:val="Hyperlink"/>
          </w:rPr>
          <w:t>the Creative Commons website</w:t>
        </w:r>
      </w:hyperlink>
      <w:r>
        <w:t>.</w:t>
      </w:r>
    </w:p>
    <w:p w14:paraId="68D63AA5" w14:textId="77777777" w:rsidR="00464B93" w:rsidRDefault="00464B93" w:rsidP="00464B93">
      <w:r w:rsidRPr="006150B7">
        <w:rPr>
          <w:rFonts w:cs="Calibri"/>
          <w:noProof/>
          <w:sz w:val="24"/>
        </w:rPr>
        <w:drawing>
          <wp:inline distT="0" distB="0" distL="0" distR="0" wp14:anchorId="68D63FDC" wp14:editId="68D63FDD">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68D63AA6" w14:textId="77777777" w:rsidR="00464B93" w:rsidRDefault="00464B93" w:rsidP="00464B93">
      <w:r>
        <w:t xml:space="preserve">Use of Independent Hospital Pricing Authority material under a </w:t>
      </w:r>
      <w:hyperlink r:id="rId17"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14:paraId="68D63AA7" w14:textId="77777777" w:rsidR="00464B93" w:rsidRPr="002A4C1B" w:rsidRDefault="00464B93" w:rsidP="00464B93">
      <w:pPr>
        <w:rPr>
          <w:i/>
        </w:rPr>
      </w:pPr>
      <w:r w:rsidRPr="002A4C1B">
        <w:rPr>
          <w:i/>
        </w:rPr>
        <w:t>Independent Hospital Pricing Authority material used 'as supplied'.</w:t>
      </w:r>
    </w:p>
    <w:p w14:paraId="68D63AA8" w14:textId="77777777" w:rsidR="00464B93" w:rsidRDefault="00464B93" w:rsidP="00464B93">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8D63AA9" w14:textId="77777777" w:rsidR="00EC2C42" w:rsidRPr="00464B93" w:rsidRDefault="00464B93" w:rsidP="00464B93">
      <w:pPr>
        <w:ind w:left="737"/>
        <w:rPr>
          <w:i/>
        </w:rPr>
        <w:sectPr w:rsidR="00EC2C42" w:rsidRPr="00464B93" w:rsidSect="00464B93">
          <w:pgSz w:w="11906" w:h="16838" w:code="9"/>
          <w:pgMar w:top="2041" w:right="1440" w:bottom="1021" w:left="1021" w:header="680" w:footer="510" w:gutter="0"/>
          <w:pgNumType w:start="1"/>
          <w:cols w:space="708"/>
          <w:docGrid w:linePitch="360"/>
        </w:sectPr>
      </w:pPr>
      <w:r w:rsidRPr="00BC1032">
        <w:rPr>
          <w:i/>
        </w:rPr>
        <w:t>Source: The Independent Hospital Pricing Authority</w:t>
      </w:r>
      <w:r w:rsidR="00401A5F" w:rsidRPr="00464B93">
        <w:rPr>
          <w:i/>
        </w:rPr>
        <w:t xml:space="preserve"> </w:t>
      </w:r>
    </w:p>
    <w:bookmarkEnd w:id="3" w:displacedByCustomXml="next"/>
    <w:sdt>
      <w:sdtPr>
        <w:rPr>
          <w:rFonts w:ascii="Arial" w:eastAsia="Times New Roman" w:hAnsi="Arial" w:cs="Times New Roman"/>
          <w:b w:val="0"/>
          <w:bCs w:val="0"/>
          <w:sz w:val="22"/>
          <w:szCs w:val="24"/>
        </w:rPr>
        <w:id w:val="-1426251310"/>
        <w:docPartObj>
          <w:docPartGallery w:val="Table of Contents"/>
          <w:docPartUnique/>
        </w:docPartObj>
      </w:sdtPr>
      <w:sdtEndPr>
        <w:rPr>
          <w:noProof/>
        </w:rPr>
      </w:sdtEndPr>
      <w:sdtContent>
        <w:p w14:paraId="68D63AAA" w14:textId="77777777" w:rsidR="00E418CF" w:rsidRDefault="00E418CF" w:rsidP="00A221B9">
          <w:pPr>
            <w:pStyle w:val="TOCHeading"/>
          </w:pPr>
          <w:r>
            <w:t>Contents</w:t>
          </w:r>
        </w:p>
        <w:p w14:paraId="09497F65" w14:textId="599EF635" w:rsidR="00A27C5B" w:rsidRDefault="00897CD3">
          <w:pPr>
            <w:pStyle w:val="TOC1"/>
            <w:rPr>
              <w:rFonts w:asciiTheme="minorHAnsi" w:eastAsiaTheme="minorEastAsia" w:hAnsiTheme="minorHAnsi" w:cstheme="minorBidi"/>
              <w:b w:val="0"/>
              <w:szCs w:val="22"/>
            </w:rPr>
          </w:pPr>
          <w:r>
            <w:rPr>
              <w:b w:val="0"/>
            </w:rPr>
            <w:fldChar w:fldCharType="begin"/>
          </w:r>
          <w:r>
            <w:rPr>
              <w:b w:val="0"/>
            </w:rPr>
            <w:instrText xml:space="preserve"> TOC \o "1-2" \h \z \u </w:instrText>
          </w:r>
          <w:r>
            <w:rPr>
              <w:b w:val="0"/>
            </w:rPr>
            <w:fldChar w:fldCharType="separate"/>
          </w:r>
          <w:hyperlink w:anchor="_Toc80778489" w:history="1">
            <w:r w:rsidR="00A27C5B" w:rsidRPr="00450469">
              <w:rPr>
                <w:rStyle w:val="Hyperlink"/>
              </w:rPr>
              <w:t>Australian Hospital Patient Costing Standards</w:t>
            </w:r>
            <w:r w:rsidR="00A27C5B">
              <w:rPr>
                <w:webHidden/>
              </w:rPr>
              <w:tab/>
            </w:r>
            <w:r w:rsidR="00A27C5B">
              <w:rPr>
                <w:webHidden/>
              </w:rPr>
              <w:fldChar w:fldCharType="begin"/>
            </w:r>
            <w:r w:rsidR="00A27C5B">
              <w:rPr>
                <w:webHidden/>
              </w:rPr>
              <w:instrText xml:space="preserve"> PAGEREF _Toc80778489 \h </w:instrText>
            </w:r>
            <w:r w:rsidR="00A27C5B">
              <w:rPr>
                <w:webHidden/>
              </w:rPr>
            </w:r>
            <w:r w:rsidR="00A27C5B">
              <w:rPr>
                <w:webHidden/>
              </w:rPr>
              <w:fldChar w:fldCharType="separate"/>
            </w:r>
            <w:r w:rsidR="00A27C5B">
              <w:rPr>
                <w:webHidden/>
              </w:rPr>
              <w:t>1</w:t>
            </w:r>
            <w:r w:rsidR="00A27C5B">
              <w:rPr>
                <w:webHidden/>
              </w:rPr>
              <w:fldChar w:fldCharType="end"/>
            </w:r>
          </w:hyperlink>
        </w:p>
        <w:p w14:paraId="63A8FF9C" w14:textId="561047F3" w:rsidR="00A27C5B" w:rsidRDefault="00A27C5B">
          <w:pPr>
            <w:pStyle w:val="TOC1"/>
            <w:rPr>
              <w:rFonts w:asciiTheme="minorHAnsi" w:eastAsiaTheme="minorEastAsia" w:hAnsiTheme="minorHAnsi" w:cstheme="minorBidi"/>
              <w:b w:val="0"/>
              <w:szCs w:val="22"/>
            </w:rPr>
          </w:pPr>
          <w:hyperlink w:anchor="_Toc80778490" w:history="1">
            <w:r w:rsidRPr="00450469">
              <w:rPr>
                <w:rStyle w:val="Hyperlink"/>
              </w:rPr>
              <w:t>Introduction</w:t>
            </w:r>
            <w:r>
              <w:rPr>
                <w:webHidden/>
              </w:rPr>
              <w:tab/>
            </w:r>
            <w:r>
              <w:rPr>
                <w:webHidden/>
              </w:rPr>
              <w:fldChar w:fldCharType="begin"/>
            </w:r>
            <w:r>
              <w:rPr>
                <w:webHidden/>
              </w:rPr>
              <w:instrText xml:space="preserve"> PAGEREF _Toc80778490 \h </w:instrText>
            </w:r>
            <w:r>
              <w:rPr>
                <w:webHidden/>
              </w:rPr>
            </w:r>
            <w:r>
              <w:rPr>
                <w:webHidden/>
              </w:rPr>
              <w:fldChar w:fldCharType="separate"/>
            </w:r>
            <w:r>
              <w:rPr>
                <w:webHidden/>
              </w:rPr>
              <w:t>3</w:t>
            </w:r>
            <w:r>
              <w:rPr>
                <w:webHidden/>
              </w:rPr>
              <w:fldChar w:fldCharType="end"/>
            </w:r>
          </w:hyperlink>
        </w:p>
        <w:p w14:paraId="6562ED2B" w14:textId="6B79ECC9" w:rsidR="00A27C5B" w:rsidRDefault="00A27C5B">
          <w:pPr>
            <w:pStyle w:val="TOC2"/>
            <w:rPr>
              <w:rFonts w:asciiTheme="minorHAnsi" w:eastAsiaTheme="minorEastAsia" w:hAnsiTheme="minorHAnsi" w:cstheme="minorBidi"/>
              <w:szCs w:val="22"/>
            </w:rPr>
          </w:pPr>
          <w:hyperlink w:anchor="_Toc80778491" w:history="1">
            <w:r w:rsidRPr="00450469">
              <w:rPr>
                <w:rStyle w:val="Hyperlink"/>
                <w:rFonts w:eastAsia="Calibri"/>
              </w:rPr>
              <w:t>Structure</w:t>
            </w:r>
            <w:r>
              <w:rPr>
                <w:webHidden/>
              </w:rPr>
              <w:tab/>
            </w:r>
            <w:r>
              <w:rPr>
                <w:webHidden/>
              </w:rPr>
              <w:fldChar w:fldCharType="begin"/>
            </w:r>
            <w:r>
              <w:rPr>
                <w:webHidden/>
              </w:rPr>
              <w:instrText xml:space="preserve"> PAGEREF _Toc80778491 \h </w:instrText>
            </w:r>
            <w:r>
              <w:rPr>
                <w:webHidden/>
              </w:rPr>
            </w:r>
            <w:r>
              <w:rPr>
                <w:webHidden/>
              </w:rPr>
              <w:fldChar w:fldCharType="separate"/>
            </w:r>
            <w:r>
              <w:rPr>
                <w:webHidden/>
              </w:rPr>
              <w:t>3</w:t>
            </w:r>
            <w:r>
              <w:rPr>
                <w:webHidden/>
              </w:rPr>
              <w:fldChar w:fldCharType="end"/>
            </w:r>
          </w:hyperlink>
        </w:p>
        <w:p w14:paraId="1F31813C" w14:textId="2FAE32C0" w:rsidR="00A27C5B" w:rsidRDefault="00A27C5B">
          <w:pPr>
            <w:pStyle w:val="TOC2"/>
            <w:rPr>
              <w:rFonts w:asciiTheme="minorHAnsi" w:eastAsiaTheme="minorEastAsia" w:hAnsiTheme="minorHAnsi" w:cstheme="minorBidi"/>
              <w:szCs w:val="22"/>
            </w:rPr>
          </w:pPr>
          <w:hyperlink w:anchor="_Toc80778492" w:history="1">
            <w:r w:rsidRPr="00450469">
              <w:rPr>
                <w:rStyle w:val="Hyperlink"/>
                <w:rFonts w:eastAsia="Calibri"/>
              </w:rPr>
              <w:t>Guide to using this document</w:t>
            </w:r>
            <w:r>
              <w:rPr>
                <w:webHidden/>
              </w:rPr>
              <w:tab/>
            </w:r>
            <w:r>
              <w:rPr>
                <w:webHidden/>
              </w:rPr>
              <w:fldChar w:fldCharType="begin"/>
            </w:r>
            <w:r>
              <w:rPr>
                <w:webHidden/>
              </w:rPr>
              <w:instrText xml:space="preserve"> PAGEREF _Toc80778492 \h </w:instrText>
            </w:r>
            <w:r>
              <w:rPr>
                <w:webHidden/>
              </w:rPr>
            </w:r>
            <w:r>
              <w:rPr>
                <w:webHidden/>
              </w:rPr>
              <w:fldChar w:fldCharType="separate"/>
            </w:r>
            <w:r>
              <w:rPr>
                <w:webHidden/>
              </w:rPr>
              <w:t>4</w:t>
            </w:r>
            <w:r>
              <w:rPr>
                <w:webHidden/>
              </w:rPr>
              <w:fldChar w:fldCharType="end"/>
            </w:r>
          </w:hyperlink>
        </w:p>
        <w:p w14:paraId="4937A2E1" w14:textId="7310CF06" w:rsidR="00A27C5B" w:rsidRDefault="00A27C5B">
          <w:pPr>
            <w:pStyle w:val="TOC2"/>
            <w:tabs>
              <w:tab w:val="left" w:pos="880"/>
            </w:tabs>
            <w:rPr>
              <w:rFonts w:asciiTheme="minorHAnsi" w:eastAsiaTheme="minorEastAsia" w:hAnsiTheme="minorHAnsi" w:cstheme="minorBidi"/>
              <w:szCs w:val="22"/>
            </w:rPr>
          </w:pPr>
          <w:hyperlink w:anchor="_Toc80778493" w:history="1">
            <w:r w:rsidRPr="00450469">
              <w:rPr>
                <w:rStyle w:val="Hyperlink"/>
              </w:rPr>
              <w:t>CG 0</w:t>
            </w:r>
            <w:r>
              <w:rPr>
                <w:rFonts w:asciiTheme="minorHAnsi" w:eastAsiaTheme="minorEastAsia" w:hAnsiTheme="minorHAnsi" w:cstheme="minorBidi"/>
                <w:szCs w:val="22"/>
              </w:rPr>
              <w:tab/>
            </w:r>
            <w:r w:rsidRPr="00450469">
              <w:rPr>
                <w:rStyle w:val="Hyperlink"/>
              </w:rPr>
              <w:t>The Patient Costing Process</w:t>
            </w:r>
            <w:r>
              <w:rPr>
                <w:webHidden/>
              </w:rPr>
              <w:tab/>
            </w:r>
            <w:r>
              <w:rPr>
                <w:webHidden/>
              </w:rPr>
              <w:fldChar w:fldCharType="begin"/>
            </w:r>
            <w:r>
              <w:rPr>
                <w:webHidden/>
              </w:rPr>
              <w:instrText xml:space="preserve"> PAGEREF _Toc80778493 \h </w:instrText>
            </w:r>
            <w:r>
              <w:rPr>
                <w:webHidden/>
              </w:rPr>
            </w:r>
            <w:r>
              <w:rPr>
                <w:webHidden/>
              </w:rPr>
              <w:fldChar w:fldCharType="separate"/>
            </w:r>
            <w:r>
              <w:rPr>
                <w:webHidden/>
              </w:rPr>
              <w:t>5</w:t>
            </w:r>
            <w:r>
              <w:rPr>
                <w:webHidden/>
              </w:rPr>
              <w:fldChar w:fldCharType="end"/>
            </w:r>
          </w:hyperlink>
        </w:p>
        <w:p w14:paraId="76706189" w14:textId="1A8C7BA4" w:rsidR="00A27C5B" w:rsidRDefault="00A27C5B">
          <w:pPr>
            <w:pStyle w:val="TOC2"/>
            <w:tabs>
              <w:tab w:val="left" w:pos="880"/>
            </w:tabs>
            <w:rPr>
              <w:rFonts w:asciiTheme="minorHAnsi" w:eastAsiaTheme="minorEastAsia" w:hAnsiTheme="minorHAnsi" w:cstheme="minorBidi"/>
              <w:szCs w:val="22"/>
            </w:rPr>
          </w:pPr>
          <w:hyperlink w:anchor="_Toc80778494" w:history="1">
            <w:r w:rsidRPr="00450469">
              <w:rPr>
                <w:rStyle w:val="Hyperlink"/>
              </w:rPr>
              <w:t>CG 1</w:t>
            </w:r>
            <w:r>
              <w:rPr>
                <w:rFonts w:asciiTheme="minorHAnsi" w:eastAsiaTheme="minorEastAsia" w:hAnsiTheme="minorHAnsi" w:cstheme="minorBidi"/>
                <w:szCs w:val="22"/>
              </w:rPr>
              <w:tab/>
            </w:r>
            <w:r w:rsidRPr="00450469">
              <w:rPr>
                <w:rStyle w:val="Hyperlink"/>
              </w:rPr>
              <w:t>Critical Care</w:t>
            </w:r>
            <w:r>
              <w:rPr>
                <w:webHidden/>
              </w:rPr>
              <w:tab/>
            </w:r>
            <w:r>
              <w:rPr>
                <w:webHidden/>
              </w:rPr>
              <w:fldChar w:fldCharType="begin"/>
            </w:r>
            <w:r>
              <w:rPr>
                <w:webHidden/>
              </w:rPr>
              <w:instrText xml:space="preserve"> PAGEREF _Toc80778494 \h </w:instrText>
            </w:r>
            <w:r>
              <w:rPr>
                <w:webHidden/>
              </w:rPr>
            </w:r>
            <w:r>
              <w:rPr>
                <w:webHidden/>
              </w:rPr>
              <w:fldChar w:fldCharType="separate"/>
            </w:r>
            <w:r>
              <w:rPr>
                <w:webHidden/>
              </w:rPr>
              <w:t>9</w:t>
            </w:r>
            <w:r>
              <w:rPr>
                <w:webHidden/>
              </w:rPr>
              <w:fldChar w:fldCharType="end"/>
            </w:r>
          </w:hyperlink>
        </w:p>
        <w:p w14:paraId="505AAFC4" w14:textId="30244D78" w:rsidR="00A27C5B" w:rsidRDefault="00A27C5B">
          <w:pPr>
            <w:pStyle w:val="TOC2"/>
            <w:tabs>
              <w:tab w:val="left" w:pos="880"/>
            </w:tabs>
            <w:rPr>
              <w:rFonts w:asciiTheme="minorHAnsi" w:eastAsiaTheme="minorEastAsia" w:hAnsiTheme="minorHAnsi" w:cstheme="minorBidi"/>
              <w:szCs w:val="22"/>
            </w:rPr>
          </w:pPr>
          <w:hyperlink w:anchor="_Toc80778495" w:history="1">
            <w:r w:rsidRPr="00450469">
              <w:rPr>
                <w:rStyle w:val="Hyperlink"/>
              </w:rPr>
              <w:t>CG 2</w:t>
            </w:r>
            <w:r>
              <w:rPr>
                <w:rFonts w:asciiTheme="minorHAnsi" w:eastAsiaTheme="minorEastAsia" w:hAnsiTheme="minorHAnsi" w:cstheme="minorBidi"/>
                <w:szCs w:val="22"/>
              </w:rPr>
              <w:tab/>
            </w:r>
            <w:r w:rsidRPr="00450469">
              <w:rPr>
                <w:rStyle w:val="Hyperlink"/>
              </w:rPr>
              <w:t>Emergency Department</w:t>
            </w:r>
            <w:r>
              <w:rPr>
                <w:webHidden/>
              </w:rPr>
              <w:tab/>
            </w:r>
            <w:r>
              <w:rPr>
                <w:webHidden/>
              </w:rPr>
              <w:fldChar w:fldCharType="begin"/>
            </w:r>
            <w:r>
              <w:rPr>
                <w:webHidden/>
              </w:rPr>
              <w:instrText xml:space="preserve"> PAGEREF _Toc80778495 \h </w:instrText>
            </w:r>
            <w:r>
              <w:rPr>
                <w:webHidden/>
              </w:rPr>
            </w:r>
            <w:r>
              <w:rPr>
                <w:webHidden/>
              </w:rPr>
              <w:fldChar w:fldCharType="separate"/>
            </w:r>
            <w:r>
              <w:rPr>
                <w:webHidden/>
              </w:rPr>
              <w:t>14</w:t>
            </w:r>
            <w:r>
              <w:rPr>
                <w:webHidden/>
              </w:rPr>
              <w:fldChar w:fldCharType="end"/>
            </w:r>
          </w:hyperlink>
        </w:p>
        <w:p w14:paraId="4215DABA" w14:textId="7AE2A3F8" w:rsidR="00A27C5B" w:rsidRDefault="00A27C5B">
          <w:pPr>
            <w:pStyle w:val="TOC2"/>
            <w:tabs>
              <w:tab w:val="left" w:pos="880"/>
            </w:tabs>
            <w:rPr>
              <w:rFonts w:asciiTheme="minorHAnsi" w:eastAsiaTheme="minorEastAsia" w:hAnsiTheme="minorHAnsi" w:cstheme="minorBidi"/>
              <w:szCs w:val="22"/>
            </w:rPr>
          </w:pPr>
          <w:hyperlink w:anchor="_Toc80778496" w:history="1">
            <w:r w:rsidRPr="00450469">
              <w:rPr>
                <w:rStyle w:val="Hyperlink"/>
              </w:rPr>
              <w:t>CG 3</w:t>
            </w:r>
            <w:r>
              <w:rPr>
                <w:rFonts w:asciiTheme="minorHAnsi" w:eastAsiaTheme="minorEastAsia" w:hAnsiTheme="minorHAnsi" w:cstheme="minorBidi"/>
                <w:szCs w:val="22"/>
              </w:rPr>
              <w:tab/>
            </w:r>
            <w:r w:rsidRPr="00450469">
              <w:rPr>
                <w:rStyle w:val="Hyperlink"/>
              </w:rPr>
              <w:t>Operating Room and Special Procedure Suites</w:t>
            </w:r>
            <w:r>
              <w:rPr>
                <w:webHidden/>
              </w:rPr>
              <w:tab/>
            </w:r>
            <w:r>
              <w:rPr>
                <w:webHidden/>
              </w:rPr>
              <w:fldChar w:fldCharType="begin"/>
            </w:r>
            <w:r>
              <w:rPr>
                <w:webHidden/>
              </w:rPr>
              <w:instrText xml:space="preserve"> PAGEREF _Toc80778496 \h </w:instrText>
            </w:r>
            <w:r>
              <w:rPr>
                <w:webHidden/>
              </w:rPr>
            </w:r>
            <w:r>
              <w:rPr>
                <w:webHidden/>
              </w:rPr>
              <w:fldChar w:fldCharType="separate"/>
            </w:r>
            <w:r>
              <w:rPr>
                <w:webHidden/>
              </w:rPr>
              <w:t>18</w:t>
            </w:r>
            <w:r>
              <w:rPr>
                <w:webHidden/>
              </w:rPr>
              <w:fldChar w:fldCharType="end"/>
            </w:r>
          </w:hyperlink>
        </w:p>
        <w:p w14:paraId="5B74FA52" w14:textId="55FD21A1" w:rsidR="00A27C5B" w:rsidRDefault="00A27C5B">
          <w:pPr>
            <w:pStyle w:val="TOC2"/>
            <w:tabs>
              <w:tab w:val="left" w:pos="880"/>
            </w:tabs>
            <w:rPr>
              <w:rFonts w:asciiTheme="minorHAnsi" w:eastAsiaTheme="minorEastAsia" w:hAnsiTheme="minorHAnsi" w:cstheme="minorBidi"/>
              <w:szCs w:val="22"/>
            </w:rPr>
          </w:pPr>
          <w:hyperlink w:anchor="_Toc80778497" w:history="1">
            <w:r w:rsidRPr="00450469">
              <w:rPr>
                <w:rStyle w:val="Hyperlink"/>
              </w:rPr>
              <w:t>CG 4</w:t>
            </w:r>
            <w:r>
              <w:rPr>
                <w:rFonts w:asciiTheme="minorHAnsi" w:eastAsiaTheme="minorEastAsia" w:hAnsiTheme="minorHAnsi" w:cstheme="minorBidi"/>
                <w:szCs w:val="22"/>
              </w:rPr>
              <w:tab/>
            </w:r>
            <w:r w:rsidRPr="00450469">
              <w:rPr>
                <w:rStyle w:val="Hyperlink"/>
              </w:rPr>
              <w:t>Teaching and Training</w:t>
            </w:r>
            <w:r>
              <w:rPr>
                <w:webHidden/>
              </w:rPr>
              <w:tab/>
            </w:r>
            <w:r>
              <w:rPr>
                <w:webHidden/>
              </w:rPr>
              <w:fldChar w:fldCharType="begin"/>
            </w:r>
            <w:r>
              <w:rPr>
                <w:webHidden/>
              </w:rPr>
              <w:instrText xml:space="preserve"> PAGEREF _Toc80778497 \h </w:instrText>
            </w:r>
            <w:r>
              <w:rPr>
                <w:webHidden/>
              </w:rPr>
            </w:r>
            <w:r>
              <w:rPr>
                <w:webHidden/>
              </w:rPr>
              <w:fldChar w:fldCharType="separate"/>
            </w:r>
            <w:r>
              <w:rPr>
                <w:webHidden/>
              </w:rPr>
              <w:t>23</w:t>
            </w:r>
            <w:r>
              <w:rPr>
                <w:webHidden/>
              </w:rPr>
              <w:fldChar w:fldCharType="end"/>
            </w:r>
          </w:hyperlink>
        </w:p>
        <w:p w14:paraId="31B3F315" w14:textId="7DE674F4" w:rsidR="00A27C5B" w:rsidRDefault="00A27C5B">
          <w:pPr>
            <w:pStyle w:val="TOC2"/>
            <w:tabs>
              <w:tab w:val="left" w:pos="880"/>
            </w:tabs>
            <w:rPr>
              <w:rFonts w:asciiTheme="minorHAnsi" w:eastAsiaTheme="minorEastAsia" w:hAnsiTheme="minorHAnsi" w:cstheme="minorBidi"/>
              <w:szCs w:val="22"/>
            </w:rPr>
          </w:pPr>
          <w:hyperlink w:anchor="_Toc80778498" w:history="1">
            <w:r w:rsidRPr="00450469">
              <w:rPr>
                <w:rStyle w:val="Hyperlink"/>
              </w:rPr>
              <w:t>CG 5</w:t>
            </w:r>
            <w:r>
              <w:rPr>
                <w:rFonts w:asciiTheme="minorHAnsi" w:eastAsiaTheme="minorEastAsia" w:hAnsiTheme="minorHAnsi" w:cstheme="minorBidi"/>
                <w:szCs w:val="22"/>
              </w:rPr>
              <w:tab/>
            </w:r>
            <w:r w:rsidRPr="00450469">
              <w:rPr>
                <w:rStyle w:val="Hyperlink"/>
              </w:rPr>
              <w:t>Research</w:t>
            </w:r>
            <w:r>
              <w:rPr>
                <w:webHidden/>
              </w:rPr>
              <w:tab/>
            </w:r>
            <w:r>
              <w:rPr>
                <w:webHidden/>
              </w:rPr>
              <w:fldChar w:fldCharType="begin"/>
            </w:r>
            <w:r>
              <w:rPr>
                <w:webHidden/>
              </w:rPr>
              <w:instrText xml:space="preserve"> PAGEREF _Toc80778498 \h </w:instrText>
            </w:r>
            <w:r>
              <w:rPr>
                <w:webHidden/>
              </w:rPr>
            </w:r>
            <w:r>
              <w:rPr>
                <w:webHidden/>
              </w:rPr>
              <w:fldChar w:fldCharType="separate"/>
            </w:r>
            <w:r>
              <w:rPr>
                <w:webHidden/>
              </w:rPr>
              <w:t>27</w:t>
            </w:r>
            <w:r>
              <w:rPr>
                <w:webHidden/>
              </w:rPr>
              <w:fldChar w:fldCharType="end"/>
            </w:r>
          </w:hyperlink>
        </w:p>
        <w:p w14:paraId="5F81378E" w14:textId="3AA159CF" w:rsidR="00A27C5B" w:rsidRDefault="00A27C5B">
          <w:pPr>
            <w:pStyle w:val="TOC2"/>
            <w:tabs>
              <w:tab w:val="left" w:pos="880"/>
            </w:tabs>
            <w:rPr>
              <w:rFonts w:asciiTheme="minorHAnsi" w:eastAsiaTheme="minorEastAsia" w:hAnsiTheme="minorHAnsi" w:cstheme="minorBidi"/>
              <w:szCs w:val="22"/>
            </w:rPr>
          </w:pPr>
          <w:hyperlink w:anchor="_Toc80778499" w:history="1">
            <w:r w:rsidRPr="00450469">
              <w:rPr>
                <w:rStyle w:val="Hyperlink"/>
              </w:rPr>
              <w:t>CG 6</w:t>
            </w:r>
            <w:r>
              <w:rPr>
                <w:rFonts w:asciiTheme="minorHAnsi" w:eastAsiaTheme="minorEastAsia" w:hAnsiTheme="minorHAnsi" w:cstheme="minorBidi"/>
                <w:szCs w:val="22"/>
              </w:rPr>
              <w:tab/>
            </w:r>
            <w:r w:rsidRPr="00450469">
              <w:rPr>
                <w:rStyle w:val="Hyperlink"/>
              </w:rPr>
              <w:t>Blood Products</w:t>
            </w:r>
            <w:r>
              <w:rPr>
                <w:webHidden/>
              </w:rPr>
              <w:tab/>
            </w:r>
            <w:r>
              <w:rPr>
                <w:webHidden/>
              </w:rPr>
              <w:fldChar w:fldCharType="begin"/>
            </w:r>
            <w:r>
              <w:rPr>
                <w:webHidden/>
              </w:rPr>
              <w:instrText xml:space="preserve"> PAGEREF _Toc80778499 \h </w:instrText>
            </w:r>
            <w:r>
              <w:rPr>
                <w:webHidden/>
              </w:rPr>
            </w:r>
            <w:r>
              <w:rPr>
                <w:webHidden/>
              </w:rPr>
              <w:fldChar w:fldCharType="separate"/>
            </w:r>
            <w:r>
              <w:rPr>
                <w:webHidden/>
              </w:rPr>
              <w:t>29</w:t>
            </w:r>
            <w:r>
              <w:rPr>
                <w:webHidden/>
              </w:rPr>
              <w:fldChar w:fldCharType="end"/>
            </w:r>
          </w:hyperlink>
        </w:p>
        <w:p w14:paraId="7B3D3500" w14:textId="4FD3D859" w:rsidR="00A27C5B" w:rsidRDefault="00A27C5B">
          <w:pPr>
            <w:pStyle w:val="TOC2"/>
            <w:tabs>
              <w:tab w:val="left" w:pos="880"/>
            </w:tabs>
            <w:rPr>
              <w:rFonts w:asciiTheme="minorHAnsi" w:eastAsiaTheme="minorEastAsia" w:hAnsiTheme="minorHAnsi" w:cstheme="minorBidi"/>
              <w:szCs w:val="22"/>
            </w:rPr>
          </w:pPr>
          <w:hyperlink w:anchor="_Toc80778500" w:history="1">
            <w:r w:rsidRPr="00450469">
              <w:rPr>
                <w:rStyle w:val="Hyperlink"/>
              </w:rPr>
              <w:t>CG 7</w:t>
            </w:r>
            <w:r>
              <w:rPr>
                <w:rFonts w:asciiTheme="minorHAnsi" w:eastAsiaTheme="minorEastAsia" w:hAnsiTheme="minorHAnsi" w:cstheme="minorBidi"/>
                <w:szCs w:val="22"/>
              </w:rPr>
              <w:tab/>
            </w:r>
            <w:r w:rsidRPr="00450469">
              <w:rPr>
                <w:rStyle w:val="Hyperlink"/>
              </w:rPr>
              <w:t>Posthumous Organ Donation</w:t>
            </w:r>
            <w:r>
              <w:rPr>
                <w:webHidden/>
              </w:rPr>
              <w:tab/>
            </w:r>
            <w:r>
              <w:rPr>
                <w:webHidden/>
              </w:rPr>
              <w:fldChar w:fldCharType="begin"/>
            </w:r>
            <w:r>
              <w:rPr>
                <w:webHidden/>
              </w:rPr>
              <w:instrText xml:space="preserve"> PAGEREF _Toc80778500 \h </w:instrText>
            </w:r>
            <w:r>
              <w:rPr>
                <w:webHidden/>
              </w:rPr>
            </w:r>
            <w:r>
              <w:rPr>
                <w:webHidden/>
              </w:rPr>
              <w:fldChar w:fldCharType="separate"/>
            </w:r>
            <w:r>
              <w:rPr>
                <w:webHidden/>
              </w:rPr>
              <w:t>33</w:t>
            </w:r>
            <w:r>
              <w:rPr>
                <w:webHidden/>
              </w:rPr>
              <w:fldChar w:fldCharType="end"/>
            </w:r>
          </w:hyperlink>
        </w:p>
        <w:p w14:paraId="762728D9" w14:textId="28BFAF98" w:rsidR="00A27C5B" w:rsidRDefault="00A27C5B">
          <w:pPr>
            <w:pStyle w:val="TOC2"/>
            <w:tabs>
              <w:tab w:val="left" w:pos="880"/>
            </w:tabs>
            <w:rPr>
              <w:rFonts w:asciiTheme="minorHAnsi" w:eastAsiaTheme="minorEastAsia" w:hAnsiTheme="minorHAnsi" w:cstheme="minorBidi"/>
              <w:szCs w:val="22"/>
            </w:rPr>
          </w:pPr>
          <w:hyperlink w:anchor="_Toc80778501" w:history="1">
            <w:r w:rsidRPr="00450469">
              <w:rPr>
                <w:rStyle w:val="Hyperlink"/>
              </w:rPr>
              <w:t>CG 8</w:t>
            </w:r>
            <w:r>
              <w:rPr>
                <w:rFonts w:asciiTheme="minorHAnsi" w:eastAsiaTheme="minorEastAsia" w:hAnsiTheme="minorHAnsi" w:cstheme="minorBidi"/>
                <w:szCs w:val="22"/>
              </w:rPr>
              <w:tab/>
            </w:r>
            <w:r w:rsidRPr="00450469">
              <w:rPr>
                <w:rStyle w:val="Hyperlink"/>
              </w:rPr>
              <w:t>Non-Admitted Patients</w:t>
            </w:r>
            <w:r>
              <w:rPr>
                <w:webHidden/>
              </w:rPr>
              <w:tab/>
            </w:r>
            <w:r>
              <w:rPr>
                <w:webHidden/>
              </w:rPr>
              <w:fldChar w:fldCharType="begin"/>
            </w:r>
            <w:r>
              <w:rPr>
                <w:webHidden/>
              </w:rPr>
              <w:instrText xml:space="preserve"> PAGEREF _Toc80778501 \h </w:instrText>
            </w:r>
            <w:r>
              <w:rPr>
                <w:webHidden/>
              </w:rPr>
            </w:r>
            <w:r>
              <w:rPr>
                <w:webHidden/>
              </w:rPr>
              <w:fldChar w:fldCharType="separate"/>
            </w:r>
            <w:r>
              <w:rPr>
                <w:webHidden/>
              </w:rPr>
              <w:t>35</w:t>
            </w:r>
            <w:r>
              <w:rPr>
                <w:webHidden/>
              </w:rPr>
              <w:fldChar w:fldCharType="end"/>
            </w:r>
          </w:hyperlink>
        </w:p>
        <w:p w14:paraId="575703BE" w14:textId="4941F347" w:rsidR="00A27C5B" w:rsidRDefault="00A27C5B">
          <w:pPr>
            <w:pStyle w:val="TOC2"/>
            <w:tabs>
              <w:tab w:val="left" w:pos="880"/>
            </w:tabs>
            <w:rPr>
              <w:rFonts w:asciiTheme="minorHAnsi" w:eastAsiaTheme="minorEastAsia" w:hAnsiTheme="minorHAnsi" w:cstheme="minorBidi"/>
              <w:szCs w:val="22"/>
            </w:rPr>
          </w:pPr>
          <w:hyperlink w:anchor="_Toc80778502" w:history="1">
            <w:r w:rsidRPr="00450469">
              <w:rPr>
                <w:rStyle w:val="Hyperlink"/>
              </w:rPr>
              <w:t>CG 9</w:t>
            </w:r>
            <w:r>
              <w:rPr>
                <w:rFonts w:asciiTheme="minorHAnsi" w:eastAsiaTheme="minorEastAsia" w:hAnsiTheme="minorHAnsi" w:cstheme="minorBidi"/>
                <w:szCs w:val="22"/>
              </w:rPr>
              <w:tab/>
            </w:r>
            <w:r w:rsidRPr="00450469">
              <w:rPr>
                <w:rStyle w:val="Hyperlink"/>
              </w:rPr>
              <w:t>Mental Health Services</w:t>
            </w:r>
            <w:r>
              <w:rPr>
                <w:webHidden/>
              </w:rPr>
              <w:tab/>
            </w:r>
            <w:r>
              <w:rPr>
                <w:webHidden/>
              </w:rPr>
              <w:fldChar w:fldCharType="begin"/>
            </w:r>
            <w:r>
              <w:rPr>
                <w:webHidden/>
              </w:rPr>
              <w:instrText xml:space="preserve"> PAGEREF _Toc80778502 \h </w:instrText>
            </w:r>
            <w:r>
              <w:rPr>
                <w:webHidden/>
              </w:rPr>
            </w:r>
            <w:r>
              <w:rPr>
                <w:webHidden/>
              </w:rPr>
              <w:fldChar w:fldCharType="separate"/>
            </w:r>
            <w:r>
              <w:rPr>
                <w:webHidden/>
              </w:rPr>
              <w:t>40</w:t>
            </w:r>
            <w:r>
              <w:rPr>
                <w:webHidden/>
              </w:rPr>
              <w:fldChar w:fldCharType="end"/>
            </w:r>
          </w:hyperlink>
        </w:p>
        <w:p w14:paraId="4037740E" w14:textId="2F9054E6" w:rsidR="00A27C5B" w:rsidRDefault="00A27C5B">
          <w:pPr>
            <w:pStyle w:val="TOC2"/>
            <w:tabs>
              <w:tab w:val="left" w:pos="880"/>
            </w:tabs>
            <w:rPr>
              <w:rFonts w:asciiTheme="minorHAnsi" w:eastAsiaTheme="minorEastAsia" w:hAnsiTheme="minorHAnsi" w:cstheme="minorBidi"/>
              <w:szCs w:val="22"/>
            </w:rPr>
          </w:pPr>
          <w:hyperlink w:anchor="_Toc80778503" w:history="1">
            <w:r w:rsidRPr="00450469">
              <w:rPr>
                <w:rStyle w:val="Hyperlink"/>
              </w:rPr>
              <w:t>CG 10</w:t>
            </w:r>
            <w:r>
              <w:rPr>
                <w:rFonts w:asciiTheme="minorHAnsi" w:eastAsiaTheme="minorEastAsia" w:hAnsiTheme="minorHAnsi" w:cstheme="minorBidi"/>
                <w:szCs w:val="22"/>
              </w:rPr>
              <w:tab/>
            </w:r>
            <w:r w:rsidRPr="00450469">
              <w:rPr>
                <w:rStyle w:val="Hyperlink"/>
              </w:rPr>
              <w:t>Outreach and Specialist Services</w:t>
            </w:r>
            <w:r>
              <w:rPr>
                <w:webHidden/>
              </w:rPr>
              <w:tab/>
            </w:r>
            <w:r>
              <w:rPr>
                <w:webHidden/>
              </w:rPr>
              <w:fldChar w:fldCharType="begin"/>
            </w:r>
            <w:r>
              <w:rPr>
                <w:webHidden/>
              </w:rPr>
              <w:instrText xml:space="preserve"> PAGEREF _Toc80778503 \h </w:instrText>
            </w:r>
            <w:r>
              <w:rPr>
                <w:webHidden/>
              </w:rPr>
            </w:r>
            <w:r>
              <w:rPr>
                <w:webHidden/>
              </w:rPr>
              <w:fldChar w:fldCharType="separate"/>
            </w:r>
            <w:r>
              <w:rPr>
                <w:webHidden/>
              </w:rPr>
              <w:t>45</w:t>
            </w:r>
            <w:r>
              <w:rPr>
                <w:webHidden/>
              </w:rPr>
              <w:fldChar w:fldCharType="end"/>
            </w:r>
          </w:hyperlink>
        </w:p>
        <w:p w14:paraId="2A6C035F" w14:textId="0EDABF9E" w:rsidR="00A27C5B" w:rsidRDefault="00A27C5B">
          <w:pPr>
            <w:pStyle w:val="TOC2"/>
            <w:tabs>
              <w:tab w:val="left" w:pos="880"/>
            </w:tabs>
            <w:rPr>
              <w:rFonts w:asciiTheme="minorHAnsi" w:eastAsiaTheme="minorEastAsia" w:hAnsiTheme="minorHAnsi" w:cstheme="minorBidi"/>
              <w:szCs w:val="22"/>
            </w:rPr>
          </w:pPr>
          <w:hyperlink w:anchor="_Toc80778504" w:history="1">
            <w:r w:rsidRPr="00450469">
              <w:rPr>
                <w:rStyle w:val="Hyperlink"/>
              </w:rPr>
              <w:t>CG 11</w:t>
            </w:r>
            <w:r>
              <w:rPr>
                <w:rFonts w:asciiTheme="minorHAnsi" w:eastAsiaTheme="minorEastAsia" w:hAnsiTheme="minorHAnsi" w:cstheme="minorBidi"/>
                <w:szCs w:val="22"/>
              </w:rPr>
              <w:tab/>
            </w:r>
            <w:r w:rsidRPr="00450469">
              <w:rPr>
                <w:rStyle w:val="Hyperlink"/>
              </w:rPr>
              <w:t>Interpreter Services</w:t>
            </w:r>
            <w:r>
              <w:rPr>
                <w:webHidden/>
              </w:rPr>
              <w:tab/>
            </w:r>
            <w:r>
              <w:rPr>
                <w:webHidden/>
              </w:rPr>
              <w:fldChar w:fldCharType="begin"/>
            </w:r>
            <w:r>
              <w:rPr>
                <w:webHidden/>
              </w:rPr>
              <w:instrText xml:space="preserve"> PAGEREF _Toc80778504 \h </w:instrText>
            </w:r>
            <w:r>
              <w:rPr>
                <w:webHidden/>
              </w:rPr>
            </w:r>
            <w:r>
              <w:rPr>
                <w:webHidden/>
              </w:rPr>
              <w:fldChar w:fldCharType="separate"/>
            </w:r>
            <w:r>
              <w:rPr>
                <w:webHidden/>
              </w:rPr>
              <w:t>49</w:t>
            </w:r>
            <w:r>
              <w:rPr>
                <w:webHidden/>
              </w:rPr>
              <w:fldChar w:fldCharType="end"/>
            </w:r>
          </w:hyperlink>
        </w:p>
        <w:p w14:paraId="0CCA1587" w14:textId="03F6B35B" w:rsidR="00A27C5B" w:rsidRDefault="00A27C5B">
          <w:pPr>
            <w:pStyle w:val="TOC2"/>
            <w:tabs>
              <w:tab w:val="left" w:pos="880"/>
            </w:tabs>
            <w:rPr>
              <w:rFonts w:asciiTheme="minorHAnsi" w:eastAsiaTheme="minorEastAsia" w:hAnsiTheme="minorHAnsi" w:cstheme="minorBidi"/>
              <w:szCs w:val="22"/>
            </w:rPr>
          </w:pPr>
          <w:hyperlink w:anchor="_Toc80778505" w:history="1">
            <w:r w:rsidRPr="00450469">
              <w:rPr>
                <w:rStyle w:val="Hyperlink"/>
              </w:rPr>
              <w:t>CG 12</w:t>
            </w:r>
            <w:r>
              <w:rPr>
                <w:rFonts w:asciiTheme="minorHAnsi" w:eastAsiaTheme="minorEastAsia" w:hAnsiTheme="minorHAnsi" w:cstheme="minorBidi"/>
                <w:szCs w:val="22"/>
              </w:rPr>
              <w:tab/>
            </w:r>
            <w:r w:rsidRPr="00450469">
              <w:rPr>
                <w:rStyle w:val="Hyperlink"/>
              </w:rPr>
              <w:t>Contracted Care</w:t>
            </w:r>
            <w:r>
              <w:rPr>
                <w:webHidden/>
              </w:rPr>
              <w:tab/>
            </w:r>
            <w:r>
              <w:rPr>
                <w:webHidden/>
              </w:rPr>
              <w:fldChar w:fldCharType="begin"/>
            </w:r>
            <w:r>
              <w:rPr>
                <w:webHidden/>
              </w:rPr>
              <w:instrText xml:space="preserve"> PAGEREF _Toc80778505 \h </w:instrText>
            </w:r>
            <w:r>
              <w:rPr>
                <w:webHidden/>
              </w:rPr>
            </w:r>
            <w:r>
              <w:rPr>
                <w:webHidden/>
              </w:rPr>
              <w:fldChar w:fldCharType="separate"/>
            </w:r>
            <w:r>
              <w:rPr>
                <w:webHidden/>
              </w:rPr>
              <w:t>53</w:t>
            </w:r>
            <w:r>
              <w:rPr>
                <w:webHidden/>
              </w:rPr>
              <w:fldChar w:fldCharType="end"/>
            </w:r>
          </w:hyperlink>
        </w:p>
        <w:p w14:paraId="3FA8907E" w14:textId="68D133FD" w:rsidR="00A27C5B" w:rsidRDefault="00A27C5B">
          <w:pPr>
            <w:pStyle w:val="TOC2"/>
            <w:tabs>
              <w:tab w:val="left" w:pos="880"/>
            </w:tabs>
            <w:rPr>
              <w:rFonts w:asciiTheme="minorHAnsi" w:eastAsiaTheme="minorEastAsia" w:hAnsiTheme="minorHAnsi" w:cstheme="minorBidi"/>
              <w:szCs w:val="22"/>
            </w:rPr>
          </w:pPr>
          <w:hyperlink w:anchor="_Toc80778506" w:history="1">
            <w:r w:rsidRPr="00450469">
              <w:rPr>
                <w:rStyle w:val="Hyperlink"/>
              </w:rPr>
              <w:t>CG 13</w:t>
            </w:r>
            <w:r>
              <w:rPr>
                <w:rFonts w:asciiTheme="minorHAnsi" w:eastAsiaTheme="minorEastAsia" w:hAnsiTheme="minorHAnsi" w:cstheme="minorBidi"/>
                <w:szCs w:val="22"/>
              </w:rPr>
              <w:tab/>
            </w:r>
            <w:r w:rsidRPr="00450469">
              <w:rPr>
                <w:rStyle w:val="Hyperlink"/>
              </w:rPr>
              <w:t>Consultation Liaison</w:t>
            </w:r>
            <w:r>
              <w:rPr>
                <w:webHidden/>
              </w:rPr>
              <w:tab/>
            </w:r>
            <w:r>
              <w:rPr>
                <w:webHidden/>
              </w:rPr>
              <w:fldChar w:fldCharType="begin"/>
            </w:r>
            <w:r>
              <w:rPr>
                <w:webHidden/>
              </w:rPr>
              <w:instrText xml:space="preserve"> PAGEREF _Toc80778506 \h </w:instrText>
            </w:r>
            <w:r>
              <w:rPr>
                <w:webHidden/>
              </w:rPr>
            </w:r>
            <w:r>
              <w:rPr>
                <w:webHidden/>
              </w:rPr>
              <w:fldChar w:fldCharType="separate"/>
            </w:r>
            <w:r>
              <w:rPr>
                <w:webHidden/>
              </w:rPr>
              <w:t>57</w:t>
            </w:r>
            <w:r>
              <w:rPr>
                <w:webHidden/>
              </w:rPr>
              <w:fldChar w:fldCharType="end"/>
            </w:r>
          </w:hyperlink>
        </w:p>
        <w:p w14:paraId="40BC114F" w14:textId="5496035F" w:rsidR="00A27C5B" w:rsidRDefault="00A27C5B">
          <w:pPr>
            <w:pStyle w:val="TOC1"/>
            <w:rPr>
              <w:rFonts w:asciiTheme="minorHAnsi" w:eastAsiaTheme="minorEastAsia" w:hAnsiTheme="minorHAnsi" w:cstheme="minorBidi"/>
              <w:b w:val="0"/>
              <w:szCs w:val="22"/>
            </w:rPr>
          </w:pPr>
          <w:hyperlink w:anchor="_Toc80778507" w:history="1">
            <w:r w:rsidRPr="00450469">
              <w:rPr>
                <w:rStyle w:val="Hyperlink"/>
              </w:rPr>
              <w:t>Glossary</w:t>
            </w:r>
            <w:r>
              <w:rPr>
                <w:webHidden/>
              </w:rPr>
              <w:tab/>
            </w:r>
            <w:r>
              <w:rPr>
                <w:webHidden/>
              </w:rPr>
              <w:fldChar w:fldCharType="begin"/>
            </w:r>
            <w:r>
              <w:rPr>
                <w:webHidden/>
              </w:rPr>
              <w:instrText xml:space="preserve"> PAGEREF _Toc80778507 \h </w:instrText>
            </w:r>
            <w:r>
              <w:rPr>
                <w:webHidden/>
              </w:rPr>
            </w:r>
            <w:r>
              <w:rPr>
                <w:webHidden/>
              </w:rPr>
              <w:fldChar w:fldCharType="separate"/>
            </w:r>
            <w:r>
              <w:rPr>
                <w:webHidden/>
              </w:rPr>
              <w:t>61</w:t>
            </w:r>
            <w:r>
              <w:rPr>
                <w:webHidden/>
              </w:rPr>
              <w:fldChar w:fldCharType="end"/>
            </w:r>
          </w:hyperlink>
        </w:p>
        <w:p w14:paraId="09F0CDE2" w14:textId="7CF5F618" w:rsidR="00A27C5B" w:rsidRDefault="00A27C5B">
          <w:pPr>
            <w:pStyle w:val="TOC1"/>
            <w:rPr>
              <w:rFonts w:asciiTheme="minorHAnsi" w:eastAsiaTheme="minorEastAsia" w:hAnsiTheme="minorHAnsi" w:cstheme="minorBidi"/>
              <w:b w:val="0"/>
              <w:szCs w:val="22"/>
            </w:rPr>
          </w:pPr>
          <w:hyperlink w:anchor="_Toc80778508" w:history="1">
            <w:r w:rsidRPr="00450469">
              <w:rPr>
                <w:rStyle w:val="Hyperlink"/>
              </w:rPr>
              <w:t>Attachment A – The Patient Costing Process</w:t>
            </w:r>
            <w:r>
              <w:rPr>
                <w:webHidden/>
              </w:rPr>
              <w:tab/>
            </w:r>
            <w:r>
              <w:rPr>
                <w:webHidden/>
              </w:rPr>
              <w:fldChar w:fldCharType="begin"/>
            </w:r>
            <w:r>
              <w:rPr>
                <w:webHidden/>
              </w:rPr>
              <w:instrText xml:space="preserve"> PAGEREF _Toc80778508 \h </w:instrText>
            </w:r>
            <w:r>
              <w:rPr>
                <w:webHidden/>
              </w:rPr>
            </w:r>
            <w:r>
              <w:rPr>
                <w:webHidden/>
              </w:rPr>
              <w:fldChar w:fldCharType="separate"/>
            </w:r>
            <w:r>
              <w:rPr>
                <w:webHidden/>
              </w:rPr>
              <w:t>69</w:t>
            </w:r>
            <w:r>
              <w:rPr>
                <w:webHidden/>
              </w:rPr>
              <w:fldChar w:fldCharType="end"/>
            </w:r>
          </w:hyperlink>
        </w:p>
        <w:p w14:paraId="68D63ABF" w14:textId="5BD4AEF9" w:rsidR="00E418CF" w:rsidRDefault="00897CD3" w:rsidP="00A221B9">
          <w:pPr>
            <w:tabs>
              <w:tab w:val="right" w:leader="dot" w:pos="9356"/>
            </w:tabs>
          </w:pPr>
          <w:r>
            <w:rPr>
              <w:b/>
              <w:noProof/>
            </w:rPr>
            <w:fldChar w:fldCharType="end"/>
          </w:r>
        </w:p>
      </w:sdtContent>
    </w:sdt>
    <w:p w14:paraId="68D63AC0" w14:textId="77777777" w:rsidR="00600F10" w:rsidRDefault="00600F10" w:rsidP="00600F10">
      <w:pPr>
        <w:pStyle w:val="TOCHeading"/>
      </w:pPr>
      <w:r>
        <w:br w:type="page"/>
      </w:r>
    </w:p>
    <w:p w14:paraId="68D63AC1" w14:textId="77777777" w:rsidR="004B4BC0" w:rsidRDefault="00C27FB2" w:rsidP="00AA4832">
      <w:pPr>
        <w:pStyle w:val="Heading1"/>
        <w:spacing w:after="480"/>
      </w:pPr>
      <w:bookmarkStart w:id="4" w:name="_Toc80778490"/>
      <w:r>
        <w:lastRenderedPageBreak/>
        <w:t>Introduction</w:t>
      </w:r>
      <w:bookmarkEnd w:id="4"/>
    </w:p>
    <w:p w14:paraId="68D63AC2" w14:textId="1E73FFC2" w:rsidR="003918E6" w:rsidRPr="00927F40" w:rsidRDefault="003918E6" w:rsidP="003918E6">
      <w:pPr>
        <w:pStyle w:val="Intro"/>
        <w:rPr>
          <w:rStyle w:val="LineNumber"/>
          <w:color w:val="auto"/>
        </w:rPr>
      </w:pPr>
      <w:r w:rsidRPr="00927F40">
        <w:rPr>
          <w:rStyle w:val="LineNumber"/>
          <w:color w:val="auto"/>
        </w:rPr>
        <w:t>The purpose of this document is to practically assist costing practitioners to identify and attain all the relevant information for costing purposes both within their organisation and their respective jurisdiction to enable them to adhere to the Australian Hospital Patient Costing Standards (AHPCS) Version 4.</w:t>
      </w:r>
      <w:r w:rsidR="009B4217" w:rsidRPr="00927F40">
        <w:rPr>
          <w:rStyle w:val="LineNumber"/>
          <w:color w:val="auto"/>
        </w:rPr>
        <w:t>1</w:t>
      </w:r>
      <w:r w:rsidRPr="00927F40">
        <w:rPr>
          <w:rStyle w:val="LineNumber"/>
          <w:color w:val="auto"/>
        </w:rPr>
        <w:t>.</w:t>
      </w:r>
    </w:p>
    <w:p w14:paraId="68D63AC3" w14:textId="77777777" w:rsidR="003918E6" w:rsidRDefault="003918E6" w:rsidP="00D97D20">
      <w:pPr>
        <w:pStyle w:val="Heading2"/>
        <w:numPr>
          <w:ilvl w:val="0"/>
          <w:numId w:val="0"/>
        </w:numPr>
        <w:rPr>
          <w:rFonts w:eastAsia="Calibri"/>
        </w:rPr>
      </w:pPr>
      <w:bookmarkStart w:id="5" w:name="_Toc489973066"/>
      <w:bookmarkStart w:id="6" w:name="_Toc80778491"/>
      <w:r>
        <w:rPr>
          <w:rFonts w:eastAsia="Calibri"/>
        </w:rPr>
        <w:t>Structure</w:t>
      </w:r>
      <w:bookmarkEnd w:id="5"/>
      <w:bookmarkEnd w:id="6"/>
    </w:p>
    <w:p w14:paraId="68D63AC4" w14:textId="0F43885A" w:rsidR="003918E6" w:rsidRPr="00F27A6D" w:rsidRDefault="003918E6" w:rsidP="003918E6">
      <w:pPr>
        <w:rPr>
          <w:rFonts w:eastAsia="Calibri"/>
        </w:rPr>
      </w:pPr>
      <w:r w:rsidRPr="00F27A6D">
        <w:rPr>
          <w:rFonts w:eastAsia="Calibri"/>
        </w:rPr>
        <w:t xml:space="preserve">The </w:t>
      </w:r>
      <w:r w:rsidR="006252EC">
        <w:rPr>
          <w:rFonts w:eastAsia="Calibri"/>
        </w:rPr>
        <w:t>AHPCS</w:t>
      </w:r>
      <w:r w:rsidRPr="00F27A6D">
        <w:rPr>
          <w:rFonts w:eastAsia="Calibri"/>
        </w:rPr>
        <w:t xml:space="preserve"> Version 4.</w:t>
      </w:r>
      <w:r w:rsidR="009B4217">
        <w:rPr>
          <w:rFonts w:eastAsia="Calibri"/>
        </w:rPr>
        <w:t>1</w:t>
      </w:r>
      <w:r w:rsidRPr="00F27A6D">
        <w:rPr>
          <w:rFonts w:eastAsia="Calibri"/>
        </w:rPr>
        <w:t xml:space="preserve"> consists of </w:t>
      </w:r>
      <w:r w:rsidR="006025F0">
        <w:rPr>
          <w:rFonts w:eastAsia="Calibri"/>
        </w:rPr>
        <w:t>three</w:t>
      </w:r>
      <w:r w:rsidRPr="00F27A6D">
        <w:rPr>
          <w:rFonts w:eastAsia="Calibri"/>
        </w:rPr>
        <w:t xml:space="preserve"> parts:</w:t>
      </w:r>
    </w:p>
    <w:p w14:paraId="68D63AC5" w14:textId="77777777" w:rsidR="003918E6" w:rsidRPr="00F27A6D" w:rsidRDefault="003918E6" w:rsidP="003918E6">
      <w:pPr>
        <w:rPr>
          <w:rFonts w:eastAsia="Calibri"/>
        </w:rPr>
      </w:pPr>
      <w:r w:rsidRPr="00F27A6D">
        <w:rPr>
          <w:rFonts w:eastAsia="Calibri"/>
          <w:b/>
        </w:rPr>
        <w:t>Part 1</w:t>
      </w:r>
      <w:r w:rsidRPr="00F27A6D">
        <w:rPr>
          <w:rFonts w:eastAsia="Calibri"/>
        </w:rPr>
        <w:t>: Standards</w:t>
      </w:r>
      <w:r w:rsidR="00526C6A">
        <w:rPr>
          <w:rFonts w:eastAsia="Calibri"/>
        </w:rPr>
        <w:t xml:space="preserve"> (including Attachments)</w:t>
      </w:r>
    </w:p>
    <w:p w14:paraId="68D63AC6" w14:textId="2CD2A2BD" w:rsidR="003918E6" w:rsidRDefault="003918E6" w:rsidP="003918E6">
      <w:pPr>
        <w:rPr>
          <w:rFonts w:eastAsia="Calibri"/>
        </w:rPr>
      </w:pPr>
      <w:r w:rsidRPr="00F27A6D">
        <w:rPr>
          <w:rFonts w:eastAsia="Calibri"/>
          <w:b/>
        </w:rPr>
        <w:t>Part 2</w:t>
      </w:r>
      <w:r w:rsidRPr="00F27A6D">
        <w:rPr>
          <w:rFonts w:eastAsia="Calibri"/>
        </w:rPr>
        <w:t xml:space="preserve">: </w:t>
      </w:r>
      <w:r w:rsidR="00B63007">
        <w:rPr>
          <w:rFonts w:eastAsia="Calibri"/>
        </w:rPr>
        <w:t xml:space="preserve">Business </w:t>
      </w:r>
      <w:r w:rsidR="006252EC">
        <w:rPr>
          <w:rFonts w:eastAsia="Calibri"/>
        </w:rPr>
        <w:t>R</w:t>
      </w:r>
      <w:r w:rsidR="00B63007">
        <w:rPr>
          <w:rFonts w:eastAsia="Calibri"/>
        </w:rPr>
        <w:t>ules</w:t>
      </w:r>
    </w:p>
    <w:p w14:paraId="68D63AC7" w14:textId="27B9EF6C" w:rsidR="003918E6" w:rsidRPr="00F27A6D" w:rsidRDefault="003918E6" w:rsidP="003918E6">
      <w:pPr>
        <w:rPr>
          <w:rFonts w:eastAsia="Calibri"/>
        </w:rPr>
      </w:pPr>
      <w:r w:rsidRPr="003918E6">
        <w:rPr>
          <w:rFonts w:eastAsia="Calibri"/>
          <w:b/>
        </w:rPr>
        <w:t>Part 3</w:t>
      </w:r>
      <w:r>
        <w:rPr>
          <w:rFonts w:eastAsia="Calibri"/>
        </w:rPr>
        <w:t xml:space="preserve">: </w:t>
      </w:r>
      <w:r w:rsidR="00B63007">
        <w:rPr>
          <w:rFonts w:eastAsia="Calibri"/>
        </w:rPr>
        <w:t xml:space="preserve">Costing </w:t>
      </w:r>
      <w:r w:rsidR="006252EC">
        <w:rPr>
          <w:rFonts w:eastAsia="Calibri"/>
        </w:rPr>
        <w:t>G</w:t>
      </w:r>
      <w:r w:rsidR="00B63007">
        <w:rPr>
          <w:rFonts w:eastAsia="Calibri"/>
        </w:rPr>
        <w:t>uidelines</w:t>
      </w:r>
      <w:r w:rsidR="001B41F4">
        <w:rPr>
          <w:rFonts w:eastAsia="Calibri"/>
        </w:rPr>
        <w:t>.</w:t>
      </w:r>
    </w:p>
    <w:p w14:paraId="68D63AC8" w14:textId="2322D602" w:rsidR="003918E6" w:rsidRPr="00F27A6D" w:rsidRDefault="003918E6" w:rsidP="003918E6">
      <w:pPr>
        <w:rPr>
          <w:rFonts w:eastAsia="Calibri"/>
        </w:rPr>
      </w:pPr>
      <w:r w:rsidRPr="00F27A6D">
        <w:rPr>
          <w:rFonts w:eastAsia="Calibri"/>
        </w:rPr>
        <w:t xml:space="preserve">This document forms the </w:t>
      </w:r>
      <w:r w:rsidR="00B63007">
        <w:rPr>
          <w:rFonts w:eastAsia="Calibri"/>
        </w:rPr>
        <w:t xml:space="preserve">Costing </w:t>
      </w:r>
      <w:r w:rsidR="006252EC">
        <w:rPr>
          <w:rFonts w:eastAsia="Calibri"/>
        </w:rPr>
        <w:t>G</w:t>
      </w:r>
      <w:r w:rsidR="00B63007">
        <w:rPr>
          <w:rFonts w:eastAsia="Calibri"/>
        </w:rPr>
        <w:t>uidelines</w:t>
      </w:r>
      <w:r w:rsidRPr="00F27A6D">
        <w:rPr>
          <w:rFonts w:eastAsia="Calibri"/>
        </w:rPr>
        <w:t>.</w:t>
      </w:r>
    </w:p>
    <w:p w14:paraId="68D63AC9" w14:textId="77777777" w:rsidR="003918E6" w:rsidRDefault="003918E6" w:rsidP="00897CD3">
      <w:pPr>
        <w:pStyle w:val="Heading3"/>
        <w:numPr>
          <w:ilvl w:val="0"/>
          <w:numId w:val="0"/>
        </w:numPr>
        <w:rPr>
          <w:rFonts w:eastAsia="Calibri"/>
        </w:rPr>
      </w:pPr>
      <w:r w:rsidRPr="00D45B1A">
        <w:rPr>
          <w:rFonts w:eastAsia="Calibri"/>
        </w:rPr>
        <w:t>Standards</w:t>
      </w:r>
    </w:p>
    <w:p w14:paraId="68D63ACA" w14:textId="77777777" w:rsidR="003918E6" w:rsidRPr="00927F40" w:rsidRDefault="003918E6" w:rsidP="00225456">
      <w:pPr>
        <w:pStyle w:val="Intro"/>
        <w:rPr>
          <w:rStyle w:val="LineNumber"/>
          <w:color w:val="auto"/>
        </w:rPr>
      </w:pPr>
      <w:r w:rsidRPr="00927F40">
        <w:rPr>
          <w:rStyle w:val="LineNumber"/>
          <w:color w:val="auto"/>
        </w:rPr>
        <w:t xml:space="preserve">The Standards are </w:t>
      </w:r>
      <w:r w:rsidR="0048059D" w:rsidRPr="00927F40">
        <w:rPr>
          <w:rStyle w:val="LineNumber"/>
          <w:color w:val="auto"/>
        </w:rPr>
        <w:t>overarching principles to support and</w:t>
      </w:r>
      <w:r w:rsidRPr="00927F40">
        <w:rPr>
          <w:rStyle w:val="LineNumber"/>
          <w:color w:val="auto"/>
        </w:rPr>
        <w:t xml:space="preserve"> to inform each step in the process of patient level and product costing. They are designed to inform the recommended approach to</w:t>
      </w:r>
      <w:r w:rsidR="0048059D" w:rsidRPr="00927F40">
        <w:rPr>
          <w:rStyle w:val="LineNumber"/>
          <w:color w:val="auto"/>
        </w:rPr>
        <w:t xml:space="preserve"> the</w:t>
      </w:r>
      <w:r w:rsidRPr="00927F40">
        <w:rPr>
          <w:rStyle w:val="LineNumber"/>
          <w:color w:val="auto"/>
        </w:rPr>
        <w:t xml:space="preserve"> costing </w:t>
      </w:r>
      <w:r w:rsidR="0048059D" w:rsidRPr="00927F40">
        <w:rPr>
          <w:rStyle w:val="LineNumber"/>
          <w:color w:val="auto"/>
        </w:rPr>
        <w:t>process</w:t>
      </w:r>
      <w:r w:rsidRPr="00927F40">
        <w:rPr>
          <w:rStyle w:val="LineNumber"/>
          <w:color w:val="auto"/>
        </w:rPr>
        <w:t xml:space="preserve"> and are not meant to be static. The structure of the Standards is intended to more closely align with the product costing process. The Standards are evolving guidelines that will continue to be updated and improved upon, as processes develop.</w:t>
      </w:r>
    </w:p>
    <w:p w14:paraId="68D63ACB" w14:textId="0A78C10E" w:rsidR="003918E6" w:rsidRDefault="00B63007" w:rsidP="00897CD3">
      <w:pPr>
        <w:pStyle w:val="Heading3"/>
        <w:numPr>
          <w:ilvl w:val="0"/>
          <w:numId w:val="0"/>
        </w:numPr>
        <w:rPr>
          <w:rFonts w:eastAsia="Calibri"/>
        </w:rPr>
      </w:pPr>
      <w:r>
        <w:rPr>
          <w:rFonts w:eastAsia="Calibri"/>
        </w:rPr>
        <w:t xml:space="preserve">Business </w:t>
      </w:r>
      <w:r w:rsidR="006252EC">
        <w:rPr>
          <w:rFonts w:eastAsia="Calibri"/>
        </w:rPr>
        <w:t>R</w:t>
      </w:r>
      <w:r>
        <w:rPr>
          <w:rFonts w:eastAsia="Calibri"/>
        </w:rPr>
        <w:t>ules</w:t>
      </w:r>
    </w:p>
    <w:p w14:paraId="68D63ACC" w14:textId="5592DDA6" w:rsidR="003918E6" w:rsidRPr="00D45B1A" w:rsidRDefault="003918E6" w:rsidP="003918E6">
      <w:pPr>
        <w:rPr>
          <w:rFonts w:eastAsia="Calibri"/>
        </w:rPr>
      </w:pPr>
      <w:r>
        <w:rPr>
          <w:rFonts w:eastAsia="Calibri"/>
        </w:rPr>
        <w:t xml:space="preserve">The </w:t>
      </w:r>
      <w:r w:rsidR="00B63007">
        <w:rPr>
          <w:rFonts w:eastAsia="Calibri"/>
        </w:rPr>
        <w:t xml:space="preserve">Business </w:t>
      </w:r>
      <w:r w:rsidR="006252EC">
        <w:rPr>
          <w:rFonts w:eastAsia="Calibri"/>
        </w:rPr>
        <w:t>R</w:t>
      </w:r>
      <w:r w:rsidR="00B63007">
        <w:rPr>
          <w:rFonts w:eastAsia="Calibri"/>
        </w:rPr>
        <w:t>ules</w:t>
      </w:r>
      <w:r w:rsidRPr="00D45B1A">
        <w:rPr>
          <w:rFonts w:eastAsia="Calibri"/>
        </w:rPr>
        <w:t xml:space="preserve"> provide practical</w:t>
      </w:r>
      <w:r>
        <w:rPr>
          <w:rFonts w:eastAsia="Calibri"/>
        </w:rPr>
        <w:t xml:space="preserve"> or detailed guidance on how a S</w:t>
      </w:r>
      <w:r w:rsidRPr="00D45B1A">
        <w:rPr>
          <w:rFonts w:eastAsia="Calibri"/>
        </w:rPr>
        <w:t>tandard can be translated into action. They have been written from a costing practitioner’s perspective and take into account the practical and operational constraints faced by costing practitioners within their organisation when seeking to address the AHPCS Version 4.</w:t>
      </w:r>
      <w:r w:rsidR="009B4217">
        <w:rPr>
          <w:rFonts w:eastAsia="Calibri"/>
        </w:rPr>
        <w:t>1</w:t>
      </w:r>
      <w:r w:rsidRPr="00D45B1A">
        <w:rPr>
          <w:rFonts w:eastAsia="Calibri"/>
        </w:rPr>
        <w:t>. They provide information requirements, definitions, and more detailed information to assist with the costing of more complex services.</w:t>
      </w:r>
    </w:p>
    <w:p w14:paraId="68D63ACD" w14:textId="11517A53" w:rsidR="003918E6" w:rsidRPr="00D45B1A" w:rsidRDefault="003918E6" w:rsidP="003918E6">
      <w:pPr>
        <w:rPr>
          <w:rFonts w:eastAsia="Calibri"/>
        </w:rPr>
      </w:pPr>
      <w:r w:rsidRPr="00D45B1A">
        <w:rPr>
          <w:rFonts w:eastAsia="Calibri"/>
        </w:rPr>
        <w:t xml:space="preserve">These </w:t>
      </w:r>
      <w:r w:rsidR="00B63007">
        <w:rPr>
          <w:rFonts w:eastAsia="Calibri"/>
        </w:rPr>
        <w:t xml:space="preserve">Business </w:t>
      </w:r>
      <w:r w:rsidR="0068166A">
        <w:rPr>
          <w:rFonts w:eastAsia="Calibri"/>
        </w:rPr>
        <w:t>R</w:t>
      </w:r>
      <w:r w:rsidR="00B63007">
        <w:rPr>
          <w:rFonts w:eastAsia="Calibri"/>
        </w:rPr>
        <w:t>ules</w:t>
      </w:r>
      <w:r w:rsidRPr="00D45B1A">
        <w:rPr>
          <w:rFonts w:eastAsia="Calibri"/>
        </w:rPr>
        <w:t xml:space="preserve"> follow the costing process from the general ledger</w:t>
      </w:r>
      <w:r w:rsidR="006252EC">
        <w:rPr>
          <w:rFonts w:eastAsia="Calibri"/>
        </w:rPr>
        <w:t xml:space="preserve"> </w:t>
      </w:r>
      <w:r w:rsidRPr="00D45B1A">
        <w:rPr>
          <w:rFonts w:eastAsia="Calibri"/>
        </w:rPr>
        <w:t>through to the final reconciliation of audited accounts and other information sources used in the costing process, such as feeder systems.</w:t>
      </w:r>
    </w:p>
    <w:p w14:paraId="68D63ACE" w14:textId="7DCE7B52" w:rsidR="003918E6" w:rsidRPr="003918E6" w:rsidRDefault="00B63007" w:rsidP="00897CD3">
      <w:pPr>
        <w:pStyle w:val="Heading3"/>
        <w:numPr>
          <w:ilvl w:val="0"/>
          <w:numId w:val="0"/>
        </w:numPr>
        <w:rPr>
          <w:rFonts w:eastAsia="Calibri"/>
        </w:rPr>
      </w:pPr>
      <w:r>
        <w:rPr>
          <w:rFonts w:eastAsia="Calibri"/>
        </w:rPr>
        <w:t xml:space="preserve">Costing </w:t>
      </w:r>
      <w:r w:rsidR="006252EC">
        <w:rPr>
          <w:rFonts w:eastAsia="Calibri"/>
        </w:rPr>
        <w:t>G</w:t>
      </w:r>
      <w:r>
        <w:rPr>
          <w:rFonts w:eastAsia="Calibri"/>
        </w:rPr>
        <w:t>uidelines</w:t>
      </w:r>
    </w:p>
    <w:p w14:paraId="68D63ACF" w14:textId="5825C1D5" w:rsidR="003918E6" w:rsidRPr="00D45B1A" w:rsidRDefault="00B63007" w:rsidP="003918E6">
      <w:pPr>
        <w:rPr>
          <w:rFonts w:eastAsia="Calibri"/>
        </w:rPr>
      </w:pPr>
      <w:r>
        <w:rPr>
          <w:rFonts w:eastAsia="Calibri"/>
        </w:rPr>
        <w:t>Costing guidelines</w:t>
      </w:r>
      <w:r w:rsidR="003918E6" w:rsidRPr="00D45B1A">
        <w:rPr>
          <w:rFonts w:eastAsia="Calibri"/>
        </w:rPr>
        <w:t xml:space="preserve"> ha</w:t>
      </w:r>
      <w:r w:rsidR="003918E6">
        <w:rPr>
          <w:rFonts w:eastAsia="Calibri"/>
        </w:rPr>
        <w:t>ve</w:t>
      </w:r>
      <w:r w:rsidR="003918E6" w:rsidRPr="00D45B1A">
        <w:rPr>
          <w:rFonts w:eastAsia="Calibri"/>
        </w:rPr>
        <w:t xml:space="preserve"> been developed to guide costing practitioners on how to cost various services within their hospital. </w:t>
      </w:r>
      <w:r w:rsidR="003918E6">
        <w:rPr>
          <w:rFonts w:eastAsia="Calibri"/>
        </w:rPr>
        <w:t xml:space="preserve">These </w:t>
      </w:r>
      <w:r w:rsidR="000654C7">
        <w:rPr>
          <w:rFonts w:eastAsia="Calibri"/>
        </w:rPr>
        <w:t>g</w:t>
      </w:r>
      <w:r>
        <w:rPr>
          <w:rFonts w:eastAsia="Calibri"/>
        </w:rPr>
        <w:t>uidelines</w:t>
      </w:r>
      <w:r w:rsidR="003918E6">
        <w:rPr>
          <w:rFonts w:eastAsia="Calibri"/>
        </w:rPr>
        <w:t xml:space="preserve"> </w:t>
      </w:r>
      <w:r w:rsidR="003918E6" w:rsidRPr="00D45B1A">
        <w:rPr>
          <w:rFonts w:eastAsia="Calibri"/>
        </w:rPr>
        <w:t xml:space="preserve">demonstrate the practical consolidated steps to be undertaken by the costing practitioner to address the relevant </w:t>
      </w:r>
      <w:r>
        <w:rPr>
          <w:rFonts w:eastAsia="Calibri"/>
        </w:rPr>
        <w:t xml:space="preserve">Business </w:t>
      </w:r>
      <w:r w:rsidR="000654C7">
        <w:rPr>
          <w:rFonts w:eastAsia="Calibri"/>
        </w:rPr>
        <w:t>R</w:t>
      </w:r>
      <w:r>
        <w:rPr>
          <w:rFonts w:eastAsia="Calibri"/>
        </w:rPr>
        <w:t>ules</w:t>
      </w:r>
      <w:r w:rsidR="003918E6" w:rsidRPr="00D45B1A">
        <w:rPr>
          <w:rFonts w:eastAsia="Calibri"/>
        </w:rPr>
        <w:t xml:space="preserve"> within each stage to best demonstrate adherence to the standards. </w:t>
      </w:r>
    </w:p>
    <w:p w14:paraId="68D63AD0" w14:textId="5BC135F3" w:rsidR="003918E6" w:rsidRPr="00D45B1A" w:rsidRDefault="003918E6" w:rsidP="003918E6">
      <w:pPr>
        <w:rPr>
          <w:rFonts w:eastAsia="Calibri"/>
        </w:rPr>
      </w:pPr>
      <w:r>
        <w:rPr>
          <w:rFonts w:eastAsia="Calibri"/>
        </w:rPr>
        <w:t xml:space="preserve">The </w:t>
      </w:r>
      <w:r w:rsidR="000654C7">
        <w:rPr>
          <w:rFonts w:eastAsia="Calibri"/>
        </w:rPr>
        <w:t>g</w:t>
      </w:r>
      <w:r w:rsidR="00B63007">
        <w:rPr>
          <w:rFonts w:eastAsia="Calibri"/>
        </w:rPr>
        <w:t>uidelines</w:t>
      </w:r>
      <w:r w:rsidRPr="00D45B1A">
        <w:rPr>
          <w:rFonts w:eastAsia="Calibri"/>
        </w:rPr>
        <w:t xml:space="preserve"> do not </w:t>
      </w:r>
      <w:r w:rsidR="0048059D">
        <w:rPr>
          <w:rFonts w:eastAsia="Calibri"/>
        </w:rPr>
        <w:t xml:space="preserve">purport </w:t>
      </w:r>
      <w:r w:rsidRPr="00D45B1A">
        <w:rPr>
          <w:rFonts w:eastAsia="Calibri"/>
        </w:rPr>
        <w:t>to include all hospital services, but have been developed to demonstrate to costing practitioners the practical steps of costing for specific services raised within the Australian context over a 20-year period.</w:t>
      </w:r>
    </w:p>
    <w:p w14:paraId="68D63AD1" w14:textId="77777777" w:rsidR="00D97D20" w:rsidRDefault="00D97D20">
      <w:pPr>
        <w:spacing w:before="0" w:after="0" w:line="240" w:lineRule="auto"/>
        <w:rPr>
          <w:rFonts w:asciiTheme="majorHAnsi" w:eastAsia="Calibri" w:hAnsiTheme="majorHAnsi" w:cstheme="majorHAnsi"/>
          <w:b/>
          <w:sz w:val="28"/>
          <w:szCs w:val="28"/>
          <w:lang w:eastAsia="ja-JP"/>
        </w:rPr>
      </w:pPr>
      <w:bookmarkStart w:id="7" w:name="_Toc489973067"/>
      <w:r>
        <w:rPr>
          <w:rFonts w:eastAsia="Calibri"/>
        </w:rPr>
        <w:br w:type="page"/>
      </w:r>
    </w:p>
    <w:p w14:paraId="68D63AD2" w14:textId="77777777" w:rsidR="003918E6" w:rsidRDefault="003918E6" w:rsidP="00D97D20">
      <w:pPr>
        <w:pStyle w:val="Heading2"/>
        <w:numPr>
          <w:ilvl w:val="0"/>
          <w:numId w:val="0"/>
        </w:numPr>
        <w:rPr>
          <w:rFonts w:eastAsia="Calibri"/>
        </w:rPr>
      </w:pPr>
      <w:bookmarkStart w:id="8" w:name="_Toc80778492"/>
      <w:r>
        <w:rPr>
          <w:rFonts w:eastAsia="Calibri"/>
        </w:rPr>
        <w:lastRenderedPageBreak/>
        <w:t>Guide to using this document</w:t>
      </w:r>
      <w:bookmarkEnd w:id="7"/>
      <w:bookmarkEnd w:id="8"/>
    </w:p>
    <w:p w14:paraId="68D63AD3" w14:textId="77777777" w:rsidR="003918E6" w:rsidRPr="00D02711" w:rsidRDefault="000F5884" w:rsidP="00897CD3">
      <w:pPr>
        <w:pStyle w:val="Heading3"/>
        <w:numPr>
          <w:ilvl w:val="0"/>
          <w:numId w:val="0"/>
        </w:numPr>
        <w:rPr>
          <w:rFonts w:eastAsia="Calibri"/>
        </w:rPr>
      </w:pPr>
      <w:r>
        <w:rPr>
          <w:rFonts w:eastAsia="Calibri"/>
        </w:rPr>
        <w:t>Application</w:t>
      </w:r>
    </w:p>
    <w:p w14:paraId="68D63AD4" w14:textId="07E52A6D" w:rsidR="003918E6" w:rsidRDefault="000F5884" w:rsidP="000F5884">
      <w:pPr>
        <w:rPr>
          <w:rFonts w:eastAsia="Calibri"/>
        </w:rPr>
      </w:pPr>
      <w:r>
        <w:rPr>
          <w:rFonts w:eastAsia="Calibri"/>
        </w:rPr>
        <w:t xml:space="preserve">The </w:t>
      </w:r>
      <w:r w:rsidR="00B63007">
        <w:rPr>
          <w:rFonts w:eastAsia="Calibri"/>
        </w:rPr>
        <w:t xml:space="preserve">Costing </w:t>
      </w:r>
      <w:r w:rsidR="006252EC">
        <w:rPr>
          <w:rFonts w:eastAsia="Calibri"/>
        </w:rPr>
        <w:t>G</w:t>
      </w:r>
      <w:r w:rsidR="00B63007">
        <w:rPr>
          <w:rFonts w:eastAsia="Calibri"/>
        </w:rPr>
        <w:t>uidelines</w:t>
      </w:r>
      <w:r>
        <w:rPr>
          <w:rFonts w:eastAsia="Calibri"/>
        </w:rPr>
        <w:t xml:space="preserve"> should be read in conjunction with all Standards and </w:t>
      </w:r>
      <w:r w:rsidR="00B63007">
        <w:rPr>
          <w:rFonts w:eastAsia="Calibri"/>
        </w:rPr>
        <w:t xml:space="preserve">Business </w:t>
      </w:r>
      <w:r w:rsidR="006252EC">
        <w:rPr>
          <w:rFonts w:eastAsia="Calibri"/>
        </w:rPr>
        <w:t>R</w:t>
      </w:r>
      <w:r w:rsidR="00B63007">
        <w:rPr>
          <w:rFonts w:eastAsia="Calibri"/>
        </w:rPr>
        <w:t>ules</w:t>
      </w:r>
      <w:r>
        <w:rPr>
          <w:rFonts w:eastAsia="Calibri"/>
        </w:rPr>
        <w:t>.</w:t>
      </w:r>
    </w:p>
    <w:p w14:paraId="68D63AD5" w14:textId="7D9941DB" w:rsidR="0032592A" w:rsidRPr="005C2F23" w:rsidRDefault="0032592A" w:rsidP="000F5884">
      <w:pPr>
        <w:rPr>
          <w:rFonts w:eastAsia="Calibri"/>
        </w:rPr>
      </w:pPr>
      <w:r>
        <w:rPr>
          <w:rFonts w:eastAsia="Calibri"/>
        </w:rPr>
        <w:t xml:space="preserve">The </w:t>
      </w:r>
      <w:r w:rsidR="00B63007">
        <w:rPr>
          <w:rFonts w:eastAsia="Calibri"/>
        </w:rPr>
        <w:t xml:space="preserve">Costing </w:t>
      </w:r>
      <w:r w:rsidR="006252EC">
        <w:rPr>
          <w:rFonts w:eastAsia="Calibri"/>
        </w:rPr>
        <w:t>G</w:t>
      </w:r>
      <w:r w:rsidR="00B63007">
        <w:rPr>
          <w:rFonts w:eastAsia="Calibri"/>
        </w:rPr>
        <w:t>uidelines</w:t>
      </w:r>
      <w:r>
        <w:rPr>
          <w:rFonts w:eastAsia="Calibri"/>
        </w:rPr>
        <w:t xml:space="preserve"> outline the steps to cost various services within hospitals. The relationship between these steps a</w:t>
      </w:r>
      <w:r w:rsidR="000860BD">
        <w:rPr>
          <w:rFonts w:eastAsia="Calibri"/>
        </w:rPr>
        <w:t>nd the costing process stages are</w:t>
      </w:r>
      <w:r>
        <w:rPr>
          <w:rFonts w:eastAsia="Calibri"/>
        </w:rPr>
        <w:t xml:space="preserve"> illustrated </w:t>
      </w:r>
      <w:r w:rsidR="000860BD">
        <w:rPr>
          <w:rFonts w:eastAsia="Calibri"/>
        </w:rPr>
        <w:t xml:space="preserve">in the </w:t>
      </w:r>
      <w:r>
        <w:rPr>
          <w:rFonts w:eastAsia="Calibri"/>
        </w:rPr>
        <w:t xml:space="preserve">flow chart </w:t>
      </w:r>
      <w:r w:rsidRPr="004859B8">
        <w:rPr>
          <w:rFonts w:eastAsia="Calibri"/>
        </w:rPr>
        <w:t xml:space="preserve">provided at Attachment </w:t>
      </w:r>
      <w:r w:rsidR="004859B8" w:rsidRPr="004859B8">
        <w:rPr>
          <w:rFonts w:eastAsia="Calibri"/>
        </w:rPr>
        <w:t>A</w:t>
      </w:r>
      <w:r w:rsidRPr="004859B8">
        <w:rPr>
          <w:rFonts w:eastAsia="Calibri"/>
        </w:rPr>
        <w:t xml:space="preserve"> – The Patient Costing Process.</w:t>
      </w:r>
    </w:p>
    <w:p w14:paraId="68D63AD6" w14:textId="77777777" w:rsidR="003918E6" w:rsidRDefault="003918E6" w:rsidP="00897CD3">
      <w:pPr>
        <w:pStyle w:val="Heading3"/>
        <w:numPr>
          <w:ilvl w:val="0"/>
          <w:numId w:val="0"/>
        </w:numPr>
        <w:rPr>
          <w:rFonts w:eastAsia="Calibri"/>
        </w:rPr>
      </w:pPr>
      <w:r>
        <w:rPr>
          <w:rFonts w:eastAsia="Calibri"/>
        </w:rPr>
        <w:t xml:space="preserve">Numbering </w:t>
      </w:r>
      <w:r w:rsidR="00B63007">
        <w:rPr>
          <w:rFonts w:eastAsia="Calibri"/>
        </w:rPr>
        <w:t>c</w:t>
      </w:r>
      <w:r w:rsidRPr="00445A2C">
        <w:rPr>
          <w:rFonts w:eastAsia="Calibri"/>
        </w:rPr>
        <w:t>onvention</w:t>
      </w:r>
    </w:p>
    <w:p w14:paraId="68D63AD7" w14:textId="7B80597A" w:rsidR="003918E6" w:rsidRDefault="003918E6" w:rsidP="003918E6">
      <w:pPr>
        <w:tabs>
          <w:tab w:val="left" w:pos="567"/>
          <w:tab w:val="left" w:pos="993"/>
        </w:tabs>
        <w:rPr>
          <w:rFonts w:eastAsia="Calibri"/>
        </w:rPr>
      </w:pPr>
      <w:r>
        <w:rPr>
          <w:rFonts w:eastAsia="Calibri"/>
        </w:rPr>
        <w:t xml:space="preserve">The </w:t>
      </w:r>
      <w:r w:rsidR="000F5884">
        <w:rPr>
          <w:rFonts w:eastAsia="Calibri"/>
        </w:rPr>
        <w:t xml:space="preserve">numbering convention </w:t>
      </w:r>
      <w:r>
        <w:rPr>
          <w:rFonts w:eastAsia="Calibri"/>
        </w:rPr>
        <w:t xml:space="preserve">of each </w:t>
      </w:r>
      <w:r w:rsidR="00B63007">
        <w:rPr>
          <w:rFonts w:eastAsia="Calibri"/>
        </w:rPr>
        <w:t xml:space="preserve">Costing </w:t>
      </w:r>
      <w:r w:rsidR="006252EC">
        <w:rPr>
          <w:rFonts w:eastAsia="Calibri"/>
        </w:rPr>
        <w:t>G</w:t>
      </w:r>
      <w:r w:rsidR="00B63007">
        <w:rPr>
          <w:rFonts w:eastAsia="Calibri"/>
        </w:rPr>
        <w:t>uideline</w:t>
      </w:r>
      <w:r>
        <w:rPr>
          <w:rFonts w:eastAsia="Calibri"/>
        </w:rPr>
        <w:t xml:space="preserve"> is in terms of ‘CG N’, where:</w:t>
      </w:r>
    </w:p>
    <w:p w14:paraId="68D63AD8" w14:textId="05F5A552" w:rsidR="003918E6" w:rsidRDefault="003918E6" w:rsidP="003918E6">
      <w:pPr>
        <w:tabs>
          <w:tab w:val="left" w:pos="567"/>
          <w:tab w:val="left" w:pos="993"/>
        </w:tabs>
        <w:rPr>
          <w:rFonts w:eastAsia="Calibri"/>
        </w:rPr>
      </w:pPr>
      <w:r>
        <w:rPr>
          <w:rFonts w:eastAsia="Calibri"/>
        </w:rPr>
        <w:t xml:space="preserve">CG </w:t>
      </w:r>
      <w:r>
        <w:rPr>
          <w:rFonts w:eastAsia="Calibri"/>
        </w:rPr>
        <w:tab/>
        <w:t xml:space="preserve">= </w:t>
      </w:r>
      <w:r>
        <w:rPr>
          <w:rFonts w:eastAsia="Calibri"/>
        </w:rPr>
        <w:tab/>
        <w:t xml:space="preserve">the prefix that indicates that it is a </w:t>
      </w:r>
      <w:r w:rsidR="00B63007">
        <w:rPr>
          <w:rFonts w:eastAsia="Calibri"/>
        </w:rPr>
        <w:t xml:space="preserve">Costing </w:t>
      </w:r>
      <w:r w:rsidR="006252EC">
        <w:rPr>
          <w:rFonts w:eastAsia="Calibri"/>
        </w:rPr>
        <w:t>G</w:t>
      </w:r>
      <w:r w:rsidR="00B63007">
        <w:rPr>
          <w:rFonts w:eastAsia="Calibri"/>
        </w:rPr>
        <w:t>uideline</w:t>
      </w:r>
    </w:p>
    <w:p w14:paraId="68D63AD9" w14:textId="3BD3E1FA" w:rsidR="003918E6" w:rsidRDefault="003918E6" w:rsidP="003918E6">
      <w:pPr>
        <w:tabs>
          <w:tab w:val="left" w:pos="567"/>
          <w:tab w:val="left" w:pos="993"/>
        </w:tabs>
        <w:rPr>
          <w:rFonts w:eastAsia="Calibri"/>
        </w:rPr>
      </w:pPr>
      <w:r>
        <w:rPr>
          <w:rFonts w:eastAsia="Calibri"/>
        </w:rPr>
        <w:t xml:space="preserve">N </w:t>
      </w:r>
      <w:r>
        <w:rPr>
          <w:rFonts w:eastAsia="Calibri"/>
        </w:rPr>
        <w:tab/>
        <w:t xml:space="preserve">= </w:t>
      </w:r>
      <w:r>
        <w:rPr>
          <w:rFonts w:eastAsia="Calibri"/>
        </w:rPr>
        <w:tab/>
        <w:t xml:space="preserve">the </w:t>
      </w:r>
      <w:r w:rsidR="00B63007">
        <w:rPr>
          <w:rFonts w:eastAsia="Calibri"/>
        </w:rPr>
        <w:t xml:space="preserve">Costing </w:t>
      </w:r>
      <w:r w:rsidR="006252EC">
        <w:rPr>
          <w:rFonts w:eastAsia="Calibri"/>
        </w:rPr>
        <w:t>G</w:t>
      </w:r>
      <w:r w:rsidR="00B63007">
        <w:rPr>
          <w:rFonts w:eastAsia="Calibri"/>
        </w:rPr>
        <w:t>uideline</w:t>
      </w:r>
      <w:r>
        <w:rPr>
          <w:rFonts w:eastAsia="Calibri"/>
        </w:rPr>
        <w:t xml:space="preserve"> number</w:t>
      </w:r>
      <w:r w:rsidR="006252EC">
        <w:rPr>
          <w:rFonts w:eastAsia="Calibri"/>
        </w:rPr>
        <w:t>.</w:t>
      </w:r>
    </w:p>
    <w:p w14:paraId="68D63ADA" w14:textId="77777777" w:rsidR="003918E6" w:rsidRDefault="003918E6" w:rsidP="00897CD3">
      <w:pPr>
        <w:pStyle w:val="Heading3"/>
        <w:numPr>
          <w:ilvl w:val="0"/>
          <w:numId w:val="0"/>
        </w:numPr>
        <w:rPr>
          <w:rFonts w:eastAsia="Calibri"/>
        </w:rPr>
      </w:pPr>
      <w:r>
        <w:rPr>
          <w:rFonts w:eastAsia="Calibri"/>
        </w:rPr>
        <w:t>Definitions</w:t>
      </w:r>
    </w:p>
    <w:p w14:paraId="68D63ADB" w14:textId="089EA1AE" w:rsidR="00256461" w:rsidRDefault="00256461" w:rsidP="00256461">
      <w:r>
        <w:rPr>
          <w:rFonts w:eastAsia="Calibri"/>
        </w:rPr>
        <w:t xml:space="preserve">The Glossary contains definitions for terms present throughout the </w:t>
      </w:r>
      <w:r w:rsidR="00B63007">
        <w:rPr>
          <w:rFonts w:eastAsia="Calibri"/>
        </w:rPr>
        <w:t xml:space="preserve">Costing </w:t>
      </w:r>
      <w:r w:rsidR="006252EC">
        <w:rPr>
          <w:rFonts w:eastAsia="Calibri"/>
        </w:rPr>
        <w:t>G</w:t>
      </w:r>
      <w:r w:rsidR="00B63007">
        <w:rPr>
          <w:rFonts w:eastAsia="Calibri"/>
        </w:rPr>
        <w:t>uidelines</w:t>
      </w:r>
      <w:r>
        <w:rPr>
          <w:rFonts w:eastAsia="Calibri"/>
        </w:rPr>
        <w:t>.</w:t>
      </w:r>
    </w:p>
    <w:p w14:paraId="68D63ADC" w14:textId="77777777" w:rsidR="00C27FB2" w:rsidRDefault="00C27FB2">
      <w:pPr>
        <w:spacing w:before="0" w:after="0" w:line="240" w:lineRule="auto"/>
      </w:pPr>
      <w:r>
        <w:br w:type="page"/>
      </w:r>
    </w:p>
    <w:p w14:paraId="68D63ADD" w14:textId="5525738E" w:rsidR="00C27FB2" w:rsidRDefault="00C27FB2" w:rsidP="00897CD3">
      <w:pPr>
        <w:pStyle w:val="Heading2"/>
        <w:ind w:left="993" w:hanging="993"/>
      </w:pPr>
      <w:bookmarkStart w:id="9" w:name="_Toc480492966"/>
      <w:bookmarkStart w:id="10" w:name="_Toc80778493"/>
      <w:r w:rsidRPr="00C27FB2">
        <w:lastRenderedPageBreak/>
        <w:t xml:space="preserve">The </w:t>
      </w:r>
      <w:r w:rsidR="00E867EF">
        <w:t>P</w:t>
      </w:r>
      <w:r w:rsidRPr="00C27FB2">
        <w:t xml:space="preserve">atient </w:t>
      </w:r>
      <w:r w:rsidR="00E867EF">
        <w:t>C</w:t>
      </w:r>
      <w:r w:rsidRPr="00C27FB2">
        <w:t xml:space="preserve">osting </w:t>
      </w:r>
      <w:r w:rsidR="00E867EF">
        <w:t>P</w:t>
      </w:r>
      <w:r w:rsidRPr="00C27FB2">
        <w:t>rocess</w:t>
      </w:r>
      <w:bookmarkEnd w:id="9"/>
      <w:bookmarkEnd w:id="10"/>
      <w:r w:rsidRPr="00C27FB2">
        <w:t xml:space="preserve"> </w:t>
      </w:r>
    </w:p>
    <w:p w14:paraId="68D63ADE" w14:textId="77777777" w:rsidR="00C27FB2" w:rsidRPr="00205822" w:rsidRDefault="00C27FB2" w:rsidP="00897CD3">
      <w:pPr>
        <w:pStyle w:val="Heading3"/>
      </w:pPr>
      <w:r w:rsidRPr="00205822">
        <w:t>Scope</w:t>
      </w:r>
    </w:p>
    <w:p w14:paraId="68D63ADF" w14:textId="65FC4914" w:rsidR="007C6433" w:rsidRDefault="00C27FB2" w:rsidP="004738A8">
      <w:pPr>
        <w:pStyle w:val="Level3"/>
      </w:pPr>
      <w:r w:rsidRPr="00D45B1A">
        <w:t>T</w:t>
      </w:r>
      <w:r w:rsidR="0056216A">
        <w:t>his</w:t>
      </w:r>
      <w:r w:rsidRPr="00D45B1A">
        <w:t xml:space="preserve"> </w:t>
      </w:r>
      <w:r w:rsidR="00196727">
        <w:t>g</w:t>
      </w:r>
      <w:r w:rsidR="00B63007">
        <w:t>uideline</w:t>
      </w:r>
      <w:r w:rsidRPr="00D45B1A">
        <w:t xml:space="preserve"> provides guidance on feeder extraction, intermediate product development and the matching of these to patient level activity. </w:t>
      </w:r>
    </w:p>
    <w:p w14:paraId="68D63AE0" w14:textId="3C6FAB26" w:rsidR="00C27FB2" w:rsidRPr="00D45B1A" w:rsidRDefault="007C6433" w:rsidP="004738A8">
      <w:pPr>
        <w:pStyle w:val="Level3"/>
      </w:pPr>
      <w:r>
        <w:t>Th</w:t>
      </w:r>
      <w:r w:rsidR="0056216A">
        <w:t>is</w:t>
      </w:r>
      <w:r>
        <w:t xml:space="preserve"> </w:t>
      </w:r>
      <w:r w:rsidR="00196727">
        <w:t>g</w:t>
      </w:r>
      <w:r w:rsidR="00B63007">
        <w:t>uideline</w:t>
      </w:r>
      <w:r>
        <w:t xml:space="preserve"> also </w:t>
      </w:r>
      <w:r w:rsidR="00C27FB2" w:rsidRPr="00D45B1A">
        <w:t>provides a guid</w:t>
      </w:r>
      <w:r>
        <w:t>ance</w:t>
      </w:r>
      <w:r w:rsidR="00C27FB2" w:rsidRPr="00D45B1A">
        <w:t xml:space="preserve"> on the process of assigning expenses from cost centres to final cost centres, to intermediate products, the use of relative value units </w:t>
      </w:r>
      <w:r w:rsidR="006C54A9">
        <w:t xml:space="preserve">(RVUs) </w:t>
      </w:r>
      <w:r w:rsidR="00C27FB2" w:rsidRPr="00D45B1A">
        <w:t xml:space="preserve">and the cost allocation process to obtain an intermediate </w:t>
      </w:r>
      <w:r w:rsidR="00C27FB2" w:rsidRPr="006E214C">
        <w:t>product</w:t>
      </w:r>
      <w:r w:rsidR="00C27FB2" w:rsidRPr="00D45B1A">
        <w:t xml:space="preserve"> cost and, following the matching process, a patient level cost.</w:t>
      </w:r>
    </w:p>
    <w:p w14:paraId="68D63AE1" w14:textId="77777777" w:rsidR="00C27FB2" w:rsidRPr="00205822" w:rsidRDefault="00C27FB2" w:rsidP="00897CD3">
      <w:pPr>
        <w:pStyle w:val="Heading3"/>
      </w:pPr>
      <w:r w:rsidRPr="00205822">
        <w:t>Objective</w:t>
      </w:r>
    </w:p>
    <w:p w14:paraId="68D63AE2" w14:textId="2CCE54B0" w:rsidR="00C27FB2" w:rsidRPr="00D45B1A" w:rsidRDefault="00C27FB2" w:rsidP="004738A8">
      <w:pPr>
        <w:pStyle w:val="Level3"/>
      </w:pPr>
      <w:r w:rsidRPr="00D45B1A">
        <w:t xml:space="preserve">The objective of this </w:t>
      </w:r>
      <w:r w:rsidR="00B63007">
        <w:t>guideline</w:t>
      </w:r>
      <w:r w:rsidRPr="00D45B1A">
        <w:t xml:space="preserve"> is to present the steps required to patient level cost.</w:t>
      </w:r>
    </w:p>
    <w:p w14:paraId="68D63AE3" w14:textId="0A2A7985" w:rsidR="00C27FB2" w:rsidRPr="00205822" w:rsidRDefault="00B63007" w:rsidP="00897CD3">
      <w:pPr>
        <w:pStyle w:val="Heading3"/>
      </w:pPr>
      <w:r>
        <w:t xml:space="preserve">Costing </w:t>
      </w:r>
      <w:r w:rsidR="0056216A">
        <w:t>G</w:t>
      </w:r>
      <w:r>
        <w:t>uideline</w:t>
      </w:r>
    </w:p>
    <w:p w14:paraId="68D63AE4" w14:textId="1A8489AF" w:rsidR="007756B2" w:rsidRDefault="007C6433" w:rsidP="004738A8">
      <w:pPr>
        <w:pStyle w:val="Level3"/>
      </w:pPr>
      <w:r>
        <w:t xml:space="preserve">This </w:t>
      </w:r>
      <w:r w:rsidR="00B63007">
        <w:t>guideline</w:t>
      </w:r>
      <w:r w:rsidR="00DF6FDC">
        <w:t xml:space="preserve"> presents nine steps that may be followed to undertake patient level costing. These are:</w:t>
      </w:r>
    </w:p>
    <w:p w14:paraId="68D63AE5" w14:textId="4EAAD0D4"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1:</w:t>
      </w:r>
      <w:r w:rsidR="00B63007">
        <w:rPr>
          <w:b w:val="0"/>
          <w:lang w:eastAsia="ja-JP"/>
        </w:rPr>
        <w:tab/>
      </w:r>
      <w:r w:rsidR="00A221B9">
        <w:rPr>
          <w:b w:val="0"/>
          <w:lang w:eastAsia="ja-JP"/>
        </w:rPr>
        <w:t>S</w:t>
      </w:r>
      <w:r w:rsidRPr="00DF6FDC">
        <w:rPr>
          <w:b w:val="0"/>
          <w:lang w:eastAsia="ja-JP"/>
        </w:rPr>
        <w:t xml:space="preserve">takeholder </w:t>
      </w:r>
      <w:r w:rsidR="00B63007">
        <w:rPr>
          <w:b w:val="0"/>
          <w:lang w:eastAsia="ja-JP"/>
        </w:rPr>
        <w:t>i</w:t>
      </w:r>
      <w:r w:rsidRPr="00DF6FDC">
        <w:rPr>
          <w:b w:val="0"/>
          <w:lang w:eastAsia="ja-JP"/>
        </w:rPr>
        <w:t>dentification</w:t>
      </w:r>
      <w:r w:rsidR="00B63007">
        <w:rPr>
          <w:b w:val="0"/>
          <w:lang w:eastAsia="ja-JP"/>
        </w:rPr>
        <w:t>,</w:t>
      </w:r>
      <w:r w:rsidRPr="00DF6FDC">
        <w:rPr>
          <w:b w:val="0"/>
          <w:lang w:eastAsia="ja-JP"/>
        </w:rPr>
        <w:t xml:space="preserve"> and </w:t>
      </w:r>
      <w:r w:rsidR="00B63007">
        <w:rPr>
          <w:b w:val="0"/>
          <w:lang w:eastAsia="ja-JP"/>
        </w:rPr>
        <w:t>s</w:t>
      </w:r>
      <w:r w:rsidR="00B63007" w:rsidRPr="00DF6FDC">
        <w:rPr>
          <w:b w:val="0"/>
          <w:lang w:eastAsia="ja-JP"/>
        </w:rPr>
        <w:t xml:space="preserve">ervice </w:t>
      </w:r>
      <w:r w:rsidR="00B63007">
        <w:rPr>
          <w:b w:val="0"/>
          <w:lang w:eastAsia="ja-JP"/>
        </w:rPr>
        <w:t>s</w:t>
      </w:r>
      <w:r w:rsidR="00B63007" w:rsidRPr="00DF6FDC">
        <w:rPr>
          <w:b w:val="0"/>
          <w:lang w:eastAsia="ja-JP"/>
        </w:rPr>
        <w:t xml:space="preserve">cale </w:t>
      </w:r>
      <w:r w:rsidRPr="00DF6FDC">
        <w:rPr>
          <w:b w:val="0"/>
          <w:lang w:eastAsia="ja-JP"/>
        </w:rPr>
        <w:t xml:space="preserve">and </w:t>
      </w:r>
      <w:r w:rsidR="00B63007">
        <w:rPr>
          <w:b w:val="0"/>
          <w:lang w:eastAsia="ja-JP"/>
        </w:rPr>
        <w:t>s</w:t>
      </w:r>
      <w:r w:rsidR="00B63007" w:rsidRPr="00DF6FDC">
        <w:rPr>
          <w:b w:val="0"/>
          <w:lang w:eastAsia="ja-JP"/>
        </w:rPr>
        <w:t>cope</w:t>
      </w:r>
    </w:p>
    <w:p w14:paraId="68D63AE6" w14:textId="0A1A2199"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2:</w:t>
      </w:r>
      <w:r w:rsidR="00B63007">
        <w:rPr>
          <w:b w:val="0"/>
          <w:lang w:eastAsia="ja-JP"/>
        </w:rPr>
        <w:tab/>
      </w:r>
      <w:r w:rsidR="00A221B9">
        <w:rPr>
          <w:b w:val="0"/>
          <w:lang w:eastAsia="ja-JP"/>
        </w:rPr>
        <w:t>A</w:t>
      </w:r>
      <w:r w:rsidRPr="00DF6FDC">
        <w:rPr>
          <w:b w:val="0"/>
          <w:lang w:eastAsia="ja-JP"/>
        </w:rPr>
        <w:t xml:space="preserve">lign </w:t>
      </w:r>
      <w:r w:rsidR="00B63007">
        <w:rPr>
          <w:b w:val="0"/>
          <w:lang w:eastAsia="ja-JP"/>
        </w:rPr>
        <w:t>e</w:t>
      </w:r>
      <w:r w:rsidR="00B63007" w:rsidRPr="00DF6FDC">
        <w:rPr>
          <w:b w:val="0"/>
          <w:lang w:eastAsia="ja-JP"/>
        </w:rPr>
        <w:t xml:space="preserve">xpense </w:t>
      </w:r>
      <w:r w:rsidRPr="00DF6FDC">
        <w:rPr>
          <w:b w:val="0"/>
          <w:lang w:eastAsia="ja-JP"/>
        </w:rPr>
        <w:t xml:space="preserve">to the </w:t>
      </w:r>
      <w:r w:rsidR="00B63007">
        <w:rPr>
          <w:b w:val="0"/>
          <w:lang w:eastAsia="ja-JP"/>
        </w:rPr>
        <w:t>s</w:t>
      </w:r>
      <w:r w:rsidR="00B63007" w:rsidRPr="00DF6FDC">
        <w:rPr>
          <w:b w:val="0"/>
          <w:lang w:eastAsia="ja-JP"/>
        </w:rPr>
        <w:t xml:space="preserve">ervice </w:t>
      </w:r>
      <w:r w:rsidR="00B63007">
        <w:rPr>
          <w:b w:val="0"/>
          <w:lang w:eastAsia="ja-JP"/>
        </w:rPr>
        <w:t>d</w:t>
      </w:r>
      <w:r w:rsidR="00B63007" w:rsidRPr="00DF6FDC">
        <w:rPr>
          <w:b w:val="0"/>
          <w:lang w:eastAsia="ja-JP"/>
        </w:rPr>
        <w:t xml:space="preserve">epartment </w:t>
      </w:r>
      <w:r w:rsidRPr="00DF6FDC">
        <w:rPr>
          <w:b w:val="0"/>
          <w:lang w:eastAsia="ja-JP"/>
        </w:rPr>
        <w:t xml:space="preserve">and </w:t>
      </w:r>
      <w:r w:rsidR="00B63007">
        <w:rPr>
          <w:b w:val="0"/>
          <w:lang w:eastAsia="ja-JP"/>
        </w:rPr>
        <w:t>d</w:t>
      </w:r>
      <w:r w:rsidR="00B63007" w:rsidRPr="00DF6FDC">
        <w:rPr>
          <w:b w:val="0"/>
          <w:lang w:eastAsia="ja-JP"/>
        </w:rPr>
        <w:t xml:space="preserve">efine </w:t>
      </w:r>
      <w:r w:rsidR="00B63007">
        <w:rPr>
          <w:b w:val="0"/>
          <w:lang w:eastAsia="ja-JP"/>
        </w:rPr>
        <w:t>o</w:t>
      </w:r>
      <w:r w:rsidR="00B63007" w:rsidRPr="00DF6FDC">
        <w:rPr>
          <w:b w:val="0"/>
          <w:lang w:eastAsia="ja-JP"/>
        </w:rPr>
        <w:t xml:space="preserve">verhead </w:t>
      </w:r>
      <w:r w:rsidRPr="00DF6FDC">
        <w:rPr>
          <w:b w:val="0"/>
          <w:lang w:eastAsia="ja-JP"/>
        </w:rPr>
        <w:t xml:space="preserve">and </w:t>
      </w:r>
      <w:r w:rsidR="00B63007">
        <w:rPr>
          <w:b w:val="0"/>
          <w:lang w:eastAsia="ja-JP"/>
        </w:rPr>
        <w:t>d</w:t>
      </w:r>
      <w:r w:rsidR="00B63007" w:rsidRPr="00DF6FDC">
        <w:rPr>
          <w:b w:val="0"/>
          <w:lang w:eastAsia="ja-JP"/>
        </w:rPr>
        <w:t xml:space="preserve">irect </w:t>
      </w:r>
      <w:r w:rsidR="00B63007">
        <w:rPr>
          <w:b w:val="0"/>
          <w:lang w:eastAsia="ja-JP"/>
        </w:rPr>
        <w:t>e</w:t>
      </w:r>
      <w:r w:rsidR="00B63007" w:rsidRPr="00DF6FDC">
        <w:rPr>
          <w:b w:val="0"/>
          <w:lang w:eastAsia="ja-JP"/>
        </w:rPr>
        <w:t>xpenses</w:t>
      </w:r>
      <w:r w:rsidRPr="00DF6FDC">
        <w:rPr>
          <w:b w:val="0"/>
          <w:lang w:eastAsia="ja-JP"/>
        </w:rPr>
        <w:t xml:space="preserve">, including </w:t>
      </w:r>
      <w:r w:rsidR="00B63007">
        <w:rPr>
          <w:b w:val="0"/>
          <w:lang w:eastAsia="ja-JP"/>
        </w:rPr>
        <w:t>o</w:t>
      </w:r>
      <w:r w:rsidR="00B63007" w:rsidRPr="00DF6FDC">
        <w:rPr>
          <w:b w:val="0"/>
          <w:lang w:eastAsia="ja-JP"/>
        </w:rPr>
        <w:t xml:space="preserve">verhead </w:t>
      </w:r>
      <w:r w:rsidR="00B63007">
        <w:rPr>
          <w:b w:val="0"/>
          <w:lang w:eastAsia="ja-JP"/>
        </w:rPr>
        <w:t>a</w:t>
      </w:r>
      <w:r w:rsidR="00B63007" w:rsidRPr="00DF6FDC">
        <w:rPr>
          <w:b w:val="0"/>
          <w:lang w:eastAsia="ja-JP"/>
        </w:rPr>
        <w:t xml:space="preserve">llocation </w:t>
      </w:r>
      <w:r w:rsidR="00B63007">
        <w:rPr>
          <w:b w:val="0"/>
          <w:lang w:eastAsia="ja-JP"/>
        </w:rPr>
        <w:t>m</w:t>
      </w:r>
      <w:r w:rsidRPr="00DF6FDC">
        <w:rPr>
          <w:b w:val="0"/>
          <w:lang w:eastAsia="ja-JP"/>
        </w:rPr>
        <w:t>ethods</w:t>
      </w:r>
    </w:p>
    <w:p w14:paraId="68D63AE7" w14:textId="2787901F"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3:</w:t>
      </w:r>
      <w:r>
        <w:rPr>
          <w:b w:val="0"/>
          <w:lang w:eastAsia="ja-JP"/>
        </w:rPr>
        <w:tab/>
      </w:r>
      <w:r w:rsidR="00A221B9">
        <w:rPr>
          <w:b w:val="0"/>
          <w:lang w:eastAsia="ja-JP"/>
        </w:rPr>
        <w:t>I</w:t>
      </w:r>
      <w:r w:rsidRPr="00DF6FDC">
        <w:rPr>
          <w:b w:val="0"/>
          <w:lang w:eastAsia="ja-JP"/>
        </w:rPr>
        <w:t xml:space="preserve">dentify </w:t>
      </w:r>
      <w:r w:rsidR="00B63007">
        <w:rPr>
          <w:b w:val="0"/>
          <w:lang w:eastAsia="ja-JP"/>
        </w:rPr>
        <w:t>p</w:t>
      </w:r>
      <w:r w:rsidRPr="00DF6FDC">
        <w:rPr>
          <w:b w:val="0"/>
          <w:lang w:eastAsia="ja-JP"/>
        </w:rPr>
        <w:t xml:space="preserve">atient </w:t>
      </w:r>
      <w:r w:rsidR="00B63007">
        <w:rPr>
          <w:b w:val="0"/>
          <w:lang w:eastAsia="ja-JP"/>
        </w:rPr>
        <w:t>l</w:t>
      </w:r>
      <w:r w:rsidRPr="00DF6FDC">
        <w:rPr>
          <w:b w:val="0"/>
          <w:lang w:eastAsia="ja-JP"/>
        </w:rPr>
        <w:t xml:space="preserve">evel </w:t>
      </w:r>
      <w:r w:rsidR="00B63007">
        <w:rPr>
          <w:b w:val="0"/>
          <w:lang w:eastAsia="ja-JP"/>
        </w:rPr>
        <w:t>a</w:t>
      </w:r>
      <w:r w:rsidR="00B63007" w:rsidRPr="00DF6FDC">
        <w:rPr>
          <w:b w:val="0"/>
          <w:lang w:eastAsia="ja-JP"/>
        </w:rPr>
        <w:t xml:space="preserve">ctivity </w:t>
      </w:r>
      <w:r w:rsidRPr="00DF6FDC">
        <w:rPr>
          <w:b w:val="0"/>
          <w:lang w:eastAsia="ja-JP"/>
        </w:rPr>
        <w:t xml:space="preserve">and </w:t>
      </w:r>
      <w:r w:rsidR="00B63007">
        <w:rPr>
          <w:b w:val="0"/>
          <w:lang w:eastAsia="ja-JP"/>
        </w:rPr>
        <w:t>f</w:t>
      </w:r>
      <w:r w:rsidR="00B63007" w:rsidRPr="00DF6FDC">
        <w:rPr>
          <w:b w:val="0"/>
          <w:lang w:eastAsia="ja-JP"/>
        </w:rPr>
        <w:t xml:space="preserve">eeder </w:t>
      </w:r>
      <w:r w:rsidR="00B63007">
        <w:rPr>
          <w:b w:val="0"/>
          <w:lang w:eastAsia="ja-JP"/>
        </w:rPr>
        <w:t>d</w:t>
      </w:r>
      <w:r w:rsidRPr="00DF6FDC">
        <w:rPr>
          <w:b w:val="0"/>
          <w:lang w:eastAsia="ja-JP"/>
        </w:rPr>
        <w:t xml:space="preserve">ata and </w:t>
      </w:r>
      <w:r w:rsidR="00B63007">
        <w:rPr>
          <w:b w:val="0"/>
          <w:lang w:eastAsia="ja-JP"/>
        </w:rPr>
        <w:t>p</w:t>
      </w:r>
      <w:r w:rsidRPr="00DF6FDC">
        <w:rPr>
          <w:b w:val="0"/>
          <w:lang w:eastAsia="ja-JP"/>
        </w:rPr>
        <w:t xml:space="preserve">erform </w:t>
      </w:r>
      <w:r w:rsidR="00B63007">
        <w:rPr>
          <w:b w:val="0"/>
          <w:lang w:eastAsia="ja-JP"/>
        </w:rPr>
        <w:t>q</w:t>
      </w:r>
      <w:r w:rsidRPr="00DF6FDC">
        <w:rPr>
          <w:b w:val="0"/>
          <w:lang w:eastAsia="ja-JP"/>
        </w:rPr>
        <w:t xml:space="preserve">uality </w:t>
      </w:r>
      <w:r w:rsidR="00B63007">
        <w:rPr>
          <w:b w:val="0"/>
          <w:lang w:eastAsia="ja-JP"/>
        </w:rPr>
        <w:t>a</w:t>
      </w:r>
      <w:r w:rsidR="00B63007" w:rsidRPr="00DF6FDC">
        <w:rPr>
          <w:b w:val="0"/>
          <w:lang w:eastAsia="ja-JP"/>
        </w:rPr>
        <w:t xml:space="preserve">ssurance </w:t>
      </w:r>
      <w:r w:rsidR="00B63007">
        <w:rPr>
          <w:b w:val="0"/>
          <w:lang w:eastAsia="ja-JP"/>
        </w:rPr>
        <w:t>c</w:t>
      </w:r>
      <w:r w:rsidRPr="00DF6FDC">
        <w:rPr>
          <w:b w:val="0"/>
          <w:lang w:eastAsia="ja-JP"/>
        </w:rPr>
        <w:t>hecks</w:t>
      </w:r>
    </w:p>
    <w:p w14:paraId="68D63AE8" w14:textId="16B0CF2E"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 xml:space="preserve">Step 4: </w:t>
      </w:r>
      <w:r>
        <w:rPr>
          <w:b w:val="0"/>
          <w:lang w:eastAsia="ja-JP"/>
        </w:rPr>
        <w:tab/>
      </w:r>
      <w:r w:rsidR="00A221B9">
        <w:rPr>
          <w:b w:val="0"/>
          <w:lang w:eastAsia="ja-JP"/>
        </w:rPr>
        <w:t>C</w:t>
      </w:r>
      <w:r w:rsidRPr="00DF6FDC">
        <w:rPr>
          <w:b w:val="0"/>
          <w:lang w:eastAsia="ja-JP"/>
        </w:rPr>
        <w:t xml:space="preserve">reating and </w:t>
      </w:r>
      <w:r w:rsidR="00B63007">
        <w:rPr>
          <w:b w:val="0"/>
          <w:lang w:eastAsia="ja-JP"/>
        </w:rPr>
        <w:t>m</w:t>
      </w:r>
      <w:r w:rsidRPr="00DF6FDC">
        <w:rPr>
          <w:b w:val="0"/>
          <w:lang w:eastAsia="ja-JP"/>
        </w:rPr>
        <w:t xml:space="preserve">apping </w:t>
      </w:r>
      <w:r w:rsidR="00B63007">
        <w:rPr>
          <w:b w:val="0"/>
          <w:lang w:eastAsia="ja-JP"/>
        </w:rPr>
        <w:t>s</w:t>
      </w:r>
      <w:r w:rsidRPr="00DF6FDC">
        <w:rPr>
          <w:b w:val="0"/>
          <w:lang w:eastAsia="ja-JP"/>
        </w:rPr>
        <w:t xml:space="preserve">ervice </w:t>
      </w:r>
      <w:r w:rsidR="00B63007">
        <w:rPr>
          <w:b w:val="0"/>
          <w:lang w:eastAsia="ja-JP"/>
        </w:rPr>
        <w:t>c</w:t>
      </w:r>
      <w:r w:rsidRPr="00DF6FDC">
        <w:rPr>
          <w:b w:val="0"/>
          <w:lang w:eastAsia="ja-JP"/>
        </w:rPr>
        <w:t xml:space="preserve">osting </w:t>
      </w:r>
      <w:r w:rsidR="00B63007">
        <w:rPr>
          <w:b w:val="0"/>
          <w:lang w:eastAsia="ja-JP"/>
        </w:rPr>
        <w:t>p</w:t>
      </w:r>
      <w:r w:rsidRPr="00DF6FDC">
        <w:rPr>
          <w:b w:val="0"/>
          <w:lang w:eastAsia="ja-JP"/>
        </w:rPr>
        <w:t xml:space="preserve">roducts or </w:t>
      </w:r>
      <w:r w:rsidR="00B63007">
        <w:rPr>
          <w:b w:val="0"/>
          <w:lang w:eastAsia="ja-JP"/>
        </w:rPr>
        <w:t>i</w:t>
      </w:r>
      <w:r w:rsidRPr="00DF6FDC">
        <w:rPr>
          <w:b w:val="0"/>
          <w:lang w:eastAsia="ja-JP"/>
        </w:rPr>
        <w:t xml:space="preserve">ntermediate </w:t>
      </w:r>
      <w:r w:rsidR="00B63007">
        <w:rPr>
          <w:b w:val="0"/>
          <w:lang w:eastAsia="ja-JP"/>
        </w:rPr>
        <w:t>p</w:t>
      </w:r>
      <w:r w:rsidR="00B63007" w:rsidRPr="00DF6FDC">
        <w:rPr>
          <w:b w:val="0"/>
          <w:lang w:eastAsia="ja-JP"/>
        </w:rPr>
        <w:t>roducts</w:t>
      </w:r>
    </w:p>
    <w:p w14:paraId="68D63AE9" w14:textId="1808C9FE"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5:</w:t>
      </w:r>
      <w:r w:rsidR="00B63007">
        <w:rPr>
          <w:b w:val="0"/>
          <w:lang w:eastAsia="ja-JP"/>
        </w:rPr>
        <w:tab/>
      </w:r>
      <w:r w:rsidR="00A221B9">
        <w:rPr>
          <w:b w:val="0"/>
          <w:lang w:eastAsia="ja-JP"/>
        </w:rPr>
        <w:t>A</w:t>
      </w:r>
      <w:r w:rsidR="006C54A9">
        <w:rPr>
          <w:b w:val="0"/>
          <w:lang w:eastAsia="ja-JP"/>
        </w:rPr>
        <w:t>pply r</w:t>
      </w:r>
      <w:r w:rsidRPr="00DF6FDC">
        <w:rPr>
          <w:b w:val="0"/>
          <w:lang w:eastAsia="ja-JP"/>
        </w:rPr>
        <w:t xml:space="preserve">elative </w:t>
      </w:r>
      <w:r w:rsidR="006C54A9">
        <w:rPr>
          <w:b w:val="0"/>
          <w:lang w:eastAsia="ja-JP"/>
        </w:rPr>
        <w:t>v</w:t>
      </w:r>
      <w:r w:rsidRPr="00DF6FDC">
        <w:rPr>
          <w:b w:val="0"/>
          <w:lang w:eastAsia="ja-JP"/>
        </w:rPr>
        <w:t xml:space="preserve">alue </w:t>
      </w:r>
      <w:r w:rsidR="006C54A9">
        <w:rPr>
          <w:b w:val="0"/>
          <w:lang w:eastAsia="ja-JP"/>
        </w:rPr>
        <w:t>u</w:t>
      </w:r>
      <w:r w:rsidRPr="00DF6FDC">
        <w:rPr>
          <w:b w:val="0"/>
          <w:lang w:eastAsia="ja-JP"/>
        </w:rPr>
        <w:t xml:space="preserve">nits by </w:t>
      </w:r>
      <w:r w:rsidR="00B63007">
        <w:rPr>
          <w:b w:val="0"/>
          <w:lang w:eastAsia="ja-JP"/>
        </w:rPr>
        <w:t>s</w:t>
      </w:r>
      <w:r w:rsidR="00B63007" w:rsidRPr="00DF6FDC">
        <w:rPr>
          <w:b w:val="0"/>
          <w:lang w:eastAsia="ja-JP"/>
        </w:rPr>
        <w:t>ervice</w:t>
      </w:r>
    </w:p>
    <w:p w14:paraId="68D63AEA" w14:textId="2439C42E"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6:</w:t>
      </w:r>
      <w:r w:rsidR="00B63007">
        <w:rPr>
          <w:b w:val="0"/>
          <w:lang w:eastAsia="ja-JP"/>
        </w:rPr>
        <w:tab/>
      </w:r>
      <w:r w:rsidR="00A221B9">
        <w:rPr>
          <w:b w:val="0"/>
          <w:lang w:eastAsia="ja-JP"/>
        </w:rPr>
        <w:t>C</w:t>
      </w:r>
      <w:r w:rsidRPr="00DF6FDC">
        <w:rPr>
          <w:b w:val="0"/>
          <w:lang w:eastAsia="ja-JP"/>
        </w:rPr>
        <w:t xml:space="preserve">reate </w:t>
      </w:r>
      <w:r w:rsidR="00B63007">
        <w:rPr>
          <w:b w:val="0"/>
          <w:lang w:eastAsia="ja-JP"/>
        </w:rPr>
        <w:t>i</w:t>
      </w:r>
      <w:r w:rsidR="00B63007" w:rsidRPr="00DF6FDC">
        <w:rPr>
          <w:b w:val="0"/>
          <w:lang w:eastAsia="ja-JP"/>
        </w:rPr>
        <w:t xml:space="preserve">ntermediate </w:t>
      </w:r>
      <w:r w:rsidR="00B63007">
        <w:rPr>
          <w:b w:val="0"/>
          <w:lang w:eastAsia="ja-JP"/>
        </w:rPr>
        <w:t>p</w:t>
      </w:r>
      <w:r w:rsidRPr="00DF6FDC">
        <w:rPr>
          <w:b w:val="0"/>
          <w:lang w:eastAsia="ja-JP"/>
        </w:rPr>
        <w:t xml:space="preserve">roduct </w:t>
      </w:r>
      <w:r w:rsidR="00B63007">
        <w:rPr>
          <w:b w:val="0"/>
          <w:lang w:eastAsia="ja-JP"/>
        </w:rPr>
        <w:t>c</w:t>
      </w:r>
      <w:r w:rsidRPr="00DF6FDC">
        <w:rPr>
          <w:b w:val="0"/>
          <w:lang w:eastAsia="ja-JP"/>
        </w:rPr>
        <w:t xml:space="preserve">osts in </w:t>
      </w:r>
      <w:r w:rsidR="00B63007">
        <w:rPr>
          <w:b w:val="0"/>
          <w:lang w:eastAsia="ja-JP"/>
        </w:rPr>
        <w:t>f</w:t>
      </w:r>
      <w:r w:rsidRPr="00DF6FDC">
        <w:rPr>
          <w:b w:val="0"/>
          <w:lang w:eastAsia="ja-JP"/>
        </w:rPr>
        <w:t xml:space="preserve">inal </w:t>
      </w:r>
      <w:r w:rsidR="00B63007">
        <w:rPr>
          <w:b w:val="0"/>
          <w:lang w:eastAsia="ja-JP"/>
        </w:rPr>
        <w:t>c</w:t>
      </w:r>
      <w:r w:rsidRPr="00DF6FDC">
        <w:rPr>
          <w:b w:val="0"/>
          <w:lang w:eastAsia="ja-JP"/>
        </w:rPr>
        <w:t xml:space="preserve">ost </w:t>
      </w:r>
      <w:r w:rsidR="00B63007">
        <w:rPr>
          <w:b w:val="0"/>
          <w:lang w:eastAsia="ja-JP"/>
        </w:rPr>
        <w:t>c</w:t>
      </w:r>
      <w:r w:rsidRPr="00DF6FDC">
        <w:rPr>
          <w:b w:val="0"/>
          <w:lang w:eastAsia="ja-JP"/>
        </w:rPr>
        <w:t>entres</w:t>
      </w:r>
    </w:p>
    <w:p w14:paraId="68D63AEB" w14:textId="5727E74F"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7:</w:t>
      </w:r>
      <w:r w:rsidR="00B63007">
        <w:rPr>
          <w:b w:val="0"/>
          <w:lang w:eastAsia="ja-JP"/>
        </w:rPr>
        <w:tab/>
      </w:r>
      <w:r w:rsidR="00A221B9">
        <w:rPr>
          <w:b w:val="0"/>
          <w:lang w:eastAsia="ja-JP"/>
        </w:rPr>
        <w:t>M</w:t>
      </w:r>
      <w:r w:rsidRPr="00DF6FDC">
        <w:rPr>
          <w:b w:val="0"/>
          <w:lang w:eastAsia="ja-JP"/>
        </w:rPr>
        <w:t xml:space="preserve">atch </w:t>
      </w:r>
      <w:r w:rsidR="00B63007">
        <w:rPr>
          <w:b w:val="0"/>
          <w:lang w:eastAsia="ja-JP"/>
        </w:rPr>
        <w:t>i</w:t>
      </w:r>
      <w:r w:rsidR="00B63007" w:rsidRPr="00DF6FDC">
        <w:rPr>
          <w:b w:val="0"/>
          <w:lang w:eastAsia="ja-JP"/>
        </w:rPr>
        <w:t xml:space="preserve">ntermediate </w:t>
      </w:r>
      <w:r w:rsidR="00B63007">
        <w:rPr>
          <w:b w:val="0"/>
          <w:lang w:eastAsia="ja-JP"/>
        </w:rPr>
        <w:t>p</w:t>
      </w:r>
      <w:r w:rsidR="00B63007" w:rsidRPr="00DF6FDC">
        <w:rPr>
          <w:b w:val="0"/>
          <w:lang w:eastAsia="ja-JP"/>
        </w:rPr>
        <w:t>roducts</w:t>
      </w:r>
      <w:r w:rsidRPr="00DF6FDC">
        <w:rPr>
          <w:b w:val="0"/>
          <w:lang w:eastAsia="ja-JP"/>
        </w:rPr>
        <w:t xml:space="preserve"> and their </w:t>
      </w:r>
      <w:r w:rsidR="00B63007">
        <w:rPr>
          <w:b w:val="0"/>
          <w:lang w:eastAsia="ja-JP"/>
        </w:rPr>
        <w:t>c</w:t>
      </w:r>
      <w:r w:rsidR="00B63007" w:rsidRPr="00DF6FDC">
        <w:rPr>
          <w:b w:val="0"/>
          <w:lang w:eastAsia="ja-JP"/>
        </w:rPr>
        <w:t xml:space="preserve">osts </w:t>
      </w:r>
      <w:r w:rsidRPr="00DF6FDC">
        <w:rPr>
          <w:b w:val="0"/>
          <w:lang w:eastAsia="ja-JP"/>
        </w:rPr>
        <w:t xml:space="preserve">to </w:t>
      </w:r>
      <w:r w:rsidR="00B63007">
        <w:rPr>
          <w:b w:val="0"/>
          <w:lang w:eastAsia="ja-JP"/>
        </w:rPr>
        <w:t>p</w:t>
      </w:r>
      <w:r w:rsidR="00B63007" w:rsidRPr="00DF6FDC">
        <w:rPr>
          <w:b w:val="0"/>
          <w:lang w:eastAsia="ja-JP"/>
        </w:rPr>
        <w:t xml:space="preserve">atient </w:t>
      </w:r>
      <w:r w:rsidR="00B63007">
        <w:rPr>
          <w:b w:val="0"/>
          <w:lang w:eastAsia="ja-JP"/>
        </w:rPr>
        <w:t>a</w:t>
      </w:r>
      <w:r w:rsidR="00B63007" w:rsidRPr="00DF6FDC">
        <w:rPr>
          <w:b w:val="0"/>
          <w:lang w:eastAsia="ja-JP"/>
        </w:rPr>
        <w:t>ctivity</w:t>
      </w:r>
    </w:p>
    <w:p w14:paraId="68D63AEC" w14:textId="30E1B04B"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8:</w:t>
      </w:r>
      <w:r w:rsidR="00B63007">
        <w:rPr>
          <w:b w:val="0"/>
          <w:lang w:eastAsia="ja-JP"/>
        </w:rPr>
        <w:tab/>
      </w:r>
      <w:r w:rsidR="00A221B9">
        <w:rPr>
          <w:b w:val="0"/>
          <w:lang w:eastAsia="ja-JP"/>
        </w:rPr>
        <w:t>R</w:t>
      </w:r>
      <w:r w:rsidRPr="00DF6FDC">
        <w:rPr>
          <w:b w:val="0"/>
          <w:lang w:eastAsia="ja-JP"/>
        </w:rPr>
        <w:t xml:space="preserve">eport </w:t>
      </w:r>
      <w:r w:rsidR="002E2E7F">
        <w:rPr>
          <w:b w:val="0"/>
          <w:lang w:eastAsia="ja-JP"/>
        </w:rPr>
        <w:t>c</w:t>
      </w:r>
      <w:r w:rsidR="002E2E7F" w:rsidRPr="00DF6FDC">
        <w:rPr>
          <w:b w:val="0"/>
          <w:lang w:eastAsia="ja-JP"/>
        </w:rPr>
        <w:t>osts</w:t>
      </w:r>
    </w:p>
    <w:p w14:paraId="68D63AED" w14:textId="5D350AFB" w:rsidR="00DF6FDC" w:rsidRDefault="00DF6FDC" w:rsidP="00464B93">
      <w:pPr>
        <w:pStyle w:val="Level3Heading"/>
        <w:tabs>
          <w:tab w:val="left" w:pos="3119"/>
        </w:tabs>
        <w:spacing w:before="0"/>
        <w:ind w:left="3119" w:hanging="851"/>
        <w:contextualSpacing w:val="0"/>
        <w:rPr>
          <w:b w:val="0"/>
          <w:lang w:eastAsia="ja-JP"/>
        </w:rPr>
      </w:pPr>
      <w:r w:rsidRPr="00DF6FDC">
        <w:rPr>
          <w:b w:val="0"/>
          <w:lang w:eastAsia="ja-JP"/>
        </w:rPr>
        <w:t>Step 9:</w:t>
      </w:r>
      <w:r w:rsidR="00B63007">
        <w:rPr>
          <w:b w:val="0"/>
          <w:lang w:eastAsia="ja-JP"/>
        </w:rPr>
        <w:tab/>
      </w:r>
      <w:r w:rsidR="00A221B9">
        <w:rPr>
          <w:b w:val="0"/>
          <w:lang w:eastAsia="ja-JP"/>
        </w:rPr>
        <w:t>C</w:t>
      </w:r>
      <w:r w:rsidRPr="00DF6FDC">
        <w:rPr>
          <w:b w:val="0"/>
          <w:lang w:eastAsia="ja-JP"/>
        </w:rPr>
        <w:t xml:space="preserve">ost </w:t>
      </w:r>
      <w:r w:rsidR="002E2E7F">
        <w:rPr>
          <w:b w:val="0"/>
          <w:lang w:eastAsia="ja-JP"/>
        </w:rPr>
        <w:t>d</w:t>
      </w:r>
      <w:r w:rsidRPr="00DF6FDC">
        <w:rPr>
          <w:b w:val="0"/>
          <w:lang w:eastAsia="ja-JP"/>
        </w:rPr>
        <w:t xml:space="preserve">ata </w:t>
      </w:r>
      <w:r w:rsidR="002E2E7F">
        <w:rPr>
          <w:b w:val="0"/>
          <w:lang w:eastAsia="ja-JP"/>
        </w:rPr>
        <w:t>r</w:t>
      </w:r>
      <w:r w:rsidRPr="00DF6FDC">
        <w:rPr>
          <w:b w:val="0"/>
          <w:lang w:eastAsia="ja-JP"/>
        </w:rPr>
        <w:t xml:space="preserve">eview by </w:t>
      </w:r>
      <w:r w:rsidR="002E2E7F">
        <w:rPr>
          <w:b w:val="0"/>
          <w:lang w:eastAsia="ja-JP"/>
        </w:rPr>
        <w:t>s</w:t>
      </w:r>
      <w:r w:rsidRPr="00DF6FDC">
        <w:rPr>
          <w:b w:val="0"/>
          <w:lang w:eastAsia="ja-JP"/>
        </w:rPr>
        <w:t xml:space="preserve">ervice’s </w:t>
      </w:r>
      <w:r w:rsidR="002E2E7F">
        <w:rPr>
          <w:b w:val="0"/>
          <w:lang w:eastAsia="ja-JP"/>
        </w:rPr>
        <w:t>s</w:t>
      </w:r>
      <w:r w:rsidRPr="00DF6FDC">
        <w:rPr>
          <w:b w:val="0"/>
          <w:lang w:eastAsia="ja-JP"/>
        </w:rPr>
        <w:t>takeholders</w:t>
      </w:r>
      <w:r w:rsidR="006252EC">
        <w:rPr>
          <w:b w:val="0"/>
          <w:lang w:eastAsia="ja-JP"/>
        </w:rPr>
        <w:t>.</w:t>
      </w:r>
    </w:p>
    <w:p w14:paraId="68D63AEE" w14:textId="77777777" w:rsidR="00DF6FDC" w:rsidRDefault="00DF6FDC" w:rsidP="00821DDB">
      <w:pPr>
        <w:pStyle w:val="Level3Heading"/>
        <w:rPr>
          <w:b w:val="0"/>
          <w:lang w:eastAsia="ja-JP"/>
        </w:rPr>
      </w:pPr>
    </w:p>
    <w:p w14:paraId="68D63AEF" w14:textId="77777777" w:rsidR="00C27FB2" w:rsidRPr="00C27FB2" w:rsidRDefault="00C27FB2" w:rsidP="00821DDB">
      <w:pPr>
        <w:pStyle w:val="Level3Heading"/>
      </w:pPr>
      <w:r w:rsidRPr="00C27FB2">
        <w:t>Step 1</w:t>
      </w:r>
      <w:r w:rsidR="000F5884">
        <w:t>:</w:t>
      </w:r>
      <w:r w:rsidRPr="00C27FB2">
        <w:t xml:space="preserve"> Stakeholder</w:t>
      </w:r>
      <w:r>
        <w:t xml:space="preserve"> </w:t>
      </w:r>
      <w:r w:rsidR="00B63007">
        <w:t>i</w:t>
      </w:r>
      <w:r w:rsidR="00B63007" w:rsidRPr="00C27FB2">
        <w:t xml:space="preserve">dentification </w:t>
      </w:r>
      <w:r w:rsidRPr="00C27FB2">
        <w:t xml:space="preserve">and </w:t>
      </w:r>
      <w:r w:rsidR="00B63007">
        <w:t>s</w:t>
      </w:r>
      <w:r w:rsidR="00B63007" w:rsidRPr="00C27FB2">
        <w:t xml:space="preserve">ervice </w:t>
      </w:r>
      <w:r w:rsidR="00B63007">
        <w:t>s</w:t>
      </w:r>
      <w:r w:rsidR="00B63007" w:rsidRPr="00C27FB2">
        <w:t xml:space="preserve">cale </w:t>
      </w:r>
      <w:r w:rsidRPr="00C27FB2">
        <w:t xml:space="preserve">and </w:t>
      </w:r>
      <w:r w:rsidR="00B63007">
        <w:t>s</w:t>
      </w:r>
      <w:r w:rsidR="00B63007" w:rsidRPr="00C27FB2">
        <w:t>cope</w:t>
      </w:r>
    </w:p>
    <w:p w14:paraId="68D63AF0" w14:textId="77777777" w:rsidR="00C27FB2" w:rsidRPr="00C27FB2" w:rsidRDefault="00C27FB2" w:rsidP="004738A8">
      <w:pPr>
        <w:pStyle w:val="Level3"/>
      </w:pPr>
      <w:r w:rsidRPr="00C27FB2">
        <w:t xml:space="preserve">Costing practitioners should obtain their jurisdictional policy with regards to the </w:t>
      </w:r>
      <w:r w:rsidR="00116978">
        <w:t>products that require allocation of costs</w:t>
      </w:r>
      <w:r w:rsidRPr="00C27FB2">
        <w:t xml:space="preserve"> and must identify how the </w:t>
      </w:r>
      <w:r w:rsidR="00116978">
        <w:t xml:space="preserve">organisation </w:t>
      </w:r>
      <w:r w:rsidRPr="00C27FB2">
        <w:t xml:space="preserve">operates, the associated expense and the activities performed </w:t>
      </w:r>
      <w:r w:rsidR="00116978">
        <w:t>in relation to that product</w:t>
      </w:r>
      <w:r w:rsidRPr="00C27FB2">
        <w:t xml:space="preserve">. </w:t>
      </w:r>
    </w:p>
    <w:p w14:paraId="68D63AF1" w14:textId="77777777" w:rsidR="0032592A" w:rsidRPr="00927F40" w:rsidRDefault="0032592A" w:rsidP="0032592A">
      <w:pPr>
        <w:pStyle w:val="Level3Heading"/>
        <w:rPr>
          <w:color w:val="008542"/>
        </w:rPr>
      </w:pPr>
      <w:r w:rsidRPr="00927F40">
        <w:rPr>
          <w:color w:val="008542"/>
        </w:rPr>
        <w:t>Purpose of cost information</w:t>
      </w:r>
    </w:p>
    <w:p w14:paraId="68D63AF2" w14:textId="77777777" w:rsidR="0032592A" w:rsidRPr="00D45B1A" w:rsidRDefault="0032592A" w:rsidP="004738A8">
      <w:pPr>
        <w:pStyle w:val="Level3"/>
      </w:pPr>
      <w:r w:rsidRPr="00D45B1A">
        <w:t xml:space="preserve">Costing practitioners need to be clear on the purpose of producing product level cost information to ensure that results are relevant for stakeholder use. To do this, it must be clear on: </w:t>
      </w:r>
    </w:p>
    <w:p w14:paraId="68D63AF3" w14:textId="56F321F0" w:rsidR="0032592A" w:rsidRPr="00C27FB2" w:rsidRDefault="0032592A" w:rsidP="00A27C5B">
      <w:pPr>
        <w:pStyle w:val="ListBullet"/>
        <w:spacing w:after="120"/>
      </w:pPr>
      <w:r w:rsidRPr="00C27FB2">
        <w:t>what services or outputs are being costed</w:t>
      </w:r>
      <w:r w:rsidR="00A221B9">
        <w:t>; t</w:t>
      </w:r>
      <w:r w:rsidRPr="00C27FB2">
        <w:t>hese may be defined in a ho</w:t>
      </w:r>
      <w:r w:rsidR="00595D4B">
        <w:t>spital or jurisdictional policy</w:t>
      </w:r>
      <w:r w:rsidRPr="00C27FB2">
        <w:t xml:space="preserve"> </w:t>
      </w:r>
    </w:p>
    <w:p w14:paraId="68D63AF4" w14:textId="0EAE4C44" w:rsidR="0032592A" w:rsidRPr="00C27FB2" w:rsidRDefault="0032592A" w:rsidP="00A27C5B">
      <w:pPr>
        <w:pStyle w:val="ListBullet"/>
        <w:spacing w:after="120"/>
      </w:pPr>
      <w:r w:rsidRPr="00C27FB2">
        <w:t>who will use the cost information, such as the primary</w:t>
      </w:r>
      <w:r w:rsidR="00225456">
        <w:t xml:space="preserve"> user and stakeholder</w:t>
      </w:r>
    </w:p>
    <w:p w14:paraId="68D63AF5" w14:textId="77777777" w:rsidR="0032592A" w:rsidRPr="00C27FB2" w:rsidRDefault="0032592A" w:rsidP="00A27C5B">
      <w:pPr>
        <w:pStyle w:val="ListBullet"/>
        <w:spacing w:after="120"/>
      </w:pPr>
      <w:r w:rsidRPr="00C27FB2">
        <w:lastRenderedPageBreak/>
        <w:t>how this information</w:t>
      </w:r>
      <w:r>
        <w:t xml:space="preserve"> is</w:t>
      </w:r>
      <w:r w:rsidRPr="00C27FB2">
        <w:t xml:space="preserve"> made useful for stakeholder decision making requirements. </w:t>
      </w:r>
    </w:p>
    <w:p w14:paraId="68D63AF6" w14:textId="77777777" w:rsidR="0032592A" w:rsidRPr="00927F40" w:rsidRDefault="0032592A" w:rsidP="0032592A">
      <w:pPr>
        <w:pStyle w:val="Level3Heading"/>
        <w:rPr>
          <w:color w:val="008542"/>
        </w:rPr>
      </w:pPr>
      <w:r w:rsidRPr="00927F40">
        <w:rPr>
          <w:color w:val="008542"/>
        </w:rPr>
        <w:t>Stakeholder identification and reporting requirements</w:t>
      </w:r>
    </w:p>
    <w:p w14:paraId="68D63AF7" w14:textId="77777777" w:rsidR="0032592A" w:rsidRPr="00D45B1A" w:rsidRDefault="0032592A" w:rsidP="004738A8">
      <w:pPr>
        <w:pStyle w:val="Level3"/>
      </w:pPr>
      <w:r w:rsidRPr="00D45B1A">
        <w:t xml:space="preserve">Costing practitioners should consult their </w:t>
      </w:r>
      <w:r>
        <w:t>j</w:t>
      </w:r>
      <w:r w:rsidRPr="00D45B1A">
        <w:t>urisdictions to understand reporting</w:t>
      </w:r>
      <w:r w:rsidRPr="00D45B1A" w:rsidDel="00F651FB">
        <w:t xml:space="preserve"> </w:t>
      </w:r>
      <w:r w:rsidRPr="00D45B1A">
        <w:t>requirements and ensure these are reflected in the hospital costing process.</w:t>
      </w:r>
    </w:p>
    <w:p w14:paraId="68D63AF8" w14:textId="77777777" w:rsidR="0032592A" w:rsidRPr="00D45B1A" w:rsidRDefault="0032592A" w:rsidP="004738A8">
      <w:pPr>
        <w:pStyle w:val="Level3"/>
      </w:pPr>
      <w:r w:rsidRPr="00D45B1A">
        <w:t>Consultation with hospital stakeholders should also be done to understand and identify:</w:t>
      </w:r>
    </w:p>
    <w:p w14:paraId="68D63AFB" w14:textId="044525D6" w:rsidR="0032592A" w:rsidRDefault="0032592A" w:rsidP="00A27C5B">
      <w:pPr>
        <w:pStyle w:val="ListBullet"/>
        <w:spacing w:after="120"/>
      </w:pPr>
      <w:r w:rsidRPr="00C27FB2">
        <w:t>reliable data collection systems that are suitable to use as a basis to allocate expenses to patient activity or other products</w:t>
      </w:r>
    </w:p>
    <w:p w14:paraId="1B7D4587" w14:textId="511FB732" w:rsidR="000654C7" w:rsidRDefault="000654C7" w:rsidP="00A27C5B">
      <w:pPr>
        <w:pStyle w:val="ListBullet"/>
        <w:spacing w:after="120"/>
      </w:pPr>
      <w:r w:rsidRPr="00C27FB2">
        <w:t>the individual ser</w:t>
      </w:r>
      <w:r>
        <w:t>vice area’s reporting needs</w:t>
      </w:r>
    </w:p>
    <w:p w14:paraId="34A6C19A" w14:textId="6BC92FC6" w:rsidR="000654C7" w:rsidRPr="00C27FB2" w:rsidRDefault="000654C7" w:rsidP="00A27C5B">
      <w:pPr>
        <w:pStyle w:val="ListBullet"/>
        <w:spacing w:after="120"/>
      </w:pPr>
      <w:r w:rsidRPr="00C27FB2">
        <w:t>where services ar</w:t>
      </w:r>
      <w:r>
        <w:t>e delivered within the hospital.</w:t>
      </w:r>
    </w:p>
    <w:p w14:paraId="68D63AFC" w14:textId="77777777" w:rsidR="0032592A" w:rsidRPr="00C27FB2" w:rsidRDefault="0032592A" w:rsidP="004738A8">
      <w:pPr>
        <w:pStyle w:val="Level3"/>
      </w:pPr>
      <w:r w:rsidRPr="00C27FB2">
        <w:t>Costing practitioners should undertake the following steps to assign expenses from production cost centres to intermediate products and matching them to patient level activity.</w:t>
      </w:r>
    </w:p>
    <w:p w14:paraId="68D63AFD" w14:textId="77777777" w:rsidR="0032592A" w:rsidRPr="00C27FB2" w:rsidRDefault="00C27FB2" w:rsidP="00821DDB">
      <w:pPr>
        <w:pStyle w:val="Level3Heading"/>
      </w:pPr>
      <w:r>
        <w:t>Step 2</w:t>
      </w:r>
      <w:r w:rsidR="000F5884">
        <w:t>:</w:t>
      </w:r>
      <w:r>
        <w:t xml:space="preserve"> </w:t>
      </w:r>
      <w:r w:rsidRPr="00C27FB2">
        <w:t>Align</w:t>
      </w:r>
      <w:r>
        <w:t xml:space="preserve"> </w:t>
      </w:r>
      <w:r w:rsidR="00B63007">
        <w:t>e</w:t>
      </w:r>
      <w:r w:rsidRPr="00C27FB2">
        <w:t xml:space="preserve">xpense to the </w:t>
      </w:r>
      <w:r w:rsidR="00B63007">
        <w:t>s</w:t>
      </w:r>
      <w:r w:rsidRPr="00C27FB2">
        <w:t xml:space="preserve">ervice </w:t>
      </w:r>
      <w:r w:rsidR="00B63007">
        <w:t>d</w:t>
      </w:r>
      <w:r w:rsidRPr="00C27FB2">
        <w:t xml:space="preserve">epartment and </w:t>
      </w:r>
      <w:r w:rsidR="00B63007">
        <w:t>d</w:t>
      </w:r>
      <w:r w:rsidRPr="00C27FB2">
        <w:t xml:space="preserve">efine </w:t>
      </w:r>
      <w:r w:rsidR="00B63007">
        <w:t>o</w:t>
      </w:r>
      <w:r w:rsidR="00B63007" w:rsidRPr="00C27FB2">
        <w:t xml:space="preserve">verhead </w:t>
      </w:r>
      <w:r w:rsidRPr="00C27FB2">
        <w:t xml:space="preserve">and </w:t>
      </w:r>
      <w:r w:rsidR="00B63007">
        <w:t>d</w:t>
      </w:r>
      <w:r w:rsidR="00B63007" w:rsidRPr="00C27FB2">
        <w:t xml:space="preserve">irect </w:t>
      </w:r>
      <w:r w:rsidR="00B63007">
        <w:t>e</w:t>
      </w:r>
      <w:r w:rsidRPr="00C27FB2">
        <w:t xml:space="preserve">xpenses, including </w:t>
      </w:r>
      <w:r w:rsidR="00B63007">
        <w:t>o</w:t>
      </w:r>
      <w:r w:rsidR="00B63007" w:rsidRPr="00C27FB2">
        <w:t xml:space="preserve">verhead </w:t>
      </w:r>
      <w:r w:rsidR="00B63007">
        <w:t>a</w:t>
      </w:r>
      <w:r w:rsidR="00B63007" w:rsidRPr="00C27FB2">
        <w:t xml:space="preserve">llocation </w:t>
      </w:r>
      <w:r w:rsidR="00B63007">
        <w:t>m</w:t>
      </w:r>
      <w:r w:rsidR="00B63007" w:rsidRPr="00C27FB2">
        <w:t>ethods</w:t>
      </w:r>
      <w:r w:rsidR="00A05372">
        <w:fldChar w:fldCharType="begin"/>
      </w:r>
      <w:r w:rsidR="00A05372">
        <w:fldChar w:fldCharType="end"/>
      </w:r>
    </w:p>
    <w:p w14:paraId="68D63AFE" w14:textId="55D996A1" w:rsidR="00C27FB2" w:rsidRPr="00D45B1A" w:rsidRDefault="00C27FB2" w:rsidP="004738A8">
      <w:pPr>
        <w:pStyle w:val="Level3"/>
      </w:pPr>
      <w:r w:rsidRPr="00D45B1A">
        <w:t xml:space="preserve">Consultation with service areas will allow an understanding of the nature of services provided. The nature of these services and their associated expenses are defined as either </w:t>
      </w:r>
      <w:r w:rsidR="00992E92" w:rsidRPr="00D45B1A">
        <w:t>overhead</w:t>
      </w:r>
      <w:r w:rsidRPr="00D45B1A">
        <w:t xml:space="preserve"> to production or directly related to production (production centres).</w:t>
      </w:r>
    </w:p>
    <w:p w14:paraId="68D63AFF" w14:textId="77777777" w:rsidR="00C27FB2" w:rsidRPr="00D45B1A" w:rsidRDefault="00C27FB2" w:rsidP="004738A8">
      <w:pPr>
        <w:pStyle w:val="Level3"/>
      </w:pPr>
      <w:r w:rsidRPr="00D45B1A">
        <w:t xml:space="preserve">Costing practitioners should align expenses from production cost centres within the general ledger to final cost centres based on informed decision making including service activity or information from external sources such as timesheets or payroll information. </w:t>
      </w:r>
    </w:p>
    <w:p w14:paraId="68D63B00" w14:textId="6C4BDEDC" w:rsidR="00125CC2" w:rsidRPr="00607D90" w:rsidRDefault="00C27FB2" w:rsidP="004738A8">
      <w:pPr>
        <w:pStyle w:val="Level3"/>
      </w:pPr>
      <w:r w:rsidRPr="00D45B1A">
        <w:t>Based on these data costing practitioners should (within the patient costing system).</w:t>
      </w:r>
      <w:r w:rsidR="00B63007">
        <w:t xml:space="preserve"> </w:t>
      </w:r>
      <w:r w:rsidR="00633ACE" w:rsidRPr="00607D90">
        <w:t>Use</w:t>
      </w:r>
      <w:r w:rsidR="00125CC2" w:rsidRPr="00607D90">
        <w:t xml:space="preserve"> stakeholder insights to ensure alignment of costs with activity either by appropriate product mapping or moving expenses to the relevant cost centres.</w:t>
      </w:r>
    </w:p>
    <w:p w14:paraId="68D63B01" w14:textId="77777777" w:rsidR="00C27FB2" w:rsidRPr="00D45B1A" w:rsidRDefault="00C27FB2" w:rsidP="004738A8">
      <w:pPr>
        <w:pStyle w:val="Level3"/>
      </w:pPr>
      <w:r w:rsidRPr="00D45B1A">
        <w:t>Costing practitioners will also need to apply an objective and systematic way to allocate overhead expenses to final centres. Some examples of these methods can include:</w:t>
      </w:r>
    </w:p>
    <w:p w14:paraId="68D63B02" w14:textId="64E4B0D8" w:rsidR="00C27FB2" w:rsidRPr="00D45B1A" w:rsidRDefault="00C27FB2" w:rsidP="00A27C5B">
      <w:pPr>
        <w:pStyle w:val="ListBullet"/>
        <w:spacing w:after="120"/>
      </w:pPr>
      <w:r w:rsidRPr="00D45B1A">
        <w:t xml:space="preserve">using total expenses of the </w:t>
      </w:r>
      <w:r w:rsidR="00A221B9">
        <w:t>c</w:t>
      </w:r>
      <w:r w:rsidRPr="00D45B1A">
        <w:t xml:space="preserve">hief </w:t>
      </w:r>
      <w:r w:rsidR="00A221B9">
        <w:t>e</w:t>
      </w:r>
      <w:r w:rsidRPr="00D45B1A">
        <w:t xml:space="preserve">xecutive </w:t>
      </w:r>
      <w:r w:rsidR="00A221B9">
        <w:t>o</w:t>
      </w:r>
      <w:r w:rsidRPr="00D45B1A">
        <w:t>fficer as a means to allocate these expenses to each final cost centre</w:t>
      </w:r>
      <w:r w:rsidR="006252EC">
        <w:t xml:space="preserve"> or </w:t>
      </w:r>
      <w:r w:rsidR="00AB2E24">
        <w:t>d</w:t>
      </w:r>
      <w:r w:rsidR="00225456">
        <w:t>epartment</w:t>
      </w:r>
    </w:p>
    <w:p w14:paraId="68D63B03" w14:textId="573FD3DB" w:rsidR="00C27FB2" w:rsidRPr="00D45B1A" w:rsidRDefault="00C27FB2" w:rsidP="00A27C5B">
      <w:pPr>
        <w:pStyle w:val="ListBullet"/>
        <w:spacing w:after="120"/>
      </w:pPr>
      <w:r w:rsidRPr="00D45B1A">
        <w:t>weighted floor space for cleaning</w:t>
      </w:r>
      <w:r w:rsidR="002E0E66">
        <w:t>.</w:t>
      </w:r>
      <w:r w:rsidRPr="00D45B1A">
        <w:t xml:space="preserve"> </w:t>
      </w:r>
    </w:p>
    <w:p w14:paraId="68D63B04" w14:textId="77777777" w:rsidR="00C27FB2" w:rsidRPr="00D45B1A" w:rsidRDefault="00C27FB2" w:rsidP="004738A8">
      <w:pPr>
        <w:pStyle w:val="Level3"/>
      </w:pPr>
      <w:r w:rsidRPr="00D45B1A">
        <w:t>Where overheads are traceable, say through a feeder, and can be directly allocated to activity, costing practitioners should prioritise this allocation approach.</w:t>
      </w:r>
    </w:p>
    <w:p w14:paraId="68D63B05" w14:textId="77777777" w:rsidR="00A05372" w:rsidRPr="00C27FB2" w:rsidRDefault="00C27FB2" w:rsidP="00821DDB">
      <w:pPr>
        <w:pStyle w:val="Level3Heading"/>
      </w:pPr>
      <w:r w:rsidRPr="00C27FB2">
        <w:t>Step 3</w:t>
      </w:r>
      <w:r w:rsidR="000F5884">
        <w:t>:</w:t>
      </w:r>
      <w:r w:rsidRPr="00C27FB2">
        <w:t xml:space="preserve"> Identify</w:t>
      </w:r>
      <w:r>
        <w:t xml:space="preserve"> </w:t>
      </w:r>
      <w:r w:rsidR="002E2E7F">
        <w:t>p</w:t>
      </w:r>
      <w:r w:rsidRPr="00C27FB2">
        <w:t xml:space="preserve">atient </w:t>
      </w:r>
      <w:r w:rsidR="002E2E7F">
        <w:t>l</w:t>
      </w:r>
      <w:r w:rsidR="002E2E7F" w:rsidRPr="00C27FB2">
        <w:t xml:space="preserve">evel </w:t>
      </w:r>
      <w:r w:rsidR="002E2E7F">
        <w:t>a</w:t>
      </w:r>
      <w:r w:rsidR="002E2E7F" w:rsidRPr="00C27FB2">
        <w:t xml:space="preserve">ctivity </w:t>
      </w:r>
      <w:r w:rsidRPr="00C27FB2">
        <w:t xml:space="preserve">and </w:t>
      </w:r>
      <w:r w:rsidR="002E2E7F">
        <w:t>f</w:t>
      </w:r>
      <w:r w:rsidR="002E2E7F" w:rsidRPr="00C27FB2">
        <w:t xml:space="preserve">eeder </w:t>
      </w:r>
      <w:r w:rsidR="002E2E7F">
        <w:t>d</w:t>
      </w:r>
      <w:r w:rsidR="002E2E7F" w:rsidRPr="00C27FB2">
        <w:t>ata</w:t>
      </w:r>
      <w:r w:rsidR="002E2E7F">
        <w:t>,</w:t>
      </w:r>
      <w:r w:rsidR="002E2E7F" w:rsidRPr="00C27FB2">
        <w:t xml:space="preserve"> </w:t>
      </w:r>
      <w:r w:rsidRPr="00C27FB2">
        <w:t xml:space="preserve">and </w:t>
      </w:r>
      <w:r w:rsidR="002E2E7F">
        <w:t>p</w:t>
      </w:r>
      <w:r w:rsidR="002E2E7F" w:rsidRPr="00C27FB2">
        <w:t xml:space="preserve">erform </w:t>
      </w:r>
      <w:r w:rsidR="002E2E7F">
        <w:t>q</w:t>
      </w:r>
      <w:r w:rsidR="002E2E7F" w:rsidRPr="00C27FB2">
        <w:t xml:space="preserve">uality </w:t>
      </w:r>
      <w:r w:rsidR="002E2E7F">
        <w:t>a</w:t>
      </w:r>
      <w:r w:rsidR="002E2E7F" w:rsidRPr="00C27FB2">
        <w:t xml:space="preserve">ssurance </w:t>
      </w:r>
      <w:r w:rsidR="002E2E7F">
        <w:t>c</w:t>
      </w:r>
      <w:r w:rsidR="002E2E7F" w:rsidRPr="00C27FB2">
        <w:t>hecks</w:t>
      </w:r>
      <w:r w:rsidRPr="00C27FB2">
        <w:t xml:space="preserve"> </w:t>
      </w:r>
    </w:p>
    <w:p w14:paraId="68D63B06" w14:textId="77777777" w:rsidR="00C27FB2" w:rsidRPr="00D45B1A" w:rsidRDefault="00C27FB2" w:rsidP="004738A8">
      <w:pPr>
        <w:pStyle w:val="Level3"/>
      </w:pPr>
      <w:r w:rsidRPr="00D45B1A">
        <w:t xml:space="preserve">Costing practitioners should meet with their service’s stakeholders to identify what activity occurs within their service area and whether these activities are recorded in information systems. </w:t>
      </w:r>
    </w:p>
    <w:p w14:paraId="68D63B07" w14:textId="77777777" w:rsidR="00C27FB2" w:rsidRPr="00D45B1A" w:rsidRDefault="00C27FB2" w:rsidP="004738A8">
      <w:pPr>
        <w:pStyle w:val="Level3"/>
      </w:pPr>
      <w:r w:rsidRPr="00D45B1A">
        <w:lastRenderedPageBreak/>
        <w:t xml:space="preserve">The level of activity detail captured will influence the costing methodology and final costed output. Ideally, the feeder data from an information system will include some or all of the following fields: </w:t>
      </w:r>
    </w:p>
    <w:p w14:paraId="68D63B08" w14:textId="1E3C5FB2" w:rsidR="00C27FB2" w:rsidRPr="00D45B1A" w:rsidRDefault="00C27FB2" w:rsidP="00A27C5B">
      <w:pPr>
        <w:pStyle w:val="ListBullet"/>
        <w:spacing w:after="120"/>
      </w:pPr>
      <w:r w:rsidRPr="00D45B1A">
        <w:t xml:space="preserve">the patient’s unique </w:t>
      </w:r>
      <w:r w:rsidR="002E230A">
        <w:t>identifier</w:t>
      </w:r>
    </w:p>
    <w:p w14:paraId="68D63B09" w14:textId="0E30FBF4" w:rsidR="00C27FB2" w:rsidRPr="00D45B1A" w:rsidRDefault="00C27FB2" w:rsidP="00A27C5B">
      <w:pPr>
        <w:pStyle w:val="ListBullet"/>
        <w:spacing w:after="120"/>
      </w:pPr>
      <w:r w:rsidRPr="00D45B1A">
        <w:t>the pat</w:t>
      </w:r>
      <w:r w:rsidR="00225456">
        <w:t>ient unique episode identifier</w:t>
      </w:r>
    </w:p>
    <w:p w14:paraId="68D63B0A" w14:textId="3FB38029" w:rsidR="00C27FB2" w:rsidRPr="00D45B1A" w:rsidRDefault="00C27FB2" w:rsidP="00A27C5B">
      <w:pPr>
        <w:pStyle w:val="ListBullet"/>
        <w:spacing w:after="120"/>
      </w:pPr>
      <w:r w:rsidRPr="00D45B1A">
        <w:t xml:space="preserve">the unit where the service was requested (for example, </w:t>
      </w:r>
      <w:r w:rsidR="00196727">
        <w:t>w</w:t>
      </w:r>
      <w:r w:rsidRPr="00D45B1A">
        <w:t>ard A</w:t>
      </w:r>
      <w:r w:rsidR="00225456">
        <w:t xml:space="preserve">, outpatient clinic B, </w:t>
      </w:r>
      <w:r w:rsidR="00196727">
        <w:t>w</w:t>
      </w:r>
      <w:r w:rsidR="00225456">
        <w:t>ard C)</w:t>
      </w:r>
    </w:p>
    <w:p w14:paraId="68D63B0B" w14:textId="6B1CDACF" w:rsidR="00C27FB2" w:rsidRPr="00D45B1A" w:rsidRDefault="00225456" w:rsidP="00A27C5B">
      <w:pPr>
        <w:pStyle w:val="ListBullet"/>
        <w:spacing w:after="120"/>
      </w:pPr>
      <w:r>
        <w:t>the date of service</w:t>
      </w:r>
      <w:r w:rsidR="00C27FB2" w:rsidRPr="00D45B1A">
        <w:t xml:space="preserve"> </w:t>
      </w:r>
    </w:p>
    <w:p w14:paraId="68D63B0C" w14:textId="77777777" w:rsidR="00C27FB2" w:rsidRPr="00D45B1A" w:rsidRDefault="00C27FB2" w:rsidP="00A27C5B">
      <w:pPr>
        <w:pStyle w:val="ListBullet"/>
        <w:spacing w:after="120"/>
      </w:pPr>
      <w:r w:rsidRPr="00D45B1A">
        <w:t>the type or category of service provided that will define the intermediate product (for example language interpreted, type of drug, type of pathology test, type of image, ward name)</w:t>
      </w:r>
    </w:p>
    <w:p w14:paraId="68D63B0D" w14:textId="77777777" w:rsidR="00C27FB2" w:rsidRPr="00D45B1A" w:rsidRDefault="00C27FB2" w:rsidP="00A27C5B">
      <w:pPr>
        <w:pStyle w:val="ListBullet"/>
        <w:spacing w:after="120"/>
      </w:pPr>
      <w:r w:rsidRPr="00D45B1A">
        <w:t>the volume driver or unit of measure for each intermediate product that will be used to allocate expenses such as time, the quantity of service, the actual cost or traceable cost.</w:t>
      </w:r>
    </w:p>
    <w:p w14:paraId="68D63B0E" w14:textId="77777777" w:rsidR="00C27FB2" w:rsidRPr="00D45B1A" w:rsidRDefault="00C27FB2" w:rsidP="004738A8">
      <w:pPr>
        <w:pStyle w:val="Level3"/>
      </w:pPr>
      <w:r w:rsidRPr="00D45B1A">
        <w:t xml:space="preserve">Costing practitioners should perform quality assurance checks on the feeder activity file prior to the costing process. For example, checks should be made on the date of service (to test reliability to remove error dates and ensure dates are relevant to the period being costed). </w:t>
      </w:r>
    </w:p>
    <w:p w14:paraId="68D63B0F" w14:textId="77777777" w:rsidR="00C27FB2" w:rsidRPr="007C6433" w:rsidRDefault="00C27FB2" w:rsidP="00821DDB">
      <w:pPr>
        <w:pStyle w:val="Level3Heading"/>
      </w:pPr>
      <w:r w:rsidRPr="007C6433">
        <w:t>Step 4</w:t>
      </w:r>
      <w:r w:rsidR="000F5884" w:rsidRPr="007C6433">
        <w:t>:</w:t>
      </w:r>
      <w:r w:rsidRPr="007C6433">
        <w:t xml:space="preserve"> Creating and </w:t>
      </w:r>
      <w:r w:rsidR="002E2E7F">
        <w:t>m</w:t>
      </w:r>
      <w:r w:rsidRPr="007C6433">
        <w:t xml:space="preserve">apping </w:t>
      </w:r>
      <w:r w:rsidR="002E2E7F">
        <w:t>s</w:t>
      </w:r>
      <w:r w:rsidR="002E2E7F" w:rsidRPr="007C6433">
        <w:t xml:space="preserve">ervice </w:t>
      </w:r>
      <w:r w:rsidR="002E2E7F">
        <w:t>c</w:t>
      </w:r>
      <w:r w:rsidR="002E2E7F" w:rsidRPr="007C6433">
        <w:t xml:space="preserve">osting </w:t>
      </w:r>
      <w:r w:rsidR="002E2E7F">
        <w:t>p</w:t>
      </w:r>
      <w:r w:rsidR="002E2E7F" w:rsidRPr="007C6433">
        <w:t xml:space="preserve">roducts </w:t>
      </w:r>
      <w:r w:rsidRPr="007C6433">
        <w:t xml:space="preserve">or </w:t>
      </w:r>
      <w:r w:rsidR="002E2E7F">
        <w:t>i</w:t>
      </w:r>
      <w:r w:rsidR="002E2E7F" w:rsidRPr="007C6433">
        <w:t xml:space="preserve">ntermediate </w:t>
      </w:r>
      <w:r w:rsidR="002E2E7F">
        <w:t>p</w:t>
      </w:r>
      <w:r w:rsidR="002E2E7F" w:rsidRPr="007C6433">
        <w:t>roducts</w:t>
      </w:r>
    </w:p>
    <w:p w14:paraId="68D63B10" w14:textId="77777777" w:rsidR="00C27FB2" w:rsidRPr="00D45B1A" w:rsidRDefault="00C27FB2" w:rsidP="004738A8">
      <w:pPr>
        <w:pStyle w:val="Level3"/>
      </w:pPr>
      <w:r w:rsidRPr="00D45B1A">
        <w:t xml:space="preserve">Intermediate products are generally created for services listed in the feeder. Once the intermediate products are created, costing practitioners will be required to ensure these are mapped in the costing system to the appropriate final cost centre. </w:t>
      </w:r>
    </w:p>
    <w:p w14:paraId="68D63B11" w14:textId="55F55FC7" w:rsidR="00464B93" w:rsidRDefault="00C27FB2" w:rsidP="00464B93">
      <w:pPr>
        <w:pStyle w:val="Level3Heading"/>
      </w:pPr>
      <w:r>
        <w:t>Step 5</w:t>
      </w:r>
      <w:r w:rsidR="000F5884">
        <w:t>:</w:t>
      </w:r>
      <w:r w:rsidRPr="00C27FB2">
        <w:t xml:space="preserve"> Apply</w:t>
      </w:r>
      <w:r>
        <w:t xml:space="preserve"> </w:t>
      </w:r>
      <w:r w:rsidR="0056216A">
        <w:t>r</w:t>
      </w:r>
      <w:r w:rsidRPr="00C27FB2">
        <w:t xml:space="preserve">elative </w:t>
      </w:r>
      <w:r w:rsidR="0056216A">
        <w:t>v</w:t>
      </w:r>
      <w:r w:rsidRPr="00C27FB2">
        <w:t xml:space="preserve">alue </w:t>
      </w:r>
      <w:r w:rsidR="0056216A">
        <w:t>u</w:t>
      </w:r>
      <w:r w:rsidRPr="00C27FB2">
        <w:t xml:space="preserve">nits by </w:t>
      </w:r>
      <w:r w:rsidR="002E2E7F">
        <w:t>s</w:t>
      </w:r>
      <w:r w:rsidRPr="00C27FB2">
        <w:t>ervice</w:t>
      </w:r>
    </w:p>
    <w:p w14:paraId="68D63B12" w14:textId="7E413E55" w:rsidR="00C27FB2" w:rsidRPr="00D45B1A" w:rsidRDefault="00D10F15" w:rsidP="006252EC">
      <w:pPr>
        <w:pStyle w:val="Level3"/>
      </w:pPr>
      <w:r>
        <w:rPr>
          <w:b/>
        </w:rPr>
        <w:fldChar w:fldCharType="begin"/>
      </w:r>
      <w:r>
        <w:rPr>
          <w:b/>
        </w:rPr>
        <w:fldChar w:fldCharType="end"/>
      </w:r>
      <w:r w:rsidR="00C27FB2" w:rsidRPr="00D45B1A">
        <w:t xml:space="preserve">The cost allocation process might be further enhanced through the use of </w:t>
      </w:r>
      <w:r w:rsidR="006C54A9">
        <w:t>RVUs</w:t>
      </w:r>
      <w:r w:rsidR="00C27FB2" w:rsidRPr="00D45B1A">
        <w:t xml:space="preserve">. </w:t>
      </w:r>
    </w:p>
    <w:p w14:paraId="68D63B13" w14:textId="77777777" w:rsidR="00C27FB2" w:rsidRPr="00D45B1A" w:rsidRDefault="00C27FB2" w:rsidP="004738A8">
      <w:pPr>
        <w:pStyle w:val="Level3"/>
      </w:pPr>
      <w:r w:rsidRPr="00D45B1A">
        <w:t xml:space="preserve">Costing practitioners should be aware that RVUs are generally applied in the cost allocation process to demonstrate the relative effort in producing one cost object against another. </w:t>
      </w:r>
    </w:p>
    <w:p w14:paraId="68D63B14" w14:textId="77777777" w:rsidR="00C27FB2" w:rsidRPr="00D45B1A" w:rsidRDefault="00C27FB2" w:rsidP="004738A8">
      <w:pPr>
        <w:pStyle w:val="Level3"/>
      </w:pPr>
      <w:r w:rsidRPr="00D45B1A">
        <w:t>The relative values should be determined in consultation with service stakeholders. The process of developing RVUs is similar across a number of service areas (final cost centres) within a hospital, such as wards or nursing, imaging, pathology, pharmacy, and prosthesis. The difference between them generally is the description of effort or value that is used to define the RVU per service area.</w:t>
      </w:r>
    </w:p>
    <w:p w14:paraId="68D63B15" w14:textId="77777777" w:rsidR="00C27FB2" w:rsidRPr="00D45B1A" w:rsidRDefault="00C27FB2" w:rsidP="004738A8">
      <w:pPr>
        <w:pStyle w:val="Level3"/>
      </w:pPr>
      <w:r w:rsidRPr="00D45B1A">
        <w:t>The determination of effort or value is generally dependent on the area being costed and the intermediate products being produced from that area. Examples of effort include:</w:t>
      </w:r>
    </w:p>
    <w:p w14:paraId="68D63B16" w14:textId="77777777" w:rsidR="00C27FB2" w:rsidRPr="00D45B1A" w:rsidRDefault="00C27FB2" w:rsidP="00A27C5B">
      <w:pPr>
        <w:pStyle w:val="ListBullet"/>
        <w:spacing w:after="120"/>
      </w:pPr>
      <w:r w:rsidRPr="00D45B1A">
        <w:t>acuity (or patient classification or dependency) for wards</w:t>
      </w:r>
    </w:p>
    <w:p w14:paraId="68D63B17" w14:textId="77777777" w:rsidR="00C27FB2" w:rsidRPr="00D45B1A" w:rsidRDefault="00C27FB2" w:rsidP="00A27C5B">
      <w:pPr>
        <w:pStyle w:val="ListBullet"/>
        <w:spacing w:after="120"/>
      </w:pPr>
      <w:r w:rsidRPr="00D45B1A">
        <w:t>work effort (time based and resource classification based) for imaging and pathology</w:t>
      </w:r>
    </w:p>
    <w:p w14:paraId="68D63B18" w14:textId="7E11A8A8" w:rsidR="00C27FB2" w:rsidRPr="00D45B1A" w:rsidRDefault="00C27FB2" w:rsidP="00A27C5B">
      <w:pPr>
        <w:pStyle w:val="ListBullet"/>
        <w:spacing w:after="120"/>
      </w:pPr>
      <w:r w:rsidRPr="00D45B1A">
        <w:t>actual prices (paid by the hospital) for prosthesis and pharmaceuticals</w:t>
      </w:r>
      <w:r w:rsidR="00532D83">
        <w:t>.</w:t>
      </w:r>
    </w:p>
    <w:p w14:paraId="68D63B19" w14:textId="77777777" w:rsidR="00C27FB2" w:rsidRPr="00D45B1A" w:rsidRDefault="00C27FB2" w:rsidP="004738A8">
      <w:pPr>
        <w:pStyle w:val="Level3"/>
      </w:pPr>
      <w:r w:rsidRPr="00D45B1A">
        <w:t>Costing practitioners should consult their jurisdictions for any mandated requirement of specific RVUs to be used in the costing process.</w:t>
      </w:r>
    </w:p>
    <w:p w14:paraId="68D63B1A" w14:textId="77777777" w:rsidR="00C27FB2" w:rsidRPr="00D45B1A" w:rsidRDefault="00C27FB2" w:rsidP="004738A8">
      <w:pPr>
        <w:pStyle w:val="Level3"/>
      </w:pPr>
      <w:r w:rsidRPr="00D45B1A">
        <w:lastRenderedPageBreak/>
        <w:t>Costing practitioners should note, that where expenses are allocated to an intermediate product using an RVU, the following hierarchy should be considered:</w:t>
      </w:r>
    </w:p>
    <w:p w14:paraId="68D63B1B" w14:textId="77777777" w:rsidR="00C27FB2" w:rsidRPr="00D45B1A" w:rsidRDefault="00C27FB2" w:rsidP="00A27C5B">
      <w:pPr>
        <w:pStyle w:val="ListBullet"/>
        <w:spacing w:after="120"/>
      </w:pPr>
      <w:r w:rsidRPr="00D45B1A">
        <w:t xml:space="preserve">the use of local RVUs that are derived from an organisation’s own historical information and accurately reflect the organisation’s operational behaviours </w:t>
      </w:r>
    </w:p>
    <w:p w14:paraId="68D63B1C" w14:textId="0D330293" w:rsidR="00C27FB2" w:rsidRPr="00D45B1A" w:rsidRDefault="00C27FB2" w:rsidP="00A27C5B">
      <w:pPr>
        <w:pStyle w:val="ListBullet"/>
        <w:spacing w:after="120"/>
      </w:pPr>
      <w:r w:rsidRPr="00D45B1A">
        <w:t xml:space="preserve">the use of RVUs that are derived from external information, such as an industry standard (such as the Commonwealth Medical </w:t>
      </w:r>
      <w:r w:rsidR="00225456">
        <w:t>Benefits Schedule) or benchmark</w:t>
      </w:r>
    </w:p>
    <w:p w14:paraId="68D63B1D" w14:textId="3708DF4C" w:rsidR="00C27FB2" w:rsidRPr="00D45B1A" w:rsidRDefault="00C9343F" w:rsidP="00A27C5B">
      <w:pPr>
        <w:pStyle w:val="ListBullet"/>
        <w:spacing w:after="120"/>
      </w:pPr>
      <w:r>
        <w:t>the use of n</w:t>
      </w:r>
      <w:r w:rsidR="00C27FB2" w:rsidRPr="00D45B1A">
        <w:t xml:space="preserve">ational Diagnostic Related Group </w:t>
      </w:r>
      <w:r w:rsidR="006252EC">
        <w:t>s</w:t>
      </w:r>
      <w:r w:rsidR="00C27FB2" w:rsidRPr="00D45B1A">
        <w:t xml:space="preserve">ervice </w:t>
      </w:r>
      <w:r w:rsidR="006252EC">
        <w:t>w</w:t>
      </w:r>
      <w:r w:rsidR="00C27FB2" w:rsidRPr="00D45B1A">
        <w:t>eights</w:t>
      </w:r>
      <w:r w:rsidR="00225456">
        <w:t>.</w:t>
      </w:r>
    </w:p>
    <w:p w14:paraId="68D63B1E" w14:textId="77777777" w:rsidR="00C27FB2" w:rsidRPr="00D45B1A" w:rsidRDefault="00C27FB2" w:rsidP="004738A8">
      <w:pPr>
        <w:pStyle w:val="Level3"/>
      </w:pPr>
      <w:r w:rsidRPr="00D45B1A">
        <w:t xml:space="preserve">Developing local RVUs should always be the highest priority for costing practitioners, as the costs will be more reflective of resource consumption and hospital practice than using external price lists or service weights. However, consideration needs to be given to the materiality </w:t>
      </w:r>
      <w:r w:rsidR="00531A3F">
        <w:t xml:space="preserve">of </w:t>
      </w:r>
      <w:r w:rsidRPr="00D45B1A">
        <w:t>costs.</w:t>
      </w:r>
    </w:p>
    <w:p w14:paraId="68D63B1F" w14:textId="77777777" w:rsidR="00C27FB2" w:rsidRPr="007C6433" w:rsidRDefault="00C27FB2" w:rsidP="00821DDB">
      <w:pPr>
        <w:pStyle w:val="Level3Heading"/>
      </w:pPr>
      <w:r w:rsidRPr="007C6433">
        <w:t>Step 6</w:t>
      </w:r>
      <w:r w:rsidR="00EB4353" w:rsidRPr="007C6433">
        <w:t>:</w:t>
      </w:r>
      <w:r w:rsidRPr="007C6433">
        <w:t xml:space="preserve"> Create </w:t>
      </w:r>
      <w:r w:rsidR="002E2E7F">
        <w:t>i</w:t>
      </w:r>
      <w:r w:rsidRPr="007C6433">
        <w:t xml:space="preserve">ntermediate </w:t>
      </w:r>
      <w:r w:rsidR="002E2E7F">
        <w:t>p</w:t>
      </w:r>
      <w:r w:rsidRPr="007C6433">
        <w:t xml:space="preserve">roduct </w:t>
      </w:r>
      <w:r w:rsidR="002E2E7F">
        <w:t>c</w:t>
      </w:r>
      <w:r w:rsidRPr="007C6433">
        <w:t xml:space="preserve">osts in </w:t>
      </w:r>
      <w:r w:rsidR="002E2E7F">
        <w:t>f</w:t>
      </w:r>
      <w:r w:rsidRPr="007C6433">
        <w:t xml:space="preserve">inal </w:t>
      </w:r>
      <w:r w:rsidR="002E2E7F">
        <w:t>c</w:t>
      </w:r>
      <w:r w:rsidRPr="007C6433">
        <w:t xml:space="preserve">ost </w:t>
      </w:r>
      <w:r w:rsidR="002E2E7F">
        <w:t>c</w:t>
      </w:r>
      <w:r w:rsidRPr="007C6433">
        <w:t>entres</w:t>
      </w:r>
    </w:p>
    <w:p w14:paraId="68D63B20" w14:textId="77777777" w:rsidR="00C407FA" w:rsidRDefault="00C407FA" w:rsidP="004738A8">
      <w:pPr>
        <w:pStyle w:val="Level3"/>
      </w:pPr>
      <w:r>
        <w:t>Two allocation processes are performed:</w:t>
      </w:r>
    </w:p>
    <w:p w14:paraId="68D63B21" w14:textId="79A218B3" w:rsidR="00C407FA" w:rsidRPr="00607D90" w:rsidRDefault="00532D83" w:rsidP="00A27C5B">
      <w:pPr>
        <w:pStyle w:val="ListBullet"/>
        <w:spacing w:after="120"/>
      </w:pPr>
      <w:r>
        <w:t>w</w:t>
      </w:r>
      <w:r w:rsidR="00C407FA" w:rsidRPr="00607D90">
        <w:t xml:space="preserve">hen overhead costs are allocated to the </w:t>
      </w:r>
      <w:r w:rsidR="006252EC">
        <w:t>p</w:t>
      </w:r>
      <w:r w:rsidR="00C407FA" w:rsidRPr="00607D90">
        <w:t xml:space="preserve">roduction </w:t>
      </w:r>
      <w:r w:rsidR="006252EC">
        <w:t>c</w:t>
      </w:r>
      <w:r w:rsidR="00C407FA" w:rsidRPr="00607D90">
        <w:t xml:space="preserve">ost </w:t>
      </w:r>
      <w:r w:rsidR="006252EC">
        <w:t>c</w:t>
      </w:r>
      <w:r w:rsidR="00C407FA" w:rsidRPr="00607D90">
        <w:t>entre (using an appropriate allocation statistic)</w:t>
      </w:r>
    </w:p>
    <w:p w14:paraId="68D63B22" w14:textId="63333413" w:rsidR="00C407FA" w:rsidRPr="00336AB2" w:rsidRDefault="00532D83" w:rsidP="00A27C5B">
      <w:pPr>
        <w:pStyle w:val="ListBullet"/>
        <w:spacing w:after="120"/>
      </w:pPr>
      <w:r>
        <w:t>w</w:t>
      </w:r>
      <w:r w:rsidR="00C9343F">
        <w:t>hen the p</w:t>
      </w:r>
      <w:r w:rsidR="00C407FA" w:rsidRPr="00607D90">
        <w:t xml:space="preserve">roduction </w:t>
      </w:r>
      <w:r w:rsidR="00C9343F">
        <w:t>c</w:t>
      </w:r>
      <w:r w:rsidR="00C407FA" w:rsidRPr="00607D90">
        <w:t xml:space="preserve">ost </w:t>
      </w:r>
      <w:r w:rsidR="00C9343F">
        <w:t>c</w:t>
      </w:r>
      <w:r w:rsidR="00C407FA" w:rsidRPr="00607D90">
        <w:t>entre costs (overhead and direct) are allocated to the intermediate products.</w:t>
      </w:r>
    </w:p>
    <w:p w14:paraId="68D63B23" w14:textId="77777777" w:rsidR="00C27FB2" w:rsidRPr="007C6433" w:rsidRDefault="00C27FB2" w:rsidP="00464B93">
      <w:pPr>
        <w:pStyle w:val="Level3Heading"/>
      </w:pPr>
      <w:r w:rsidRPr="007C6433">
        <w:t>Step 7</w:t>
      </w:r>
      <w:r w:rsidR="00EB4353" w:rsidRPr="007C6433">
        <w:t>:</w:t>
      </w:r>
      <w:r w:rsidRPr="007C6433">
        <w:t xml:space="preserve"> Match </w:t>
      </w:r>
      <w:r w:rsidR="002E2E7F">
        <w:t>i</w:t>
      </w:r>
      <w:r w:rsidRPr="007C6433">
        <w:t xml:space="preserve">ntermediate </w:t>
      </w:r>
      <w:r w:rsidR="002E2E7F">
        <w:t>p</w:t>
      </w:r>
      <w:r w:rsidR="002E2E7F" w:rsidRPr="007C6433">
        <w:t xml:space="preserve">roducts </w:t>
      </w:r>
      <w:r w:rsidRPr="007C6433">
        <w:t xml:space="preserve">and their </w:t>
      </w:r>
      <w:r w:rsidR="002E2E7F">
        <w:t>c</w:t>
      </w:r>
      <w:r w:rsidR="002E2E7F" w:rsidRPr="007C6433">
        <w:t xml:space="preserve">osts </w:t>
      </w:r>
      <w:r w:rsidRPr="007C6433">
        <w:t xml:space="preserve">to </w:t>
      </w:r>
      <w:r w:rsidR="002E2E7F">
        <w:t>p</w:t>
      </w:r>
      <w:r w:rsidR="002E2E7F" w:rsidRPr="007C6433">
        <w:t xml:space="preserve">atient </w:t>
      </w:r>
      <w:r w:rsidR="002E2E7F">
        <w:t>a</w:t>
      </w:r>
      <w:r w:rsidR="002E2E7F" w:rsidRPr="007C6433">
        <w:t>ctivity</w:t>
      </w:r>
    </w:p>
    <w:p w14:paraId="68D63B24" w14:textId="77777777" w:rsidR="00C27FB2" w:rsidRPr="00D45B1A" w:rsidRDefault="00C27FB2" w:rsidP="004738A8">
      <w:pPr>
        <w:pStyle w:val="Level3"/>
      </w:pPr>
      <w:r w:rsidRPr="00D45B1A">
        <w:t>Costing practitioners should establish a series of matching rules within the costing system to match intermediate products defined in each feeder to the appropriate activity and final product.</w:t>
      </w:r>
    </w:p>
    <w:p w14:paraId="68D63B25" w14:textId="77777777" w:rsidR="00C27FB2" w:rsidRPr="00D45B1A" w:rsidRDefault="00C27FB2" w:rsidP="004738A8">
      <w:pPr>
        <w:pStyle w:val="Level3"/>
      </w:pPr>
      <w:r w:rsidRPr="00D45B1A">
        <w:t>Intermediate products should be matched to the patient or encounter level for which they have been ordered as this match defines the resources consumed and the associated costs of care.</w:t>
      </w:r>
    </w:p>
    <w:p w14:paraId="68D63B26" w14:textId="77777777" w:rsidR="00C27FB2" w:rsidRPr="00D45B1A" w:rsidRDefault="00C27FB2" w:rsidP="004738A8">
      <w:pPr>
        <w:pStyle w:val="Level3"/>
      </w:pPr>
      <w:r w:rsidRPr="00D45B1A">
        <w:t>Costing practitioners will need to develop and apply matching rules that fit with their local service model. Costing practitioners may wish to consider the following matching criteria in this order of preference, for activity and feeder data:</w:t>
      </w:r>
    </w:p>
    <w:p w14:paraId="68D63B27" w14:textId="0D1492AB" w:rsidR="00C27FB2" w:rsidRPr="00D45B1A" w:rsidRDefault="00532D83" w:rsidP="00A27C5B">
      <w:pPr>
        <w:pStyle w:val="ListBullet"/>
        <w:spacing w:after="120"/>
      </w:pPr>
      <w:r>
        <w:t>admitted patients: m</w:t>
      </w:r>
      <w:r w:rsidR="00C27FB2" w:rsidRPr="00D45B1A">
        <w:t>atch intermediate products by date of service within the admission and discharge</w:t>
      </w:r>
    </w:p>
    <w:p w14:paraId="68D63B28" w14:textId="476D4483" w:rsidR="00C27FB2" w:rsidRPr="00D45B1A" w:rsidRDefault="00532D83" w:rsidP="00A27C5B">
      <w:pPr>
        <w:pStyle w:val="ListBullet"/>
        <w:spacing w:after="120"/>
      </w:pPr>
      <w:r>
        <w:t>e</w:t>
      </w:r>
      <w:r w:rsidR="00C27FB2" w:rsidRPr="00D45B1A">
        <w:t xml:space="preserve">mergency </w:t>
      </w:r>
      <w:r>
        <w:t>encounters: m</w:t>
      </w:r>
      <w:r w:rsidR="00C27FB2" w:rsidRPr="00D45B1A">
        <w:t>atch intermediate products by date of service within the admission to and discharge from emergency</w:t>
      </w:r>
    </w:p>
    <w:p w14:paraId="68D63B29" w14:textId="58583D2F" w:rsidR="00C27FB2" w:rsidRPr="00D45B1A" w:rsidRDefault="00532D83" w:rsidP="00A27C5B">
      <w:pPr>
        <w:pStyle w:val="ListBullet"/>
        <w:spacing w:after="120"/>
      </w:pPr>
      <w:r>
        <w:t>o</w:t>
      </w:r>
      <w:r w:rsidR="00C27FB2" w:rsidRPr="00D45B1A">
        <w:t xml:space="preserve">utpatient </w:t>
      </w:r>
      <w:r>
        <w:t>e</w:t>
      </w:r>
      <w:r w:rsidR="00C27FB2" w:rsidRPr="00D45B1A">
        <w:t xml:space="preserve">ncounters: </w:t>
      </w:r>
      <w:r>
        <w:t>m</w:t>
      </w:r>
      <w:r w:rsidR="00C27FB2" w:rsidRPr="00D45B1A">
        <w:t>atch intermediate products by date of service 30</w:t>
      </w:r>
      <w:r>
        <w:t xml:space="preserve"> days before and 30 days after outpatient cl</w:t>
      </w:r>
      <w:r w:rsidR="00C27FB2" w:rsidRPr="00D45B1A">
        <w:t>inic attendance</w:t>
      </w:r>
      <w:r>
        <w:t>.</w:t>
      </w:r>
    </w:p>
    <w:p w14:paraId="68D63B2A" w14:textId="77777777" w:rsidR="00C27FB2" w:rsidRPr="00DF6FDC" w:rsidRDefault="00C27FB2" w:rsidP="00821DDB">
      <w:pPr>
        <w:pStyle w:val="Level3Heading"/>
      </w:pPr>
      <w:r w:rsidRPr="00DF6FDC">
        <w:t>Step 8</w:t>
      </w:r>
      <w:r w:rsidR="00EB4353" w:rsidRPr="00DF6FDC">
        <w:t>:</w:t>
      </w:r>
      <w:r w:rsidRPr="00DF6FDC">
        <w:t xml:space="preserve"> </w:t>
      </w:r>
      <w:r w:rsidR="0086420A" w:rsidRPr="00DF6FDC">
        <w:t xml:space="preserve">Report </w:t>
      </w:r>
      <w:r w:rsidR="002E2E7F">
        <w:t>c</w:t>
      </w:r>
      <w:r w:rsidRPr="00DF6FDC">
        <w:t>osts</w:t>
      </w:r>
    </w:p>
    <w:p w14:paraId="68D63B2B" w14:textId="77777777" w:rsidR="00C27FB2" w:rsidRPr="00D45B1A" w:rsidRDefault="00C27FB2" w:rsidP="004738A8">
      <w:pPr>
        <w:pStyle w:val="Level3"/>
      </w:pPr>
      <w:r w:rsidRPr="00D45B1A">
        <w:t xml:space="preserve">Costing practitioners should perform the required steps to </w:t>
      </w:r>
      <w:r w:rsidR="008F3CF2">
        <w:t xml:space="preserve">consolidate and report </w:t>
      </w:r>
      <w:r w:rsidRPr="00D45B1A">
        <w:t>costs at patient or encounter level</w:t>
      </w:r>
      <w:r w:rsidRPr="00D45B1A">
        <w:rPr>
          <w:i/>
        </w:rPr>
        <w:t>.</w:t>
      </w:r>
    </w:p>
    <w:p w14:paraId="68D63B2C" w14:textId="77777777" w:rsidR="00C27FB2" w:rsidRPr="007C6433" w:rsidRDefault="00C27FB2" w:rsidP="00821DDB">
      <w:pPr>
        <w:pStyle w:val="Level3Heading"/>
      </w:pPr>
      <w:r w:rsidRPr="007C6433">
        <w:t>Step 9</w:t>
      </w:r>
      <w:r w:rsidR="00EB4353" w:rsidRPr="007C6433">
        <w:t>:</w:t>
      </w:r>
      <w:r w:rsidRPr="007C6433">
        <w:t xml:space="preserve"> Cost </w:t>
      </w:r>
      <w:r w:rsidR="002E2E7F">
        <w:t>d</w:t>
      </w:r>
      <w:r w:rsidRPr="007C6433">
        <w:t xml:space="preserve">ata </w:t>
      </w:r>
      <w:r w:rsidR="002E2E7F">
        <w:t>r</w:t>
      </w:r>
      <w:r w:rsidRPr="007C6433">
        <w:t xml:space="preserve">eview by </w:t>
      </w:r>
      <w:r w:rsidR="002E2E7F">
        <w:t>s</w:t>
      </w:r>
      <w:r w:rsidR="002E2E7F" w:rsidRPr="007C6433">
        <w:t xml:space="preserve">ervice’s </w:t>
      </w:r>
      <w:r w:rsidR="002E2E7F">
        <w:t>s</w:t>
      </w:r>
      <w:r w:rsidR="002E2E7F" w:rsidRPr="007C6433">
        <w:t>takeholders</w:t>
      </w:r>
      <w:r w:rsidRPr="007C6433">
        <w:t xml:space="preserve"> </w:t>
      </w:r>
    </w:p>
    <w:p w14:paraId="68D63B2D" w14:textId="77777777" w:rsidR="00C27FB2" w:rsidRPr="00D45B1A" w:rsidRDefault="00C27FB2" w:rsidP="004738A8">
      <w:pPr>
        <w:pStyle w:val="Level3"/>
      </w:pPr>
      <w:r w:rsidRPr="00D45B1A">
        <w:t>Costing practitioners should meet with their service stakeholders to report on costs calculated for, amongst other purposes, validation and sign off.</w:t>
      </w:r>
    </w:p>
    <w:p w14:paraId="68D63B2E" w14:textId="76B69E59" w:rsidR="00C27FB2" w:rsidRPr="00D97D20" w:rsidRDefault="00C27FB2" w:rsidP="00D97D20">
      <w:pPr>
        <w:pStyle w:val="Heading2"/>
      </w:pPr>
      <w:r w:rsidRPr="00D45B1A">
        <w:rPr>
          <w:rFonts w:ascii="Arial" w:hAnsi="Arial" w:cs="Arial"/>
        </w:rPr>
        <w:br w:type="page"/>
      </w:r>
      <w:bookmarkStart w:id="11" w:name="_Toc480492967"/>
      <w:bookmarkStart w:id="12" w:name="_Toc80778494"/>
      <w:r w:rsidRPr="00D97D20">
        <w:lastRenderedPageBreak/>
        <w:t xml:space="preserve">Critical </w:t>
      </w:r>
      <w:r w:rsidR="00E867EF">
        <w:t>C</w:t>
      </w:r>
      <w:r w:rsidRPr="00D97D20">
        <w:t>are</w:t>
      </w:r>
      <w:bookmarkEnd w:id="12"/>
    </w:p>
    <w:bookmarkEnd w:id="11"/>
    <w:p w14:paraId="68D63B2F" w14:textId="77777777" w:rsidR="00C27FB2" w:rsidRPr="00205822" w:rsidRDefault="00C27FB2" w:rsidP="00897CD3">
      <w:pPr>
        <w:pStyle w:val="Heading3"/>
      </w:pPr>
      <w:r w:rsidRPr="00205822">
        <w:t>Scope</w:t>
      </w:r>
    </w:p>
    <w:p w14:paraId="68D63B30" w14:textId="4BAEC28A" w:rsidR="00C27FB2" w:rsidRPr="00D45B1A" w:rsidRDefault="00C27FB2" w:rsidP="004738A8">
      <w:pPr>
        <w:pStyle w:val="Level3"/>
      </w:pPr>
      <w:r w:rsidRPr="00D45B1A">
        <w:t>Th</w:t>
      </w:r>
      <w:r w:rsidR="0056216A">
        <w:t>is</w:t>
      </w:r>
      <w:r w:rsidR="001B41F4">
        <w:t xml:space="preserve"> guideline </w:t>
      </w:r>
      <w:r w:rsidRPr="00D45B1A">
        <w:t xml:space="preserve">provides the scope of critical care services and a guideline on the approach to cost activity within a </w:t>
      </w:r>
      <w:r w:rsidR="006252EC">
        <w:t>c</w:t>
      </w:r>
      <w:r w:rsidRPr="00D45B1A">
        <w:t xml:space="preserve">ritical </w:t>
      </w:r>
      <w:r w:rsidR="006252EC">
        <w:t>c</w:t>
      </w:r>
      <w:r w:rsidRPr="00D45B1A">
        <w:t xml:space="preserve">are </w:t>
      </w:r>
      <w:r w:rsidR="006252EC">
        <w:t>u</w:t>
      </w:r>
      <w:r w:rsidRPr="00D45B1A">
        <w:t>nit.</w:t>
      </w:r>
    </w:p>
    <w:p w14:paraId="68D63B31" w14:textId="106A449A" w:rsidR="00C27FB2" w:rsidRDefault="00C27FB2" w:rsidP="004738A8">
      <w:pPr>
        <w:pStyle w:val="Level3"/>
      </w:pPr>
      <w:r w:rsidRPr="00D45B1A">
        <w:t>Th</w:t>
      </w:r>
      <w:r w:rsidR="0056216A">
        <w:t>is</w:t>
      </w:r>
      <w:r w:rsidR="001B41F4">
        <w:t xml:space="preserve"> guideline </w:t>
      </w:r>
      <w:r w:rsidRPr="00D45B1A">
        <w:t>also provides practical steps and examples to guide staff on the patient costing process for this activity.</w:t>
      </w:r>
    </w:p>
    <w:p w14:paraId="68D63B32" w14:textId="77777777" w:rsidR="00821DDB" w:rsidRPr="00D45B1A" w:rsidRDefault="00821DDB" w:rsidP="00821DDB">
      <w:pPr>
        <w:pStyle w:val="Level3Heading"/>
      </w:pPr>
      <w:r w:rsidRPr="00D45B1A">
        <w:t xml:space="preserve">Critical </w:t>
      </w:r>
      <w:r w:rsidR="002E2E7F">
        <w:t>c</w:t>
      </w:r>
      <w:r w:rsidRPr="00D45B1A">
        <w:t xml:space="preserve">are </w:t>
      </w:r>
      <w:r w:rsidR="002E2E7F">
        <w:t>s</w:t>
      </w:r>
      <w:r w:rsidRPr="00D45B1A">
        <w:t>cope</w:t>
      </w:r>
    </w:p>
    <w:p w14:paraId="68D63B33" w14:textId="77777777" w:rsidR="00821DDB" w:rsidRPr="00D45B1A" w:rsidRDefault="00821DDB" w:rsidP="004738A8">
      <w:pPr>
        <w:pStyle w:val="Level3"/>
      </w:pPr>
      <w:r w:rsidRPr="00D45B1A">
        <w:t xml:space="preserve">For patient level costing purposes, the following units will be included in critical care: </w:t>
      </w:r>
    </w:p>
    <w:p w14:paraId="0797223B" w14:textId="77777777" w:rsidR="00A77C56" w:rsidRPr="00D45B1A" w:rsidRDefault="00A77C56" w:rsidP="00A27C5B">
      <w:pPr>
        <w:pStyle w:val="ListBullet"/>
        <w:spacing w:after="120"/>
      </w:pPr>
      <w:r>
        <w:t>c</w:t>
      </w:r>
      <w:r w:rsidRPr="00D45B1A">
        <w:t xml:space="preserve">ardiothoracic </w:t>
      </w:r>
      <w:r>
        <w:t>i</w:t>
      </w:r>
      <w:r w:rsidRPr="00D45B1A">
        <w:t xml:space="preserve">ntensive </w:t>
      </w:r>
      <w:r>
        <w:t>c</w:t>
      </w:r>
      <w:r w:rsidRPr="00D45B1A">
        <w:t>are</w:t>
      </w:r>
    </w:p>
    <w:p w14:paraId="5EF6B058" w14:textId="77777777" w:rsidR="00A77C56" w:rsidRPr="00D45B1A" w:rsidRDefault="00A77C56" w:rsidP="00A27C5B">
      <w:pPr>
        <w:pStyle w:val="ListBullet"/>
        <w:spacing w:after="120"/>
      </w:pPr>
      <w:r>
        <w:t>c</w:t>
      </w:r>
      <w:r w:rsidRPr="00D45B1A">
        <w:t xml:space="preserve">oronary </w:t>
      </w:r>
      <w:r>
        <w:t>care</w:t>
      </w:r>
    </w:p>
    <w:p w14:paraId="68D63B34" w14:textId="57D6787F" w:rsidR="00821DDB" w:rsidRPr="00D45B1A" w:rsidRDefault="006252EC" w:rsidP="00A27C5B">
      <w:pPr>
        <w:pStyle w:val="ListBullet"/>
        <w:spacing w:after="120"/>
      </w:pPr>
      <w:r>
        <w:t>i</w:t>
      </w:r>
      <w:r w:rsidR="00821DDB" w:rsidRPr="00D45B1A">
        <w:t xml:space="preserve">ntensive </w:t>
      </w:r>
      <w:r w:rsidR="002E2E7F">
        <w:t>c</w:t>
      </w:r>
      <w:r w:rsidR="002E2E7F" w:rsidRPr="00D45B1A">
        <w:t>are</w:t>
      </w:r>
    </w:p>
    <w:p w14:paraId="4454E597" w14:textId="77777777" w:rsidR="00A77C56" w:rsidRDefault="00A77C56" w:rsidP="00A27C5B">
      <w:pPr>
        <w:pStyle w:val="ListBullet"/>
        <w:spacing w:after="120"/>
      </w:pPr>
      <w:r>
        <w:t>n</w:t>
      </w:r>
      <w:r w:rsidRPr="00D45B1A">
        <w:t xml:space="preserve">eonatal </w:t>
      </w:r>
      <w:r>
        <w:t>i</w:t>
      </w:r>
      <w:r w:rsidRPr="00D45B1A">
        <w:t xml:space="preserve">ntensive </w:t>
      </w:r>
      <w:r>
        <w:t>c</w:t>
      </w:r>
      <w:r w:rsidRPr="00D45B1A">
        <w:t>are</w:t>
      </w:r>
      <w:r>
        <w:t xml:space="preserve"> </w:t>
      </w:r>
    </w:p>
    <w:p w14:paraId="68D63B37" w14:textId="720EFEE1" w:rsidR="00821DDB" w:rsidRPr="00D45B1A" w:rsidRDefault="006252EC" w:rsidP="00A27C5B">
      <w:pPr>
        <w:pStyle w:val="ListBullet"/>
        <w:spacing w:after="120"/>
      </w:pPr>
      <w:r>
        <w:t>p</w:t>
      </w:r>
      <w:r w:rsidR="00821DDB" w:rsidRPr="00D45B1A">
        <w:t xml:space="preserve">sychiatric </w:t>
      </w:r>
      <w:r w:rsidR="002E2E7F">
        <w:t>i</w:t>
      </w:r>
      <w:r w:rsidR="002E2E7F" w:rsidRPr="00D45B1A">
        <w:t xml:space="preserve">ntensive </w:t>
      </w:r>
      <w:r w:rsidR="002E2E7F">
        <w:t>c</w:t>
      </w:r>
      <w:r w:rsidR="002E2E7F" w:rsidRPr="00D45B1A">
        <w:t>are</w:t>
      </w:r>
    </w:p>
    <w:p w14:paraId="68D63B39" w14:textId="6CF5689D" w:rsidR="00821DDB" w:rsidRPr="00D45B1A" w:rsidRDefault="006252EC" w:rsidP="00A27C5B">
      <w:pPr>
        <w:pStyle w:val="ListBullet"/>
        <w:spacing w:after="120"/>
      </w:pPr>
      <w:r>
        <w:t>p</w:t>
      </w:r>
      <w:r w:rsidR="00821DDB" w:rsidRPr="00D45B1A">
        <w:t xml:space="preserve">aediatric </w:t>
      </w:r>
      <w:r w:rsidR="002E2E7F">
        <w:t>i</w:t>
      </w:r>
      <w:r w:rsidR="00225456">
        <w:t>ntensive</w:t>
      </w:r>
      <w:r w:rsidR="00A77C56">
        <w:t>.</w:t>
      </w:r>
    </w:p>
    <w:p w14:paraId="68D63B3A" w14:textId="77777777" w:rsidR="00821DDB" w:rsidRPr="00D45B1A" w:rsidRDefault="00821DDB" w:rsidP="004738A8">
      <w:pPr>
        <w:pStyle w:val="Level3"/>
      </w:pPr>
      <w:r w:rsidRPr="00D45B1A">
        <w:t>High dependency, special care nurseries and other close observation units either located within general wards or stand alone will be costed as general wards.</w:t>
      </w:r>
    </w:p>
    <w:p w14:paraId="68D63B3B" w14:textId="1446C4DA" w:rsidR="00821DDB" w:rsidRPr="00D45B1A" w:rsidRDefault="00821DDB" w:rsidP="004738A8">
      <w:pPr>
        <w:pStyle w:val="Level3"/>
      </w:pPr>
      <w:r w:rsidRPr="00D45B1A">
        <w:t xml:space="preserve">Where close observation unit’s costs are integrated with </w:t>
      </w:r>
      <w:r w:rsidR="006252EC">
        <w:t>c</w:t>
      </w:r>
      <w:r w:rsidRPr="00D45B1A">
        <w:t xml:space="preserve">ritical </w:t>
      </w:r>
      <w:r w:rsidR="006252EC">
        <w:t>c</w:t>
      </w:r>
      <w:r w:rsidRPr="00D45B1A">
        <w:t xml:space="preserve">are </w:t>
      </w:r>
      <w:r w:rsidR="006252EC">
        <w:t>u</w:t>
      </w:r>
      <w:r w:rsidRPr="00D45B1A">
        <w:t>nits, these will be treated as critical care, recognising the difficulty in disaggregati</w:t>
      </w:r>
      <w:r w:rsidR="00C9343F">
        <w:t xml:space="preserve">ng </w:t>
      </w:r>
      <w:r w:rsidR="006252EC">
        <w:t>c</w:t>
      </w:r>
      <w:r w:rsidR="00C9343F">
        <w:t xml:space="preserve">ritical </w:t>
      </w:r>
      <w:r w:rsidR="006252EC">
        <w:t>c</w:t>
      </w:r>
      <w:r w:rsidR="00C9343F">
        <w:t xml:space="preserve">are services from </w:t>
      </w:r>
      <w:r w:rsidR="006252EC">
        <w:t>h</w:t>
      </w:r>
      <w:r w:rsidR="00C9343F">
        <w:t xml:space="preserve">igh </w:t>
      </w:r>
      <w:r w:rsidR="006252EC">
        <w:t>d</w:t>
      </w:r>
      <w:r w:rsidRPr="00D45B1A">
        <w:t xml:space="preserve">ependency services in combined units. </w:t>
      </w:r>
    </w:p>
    <w:p w14:paraId="68D63B3C" w14:textId="49011B4D" w:rsidR="00821DDB" w:rsidRPr="00D45B1A" w:rsidRDefault="00821DDB" w:rsidP="004738A8">
      <w:pPr>
        <w:pStyle w:val="Level3"/>
      </w:pPr>
      <w:r w:rsidRPr="00D45B1A">
        <w:t xml:space="preserve">Special </w:t>
      </w:r>
      <w:r w:rsidR="006252EC">
        <w:t>c</w:t>
      </w:r>
      <w:r w:rsidRPr="00D45B1A">
        <w:t xml:space="preserve">are </w:t>
      </w:r>
      <w:r w:rsidR="006252EC">
        <w:t>n</w:t>
      </w:r>
      <w:r w:rsidRPr="00D45B1A">
        <w:t xml:space="preserve">urseries (SCN) attached to either a </w:t>
      </w:r>
      <w:r w:rsidR="00BB7EF9">
        <w:t>n</w:t>
      </w:r>
      <w:r w:rsidRPr="00D45B1A">
        <w:t xml:space="preserve">eonatal </w:t>
      </w:r>
      <w:r w:rsidR="00BB7EF9">
        <w:t>i</w:t>
      </w:r>
      <w:r w:rsidRPr="00D45B1A">
        <w:t xml:space="preserve">ntensive </w:t>
      </w:r>
      <w:r w:rsidR="00196727">
        <w:t>c</w:t>
      </w:r>
      <w:r w:rsidRPr="00D45B1A">
        <w:t xml:space="preserve">are </w:t>
      </w:r>
      <w:r w:rsidR="00196727">
        <w:t>u</w:t>
      </w:r>
      <w:r w:rsidRPr="00D45B1A">
        <w:t>nit or in another combined unit, will be treated as critical care. Where the SCN can be identified as a separate ward or cost centre will be treated as clinical care area.</w:t>
      </w:r>
    </w:p>
    <w:p w14:paraId="68D63B3D" w14:textId="77777777" w:rsidR="00C27FB2" w:rsidRPr="00205822" w:rsidRDefault="00C27FB2" w:rsidP="00897CD3">
      <w:pPr>
        <w:pStyle w:val="Heading3"/>
      </w:pPr>
      <w:r w:rsidRPr="00205822">
        <w:t>Objective</w:t>
      </w:r>
    </w:p>
    <w:p w14:paraId="68D63B3E" w14:textId="506EBFE0" w:rsidR="00C27FB2" w:rsidRPr="00D45B1A" w:rsidRDefault="00C27FB2" w:rsidP="004738A8">
      <w:pPr>
        <w:pStyle w:val="Level3"/>
      </w:pPr>
      <w:r w:rsidRPr="00D45B1A">
        <w:t>The objective of th</w:t>
      </w:r>
      <w:r w:rsidR="001F16A3">
        <w:t>is</w:t>
      </w:r>
      <w:r w:rsidR="001B41F4">
        <w:t xml:space="preserve"> g</w:t>
      </w:r>
      <w:r w:rsidR="00B63007">
        <w:t>uideline</w:t>
      </w:r>
      <w:r w:rsidRPr="00D45B1A">
        <w:t xml:space="preserve"> is to guide costing practitioners on the end to end steps required to ensure that all </w:t>
      </w:r>
      <w:r w:rsidR="006252EC">
        <w:t>c</w:t>
      </w:r>
      <w:r w:rsidRPr="00D45B1A">
        <w:t xml:space="preserve">ritical </w:t>
      </w:r>
      <w:r w:rsidR="006252EC">
        <w:t>c</w:t>
      </w:r>
      <w:r w:rsidRPr="00D45B1A">
        <w:t xml:space="preserve">are activity and expense contributing to the day to day production of final </w:t>
      </w:r>
      <w:r w:rsidR="006252EC">
        <w:t>c</w:t>
      </w:r>
      <w:r w:rsidRPr="00D45B1A">
        <w:t xml:space="preserve">ritical </w:t>
      </w:r>
      <w:r w:rsidR="006252EC">
        <w:t>c</w:t>
      </w:r>
      <w:r w:rsidRPr="00D45B1A">
        <w:t>are products are included in the patient costing process to determine the full cost of production.</w:t>
      </w:r>
    </w:p>
    <w:p w14:paraId="68D63B3F" w14:textId="43C3E405" w:rsidR="00C27FB2" w:rsidRPr="00205822" w:rsidRDefault="00B63007" w:rsidP="00897CD3">
      <w:pPr>
        <w:pStyle w:val="Heading3"/>
      </w:pPr>
      <w:r>
        <w:t xml:space="preserve">Costing </w:t>
      </w:r>
      <w:r w:rsidR="001F16A3">
        <w:t>G</w:t>
      </w:r>
      <w:r>
        <w:t>uideline</w:t>
      </w:r>
    </w:p>
    <w:p w14:paraId="68D63B40" w14:textId="77777777" w:rsidR="00C27FB2" w:rsidRPr="00D45B1A" w:rsidRDefault="00C27FB2" w:rsidP="00821DDB">
      <w:pPr>
        <w:pStyle w:val="Level3Heading"/>
      </w:pPr>
      <w:r w:rsidRPr="00D45B1A">
        <w:t>Step 1</w:t>
      </w:r>
      <w:r w:rsidR="00EB4353">
        <w:t>:</w:t>
      </w:r>
      <w:r w:rsidRPr="00D45B1A">
        <w:t xml:space="preserve"> Stakeholder </w:t>
      </w:r>
      <w:r w:rsidR="002E2E7F">
        <w:t>i</w:t>
      </w:r>
      <w:r w:rsidRPr="00D45B1A">
        <w:t xml:space="preserve">dentification and </w:t>
      </w:r>
      <w:r w:rsidR="002E2E7F">
        <w:t>s</w:t>
      </w:r>
      <w:r w:rsidR="002E2E7F" w:rsidRPr="00D45B1A">
        <w:t xml:space="preserve">ervice </w:t>
      </w:r>
      <w:r w:rsidR="002E2E7F">
        <w:t>s</w:t>
      </w:r>
      <w:r w:rsidR="002E2E7F" w:rsidRPr="00D45B1A">
        <w:t xml:space="preserve">cale </w:t>
      </w:r>
      <w:r w:rsidRPr="00D45B1A">
        <w:t xml:space="preserve">and </w:t>
      </w:r>
      <w:r w:rsidR="002E2E7F">
        <w:t>s</w:t>
      </w:r>
      <w:r w:rsidR="002E2E7F" w:rsidRPr="00D45B1A">
        <w:t>cope</w:t>
      </w:r>
    </w:p>
    <w:p w14:paraId="68D63B41" w14:textId="6F817552" w:rsidR="00C27FB2" w:rsidRPr="00D45B1A" w:rsidRDefault="00C27FB2" w:rsidP="004738A8">
      <w:pPr>
        <w:pStyle w:val="Level3"/>
      </w:pPr>
      <w:r w:rsidRPr="00D45B1A">
        <w:t>Costing practitioners should meet with the appropriate stakeho</w:t>
      </w:r>
      <w:r w:rsidR="00532D83">
        <w:t xml:space="preserve">lders within the </w:t>
      </w:r>
      <w:r w:rsidR="006252EC">
        <w:t>c</w:t>
      </w:r>
      <w:r w:rsidR="00532D83">
        <w:t xml:space="preserve">ritical </w:t>
      </w:r>
      <w:r w:rsidR="006252EC">
        <w:t>c</w:t>
      </w:r>
      <w:r w:rsidR="00532D83">
        <w:t xml:space="preserve">are department and </w:t>
      </w:r>
      <w:r w:rsidR="006252EC">
        <w:t>f</w:t>
      </w:r>
      <w:r w:rsidR="00532D83">
        <w:t>inance d</w:t>
      </w:r>
      <w:r w:rsidRPr="00D45B1A">
        <w:t xml:space="preserve">epartment to identify both the expense and activity related to </w:t>
      </w:r>
      <w:r w:rsidR="006252EC">
        <w:t>c</w:t>
      </w:r>
      <w:r w:rsidRPr="00D45B1A">
        <w:t xml:space="preserve">ritical </w:t>
      </w:r>
      <w:r w:rsidR="006252EC">
        <w:t>c</w:t>
      </w:r>
      <w:r w:rsidRPr="00D45B1A">
        <w:t xml:space="preserve">are. </w:t>
      </w:r>
      <w:r w:rsidR="006252EC">
        <w:t>C</w:t>
      </w:r>
      <w:r w:rsidRPr="00D45B1A">
        <w:t xml:space="preserve">ritical </w:t>
      </w:r>
      <w:r w:rsidR="006252EC">
        <w:t>c</w:t>
      </w:r>
      <w:r w:rsidRPr="00D45B1A">
        <w:t>are stakeholders may include the:</w:t>
      </w:r>
    </w:p>
    <w:p w14:paraId="68D63B42" w14:textId="6875F5EF" w:rsidR="00C27FB2" w:rsidRPr="00D45B1A" w:rsidRDefault="006252EC" w:rsidP="00A27C5B">
      <w:pPr>
        <w:pStyle w:val="ListBullet"/>
        <w:spacing w:after="120"/>
      </w:pPr>
      <w:r>
        <w:t>d</w:t>
      </w:r>
      <w:r w:rsidR="00C27FB2" w:rsidRPr="00D45B1A">
        <w:t xml:space="preserve">irector of </w:t>
      </w:r>
      <w:r>
        <w:t>c</w:t>
      </w:r>
      <w:r w:rsidR="00C27FB2" w:rsidRPr="00D45B1A">
        <w:t xml:space="preserve">ritical </w:t>
      </w:r>
      <w:r>
        <w:t>c</w:t>
      </w:r>
      <w:r w:rsidR="00C27FB2" w:rsidRPr="00D45B1A">
        <w:t xml:space="preserve">are (or local equivalent) </w:t>
      </w:r>
    </w:p>
    <w:p w14:paraId="68D63B43" w14:textId="6AAC3E3B" w:rsidR="00C27FB2" w:rsidRPr="00D45B1A" w:rsidRDefault="006252EC" w:rsidP="00A27C5B">
      <w:pPr>
        <w:pStyle w:val="ListBullet"/>
        <w:spacing w:after="120"/>
      </w:pPr>
      <w:r>
        <w:t>c</w:t>
      </w:r>
      <w:r w:rsidR="00C27FB2" w:rsidRPr="00D45B1A">
        <w:t>ri</w:t>
      </w:r>
      <w:r w:rsidR="00225456">
        <w:t xml:space="preserve">tical </w:t>
      </w:r>
      <w:r>
        <w:t>c</w:t>
      </w:r>
      <w:r w:rsidR="00225456">
        <w:t xml:space="preserve">are </w:t>
      </w:r>
      <w:r>
        <w:t>n</w:t>
      </w:r>
      <w:r w:rsidR="00225456">
        <w:t xml:space="preserve">ursing </w:t>
      </w:r>
      <w:r>
        <w:t>m</w:t>
      </w:r>
      <w:r w:rsidR="00225456">
        <w:t>anager</w:t>
      </w:r>
    </w:p>
    <w:p w14:paraId="68D63B44" w14:textId="2F2AB242" w:rsidR="00C27FB2" w:rsidRPr="00D45B1A" w:rsidRDefault="006252EC" w:rsidP="00A27C5B">
      <w:pPr>
        <w:pStyle w:val="ListBullet"/>
        <w:spacing w:after="120"/>
      </w:pPr>
      <w:r>
        <w:t>c</w:t>
      </w:r>
      <w:r w:rsidR="00225456">
        <w:t xml:space="preserve">ost </w:t>
      </w:r>
      <w:r>
        <w:t>c</w:t>
      </w:r>
      <w:r w:rsidR="00225456">
        <w:t xml:space="preserve">entre </w:t>
      </w:r>
      <w:r>
        <w:t>m</w:t>
      </w:r>
      <w:r w:rsidR="00225456">
        <w:t>anager</w:t>
      </w:r>
      <w:r w:rsidR="0068166A">
        <w:t>.</w:t>
      </w:r>
      <w:r w:rsidR="00C27FB2" w:rsidRPr="00D45B1A">
        <w:t xml:space="preserve"> </w:t>
      </w:r>
    </w:p>
    <w:p w14:paraId="68D63B45" w14:textId="12752662" w:rsidR="00C27FB2" w:rsidRPr="00D45B1A" w:rsidRDefault="00C27FB2" w:rsidP="004738A8">
      <w:pPr>
        <w:pStyle w:val="Level3"/>
      </w:pPr>
      <w:r w:rsidRPr="00D45B1A">
        <w:lastRenderedPageBreak/>
        <w:t xml:space="preserve">Stakeholders will explain the operation of the </w:t>
      </w:r>
      <w:r w:rsidR="006252EC">
        <w:t>c</w:t>
      </w:r>
      <w:r w:rsidRPr="00D45B1A">
        <w:t xml:space="preserve">ritical </w:t>
      </w:r>
      <w:r w:rsidR="006252EC">
        <w:t>c</w:t>
      </w:r>
      <w:r w:rsidRPr="00D45B1A">
        <w:t xml:space="preserve">are </w:t>
      </w:r>
      <w:r w:rsidR="006252EC">
        <w:t>u</w:t>
      </w:r>
      <w:r w:rsidRPr="00D45B1A">
        <w:t xml:space="preserve">nit. This information is required to understand the configuration of the unit, the scope of expenses, the activities and what drives costs within the unit. </w:t>
      </w:r>
    </w:p>
    <w:p w14:paraId="68D63B46" w14:textId="79BA4B58" w:rsidR="00C27FB2" w:rsidRPr="00D45B1A" w:rsidRDefault="00C27FB2" w:rsidP="004738A8">
      <w:pPr>
        <w:pStyle w:val="Level3"/>
      </w:pPr>
      <w:r w:rsidRPr="00D45B1A">
        <w:t xml:space="preserve">In some hospitals, the expense associated with a </w:t>
      </w:r>
      <w:r w:rsidR="006252EC">
        <w:t>c</w:t>
      </w:r>
      <w:r w:rsidRPr="00D45B1A">
        <w:t xml:space="preserve">ritical </w:t>
      </w:r>
      <w:r w:rsidR="006252EC">
        <w:t>c</w:t>
      </w:r>
      <w:r w:rsidRPr="00D45B1A">
        <w:t xml:space="preserve">are </w:t>
      </w:r>
      <w:r w:rsidR="006252EC">
        <w:t>u</w:t>
      </w:r>
      <w:r w:rsidRPr="00D45B1A">
        <w:t xml:space="preserve">nit may not be aligned to each critical care service such as ICU or </w:t>
      </w:r>
      <w:r w:rsidR="00576C6F">
        <w:t>h</w:t>
      </w:r>
      <w:r w:rsidRPr="00D45B1A">
        <w:t xml:space="preserve">igh dependency. For example, the </w:t>
      </w:r>
      <w:r w:rsidR="00576C6F">
        <w:t>c</w:t>
      </w:r>
      <w:r w:rsidRPr="00D45B1A">
        <w:t xml:space="preserve">ritical </w:t>
      </w:r>
      <w:r w:rsidR="00576C6F">
        <w:t>c</w:t>
      </w:r>
      <w:r w:rsidRPr="00D45B1A">
        <w:t xml:space="preserve">are </w:t>
      </w:r>
      <w:r w:rsidR="00576C6F">
        <w:t>u</w:t>
      </w:r>
      <w:r w:rsidRPr="00D45B1A">
        <w:t>nit cost centre may include bed expenses that are classified as high dependency (</w:t>
      </w:r>
      <w:r w:rsidR="006252EC">
        <w:t>that is,</w:t>
      </w:r>
      <w:r w:rsidRPr="00D45B1A">
        <w:t xml:space="preserve"> not </w:t>
      </w:r>
      <w:r w:rsidR="0068166A">
        <w:t>c</w:t>
      </w:r>
      <w:r w:rsidRPr="00D45B1A">
        <w:t xml:space="preserve">ritical </w:t>
      </w:r>
      <w:r w:rsidR="0068166A">
        <w:t>c</w:t>
      </w:r>
      <w:r w:rsidRPr="00D45B1A">
        <w:t xml:space="preserve">are). When meeting with relevant stakeholders these issues require clarification as the cost model will need to be developed to reflect practice. The meeting should also discuss the available critical care feeder systems and the most appropriate way to allocate expenses and the appropriate RVUs that should be applied at the intermediate product level. </w:t>
      </w:r>
    </w:p>
    <w:p w14:paraId="68D63B47" w14:textId="77777777" w:rsidR="00C27FB2" w:rsidRPr="00D45B1A" w:rsidRDefault="00C27FB2" w:rsidP="00821DDB">
      <w:pPr>
        <w:pStyle w:val="Level3Heading"/>
      </w:pPr>
      <w:r w:rsidRPr="00D45B1A">
        <w:t>Step 2</w:t>
      </w:r>
      <w:r w:rsidR="00EB4353">
        <w:t>:</w:t>
      </w:r>
      <w:r w:rsidRPr="00D45B1A">
        <w:t xml:space="preserve"> </w:t>
      </w:r>
      <w:r w:rsidR="002E2E7F" w:rsidRPr="002E2E7F">
        <w:t>Align expense to the service department and define overhead and direct expenses, including overhead allocation methods</w:t>
      </w:r>
    </w:p>
    <w:p w14:paraId="68D63B48" w14:textId="2F1C5351" w:rsidR="00C27FB2" w:rsidRPr="00D45B1A" w:rsidRDefault="00C27FB2" w:rsidP="004738A8">
      <w:pPr>
        <w:pStyle w:val="Level3"/>
      </w:pPr>
      <w:r w:rsidRPr="00D45B1A">
        <w:t xml:space="preserve">Costing practitioners </w:t>
      </w:r>
      <w:r w:rsidR="00AB2E24">
        <w:t xml:space="preserve">should work with </w:t>
      </w:r>
      <w:r w:rsidR="00576C6F">
        <w:t>c</w:t>
      </w:r>
      <w:r w:rsidR="00AB2E24">
        <w:t xml:space="preserve">ritical </w:t>
      </w:r>
      <w:r w:rsidR="00576C6F">
        <w:t>c</w:t>
      </w:r>
      <w:r w:rsidR="00AB2E24">
        <w:t>are d</w:t>
      </w:r>
      <w:r w:rsidRPr="00D45B1A">
        <w:t xml:space="preserve">epartment stakeholders to define the expense within the </w:t>
      </w:r>
      <w:r w:rsidR="00576C6F">
        <w:t>c</w:t>
      </w:r>
      <w:r w:rsidRPr="00D45B1A">
        <w:t xml:space="preserve">ritical </w:t>
      </w:r>
      <w:r w:rsidR="00576C6F">
        <w:t>c</w:t>
      </w:r>
      <w:r w:rsidRPr="00D45B1A">
        <w:t xml:space="preserve">are </w:t>
      </w:r>
      <w:r w:rsidR="00AB2E24">
        <w:t>d</w:t>
      </w:r>
      <w:r w:rsidRPr="00D45B1A">
        <w:t xml:space="preserve">epartment that relates to final products. This includes obtaining agreement on the cost centre/s to map to </w:t>
      </w:r>
      <w:r w:rsidR="00576C6F">
        <w:t>c</w:t>
      </w:r>
      <w:r w:rsidRPr="00D45B1A">
        <w:t xml:space="preserve">ritical </w:t>
      </w:r>
      <w:r w:rsidR="00576C6F">
        <w:t>c</w:t>
      </w:r>
      <w:r w:rsidRPr="00D45B1A">
        <w:t>are for costing purposes.</w:t>
      </w:r>
    </w:p>
    <w:p w14:paraId="68D63B49" w14:textId="5AF1E2AF" w:rsidR="00C27FB2" w:rsidRPr="00D45B1A" w:rsidRDefault="00C27FB2" w:rsidP="00576C6F">
      <w:pPr>
        <w:pStyle w:val="Level3"/>
      </w:pPr>
      <w:r w:rsidRPr="00927F40">
        <w:t xml:space="preserve">Align </w:t>
      </w:r>
      <w:r w:rsidR="00576C6F">
        <w:t>e</w:t>
      </w:r>
      <w:r w:rsidRPr="00927F40">
        <w:t xml:space="preserve">xpenses to </w:t>
      </w:r>
      <w:r w:rsidR="00576C6F">
        <w:t>f</w:t>
      </w:r>
      <w:r w:rsidRPr="00927F40">
        <w:t xml:space="preserve">inal </w:t>
      </w:r>
      <w:r w:rsidR="00576C6F">
        <w:t>c</w:t>
      </w:r>
      <w:r w:rsidRPr="00927F40">
        <w:t xml:space="preserve">ost </w:t>
      </w:r>
      <w:r w:rsidR="00576C6F">
        <w:t>c</w:t>
      </w:r>
      <w:r w:rsidRPr="00927F40">
        <w:t>entres</w:t>
      </w:r>
      <w:r w:rsidRPr="00BB7EF9">
        <w:t xml:space="preserve"> </w:t>
      </w:r>
      <w:r w:rsidR="00576C6F">
        <w:t>– w</w:t>
      </w:r>
      <w:r w:rsidRPr="00D45B1A">
        <w:t xml:space="preserve">here the general ledger has consolidated expenses for both </w:t>
      </w:r>
      <w:r w:rsidR="00576C6F">
        <w:t>c</w:t>
      </w:r>
      <w:r w:rsidRPr="00D45B1A">
        <w:t xml:space="preserve">ritical </w:t>
      </w:r>
      <w:r w:rsidR="00576C6F">
        <w:t>c</w:t>
      </w:r>
      <w:r w:rsidRPr="00D45B1A">
        <w:t xml:space="preserve">are and </w:t>
      </w:r>
      <w:r w:rsidR="00576C6F">
        <w:t>h</w:t>
      </w:r>
      <w:r w:rsidRPr="00D45B1A">
        <w:t xml:space="preserve">igh </w:t>
      </w:r>
      <w:r w:rsidR="00576C6F">
        <w:t>d</w:t>
      </w:r>
      <w:r w:rsidRPr="00D45B1A">
        <w:t xml:space="preserve">ependency beds within the one cost centre, costing practitioners must work with the </w:t>
      </w:r>
      <w:r w:rsidR="00576C6F">
        <w:t>critical c</w:t>
      </w:r>
      <w:r w:rsidR="00576C6F" w:rsidRPr="0014061F">
        <w:t>are</w:t>
      </w:r>
      <w:r w:rsidR="00576C6F" w:rsidRPr="00D45B1A" w:rsidDel="00576C6F">
        <w:t xml:space="preserve"> </w:t>
      </w:r>
      <w:r w:rsidRPr="00D45B1A">
        <w:t xml:space="preserve"> stakeholders to define and agree on the methods and assumptions to be used (for example, staff rosters, </w:t>
      </w:r>
      <w:r w:rsidR="00576C6F" w:rsidRPr="00576C6F">
        <w:t>full-time equivalent</w:t>
      </w:r>
      <w:r w:rsidRPr="00D45B1A">
        <w:t>, timesheets, occupied bed days or other relevant data) to transfer expenses to other intermediate products.</w:t>
      </w:r>
    </w:p>
    <w:p w14:paraId="68D63B4A" w14:textId="04A113F2" w:rsidR="00C27FB2" w:rsidRDefault="00C27FB2" w:rsidP="004738A8">
      <w:pPr>
        <w:pStyle w:val="Level3"/>
      </w:pPr>
      <w:r w:rsidRPr="00D45B1A">
        <w:t xml:space="preserve">Costing practitioners should then use stakeholder insights to move expenses appropriately between the </w:t>
      </w:r>
      <w:r w:rsidR="00576C6F">
        <w:t>c</w:t>
      </w:r>
      <w:r w:rsidRPr="00D45B1A">
        <w:t xml:space="preserve">ritical </w:t>
      </w:r>
      <w:r w:rsidR="00576C6F">
        <w:t>c</w:t>
      </w:r>
      <w:r w:rsidRPr="00D45B1A">
        <w:t xml:space="preserve">are and </w:t>
      </w:r>
      <w:r w:rsidR="00576C6F">
        <w:t>h</w:t>
      </w:r>
      <w:r w:rsidRPr="00D45B1A">
        <w:t xml:space="preserve">igh </w:t>
      </w:r>
      <w:r w:rsidR="00576C6F">
        <w:t>d</w:t>
      </w:r>
      <w:r w:rsidRPr="00D45B1A">
        <w:t>ependency activity.</w:t>
      </w:r>
    </w:p>
    <w:p w14:paraId="68D63B4B" w14:textId="4BF93B4A" w:rsidR="00C27FB2" w:rsidRPr="0014061F" w:rsidRDefault="00C27FB2" w:rsidP="004738A8">
      <w:pPr>
        <w:pStyle w:val="Level3"/>
      </w:pPr>
      <w:r w:rsidRPr="0014061F">
        <w:t>Costing practitioners should seek to access staff rosters to understand the level of rotations of</w:t>
      </w:r>
      <w:r>
        <w:t xml:space="preserve"> residents and junior staff to </w:t>
      </w:r>
      <w:r w:rsidR="00576C6F">
        <w:t>c</w:t>
      </w:r>
      <w:r>
        <w:t xml:space="preserve">ritical </w:t>
      </w:r>
      <w:r w:rsidR="00576C6F">
        <w:t>c</w:t>
      </w:r>
      <w:r w:rsidRPr="0014061F">
        <w:t>are. This information can be used to demonstrate the med</w:t>
      </w:r>
      <w:r>
        <w:t xml:space="preserve">ical resources used to support </w:t>
      </w:r>
      <w:r w:rsidR="00576C6F">
        <w:t>c</w:t>
      </w:r>
      <w:r w:rsidRPr="0014061F">
        <w:t xml:space="preserve">ritical </w:t>
      </w:r>
      <w:r w:rsidR="00576C6F">
        <w:t>c</w:t>
      </w:r>
      <w:r w:rsidRPr="0014061F">
        <w:t>are</w:t>
      </w:r>
      <w:r>
        <w:t xml:space="preserve"> (or </w:t>
      </w:r>
      <w:r w:rsidR="00576C6F">
        <w:t>h</w:t>
      </w:r>
      <w:r>
        <w:t xml:space="preserve">igh </w:t>
      </w:r>
      <w:r w:rsidR="00576C6F">
        <w:t>d</w:t>
      </w:r>
      <w:r>
        <w:t>ependency)</w:t>
      </w:r>
      <w:r w:rsidRPr="0014061F">
        <w:t xml:space="preserve"> patients from other hospital units as these expenditures are held outside </w:t>
      </w:r>
      <w:r w:rsidR="00576C6F">
        <w:t>c</w:t>
      </w:r>
      <w:r>
        <w:t xml:space="preserve">ritical </w:t>
      </w:r>
      <w:r w:rsidR="00576C6F">
        <w:t>c</w:t>
      </w:r>
      <w:r w:rsidRPr="0014061F">
        <w:t>are cost centre.</w:t>
      </w:r>
    </w:p>
    <w:p w14:paraId="68D63B4C" w14:textId="40912894" w:rsidR="00C27FB2" w:rsidRPr="00D45B1A" w:rsidRDefault="00C27FB2" w:rsidP="004738A8">
      <w:pPr>
        <w:pStyle w:val="Level3"/>
      </w:pPr>
      <w:r w:rsidRPr="0014061F">
        <w:t xml:space="preserve">This approach enables the cost practitioner to consider </w:t>
      </w:r>
      <w:r w:rsidR="008C4EE3">
        <w:t xml:space="preserve">that </w:t>
      </w:r>
      <w:r w:rsidRPr="0014061F">
        <w:t xml:space="preserve">the medical resource costs for </w:t>
      </w:r>
      <w:r w:rsidR="00576C6F">
        <w:t>critical c</w:t>
      </w:r>
      <w:r w:rsidR="00576C6F" w:rsidRPr="0014061F">
        <w:t>are</w:t>
      </w:r>
      <w:r w:rsidR="00576C6F" w:rsidDel="00576C6F">
        <w:t xml:space="preserve"> </w:t>
      </w:r>
      <w:r w:rsidRPr="0014061F">
        <w:t xml:space="preserve"> patients are represented not only by critical care medical staff (where expenses are held within </w:t>
      </w:r>
      <w:r w:rsidR="00576C6F">
        <w:t>critical c</w:t>
      </w:r>
      <w:r w:rsidR="00576C6F" w:rsidRPr="0014061F">
        <w:t>are</w:t>
      </w:r>
      <w:r w:rsidR="00576C6F" w:rsidDel="00576C6F">
        <w:t xml:space="preserve"> </w:t>
      </w:r>
      <w:r w:rsidRPr="0014061F">
        <w:t xml:space="preserve"> cost centres), but the activity for medical staff rostered to critical care where associated expenses are held outside </w:t>
      </w:r>
      <w:r w:rsidR="00576C6F">
        <w:t>critical c</w:t>
      </w:r>
      <w:r w:rsidR="00576C6F" w:rsidRPr="0014061F">
        <w:t>are</w:t>
      </w:r>
      <w:r w:rsidR="00576C6F" w:rsidDel="00576C6F">
        <w:t xml:space="preserve"> </w:t>
      </w:r>
      <w:r w:rsidRPr="0014061F">
        <w:t xml:space="preserve"> cost centres.</w:t>
      </w:r>
    </w:p>
    <w:p w14:paraId="68D63B4D" w14:textId="77777777" w:rsidR="00C27FB2" w:rsidRPr="00D45B1A" w:rsidRDefault="00C27FB2" w:rsidP="004738A8">
      <w:pPr>
        <w:pStyle w:val="Level3"/>
      </w:pPr>
      <w:r w:rsidRPr="00D45B1A">
        <w:t xml:space="preserve">Detailed documentation should be made on key decisions, including: </w:t>
      </w:r>
    </w:p>
    <w:p w14:paraId="2EBBF56F" w14:textId="34614382" w:rsidR="00A221B9" w:rsidRPr="00D45B1A" w:rsidRDefault="00A221B9" w:rsidP="00A27C5B">
      <w:pPr>
        <w:pStyle w:val="ListBullet"/>
        <w:spacing w:after="120"/>
      </w:pPr>
      <w:r w:rsidRPr="00D45B1A">
        <w:t>a date for future</w:t>
      </w:r>
      <w:r>
        <w:t xml:space="preserve"> review with these stakeholders</w:t>
      </w:r>
    </w:p>
    <w:p w14:paraId="4A1642BD" w14:textId="1267A16E" w:rsidR="00A221B9" w:rsidRDefault="00A221B9" w:rsidP="00A27C5B">
      <w:pPr>
        <w:pStyle w:val="ListBullet"/>
        <w:spacing w:after="120"/>
      </w:pPr>
      <w:r w:rsidRPr="00D45B1A">
        <w:t>the stakeholders who were consulted and the date of consultation</w:t>
      </w:r>
    </w:p>
    <w:p w14:paraId="68D63B4E" w14:textId="27141FD7" w:rsidR="00C27FB2" w:rsidRPr="00D45B1A" w:rsidRDefault="00C27FB2" w:rsidP="00A27C5B">
      <w:pPr>
        <w:pStyle w:val="ListBullet"/>
        <w:spacing w:after="120"/>
      </w:pPr>
      <w:r w:rsidRPr="00D45B1A">
        <w:t xml:space="preserve">which expenses have been summarised and classified into the </w:t>
      </w:r>
      <w:r w:rsidR="00576C6F">
        <w:t>critical c</w:t>
      </w:r>
      <w:r w:rsidR="00576C6F" w:rsidRPr="0014061F">
        <w:t>are</w:t>
      </w:r>
      <w:r w:rsidR="00576C6F" w:rsidRPr="00D45B1A" w:rsidDel="00576C6F">
        <w:t xml:space="preserve"> </w:t>
      </w:r>
      <w:r w:rsidR="00225456">
        <w:t xml:space="preserve"> final cost centre</w:t>
      </w:r>
    </w:p>
    <w:p w14:paraId="68D63B4F" w14:textId="2CA8AC37" w:rsidR="00C27FB2" w:rsidRPr="00D45B1A" w:rsidRDefault="00C27FB2" w:rsidP="00A27C5B">
      <w:pPr>
        <w:pStyle w:val="ListBullet"/>
        <w:spacing w:after="120"/>
      </w:pPr>
      <w:r w:rsidRPr="00D45B1A">
        <w:t xml:space="preserve">what expenses have been summarised into the </w:t>
      </w:r>
      <w:r w:rsidR="00576C6F">
        <w:t>critical c</w:t>
      </w:r>
      <w:r w:rsidR="00576C6F" w:rsidRPr="0014061F">
        <w:t>are</w:t>
      </w:r>
      <w:r w:rsidRPr="00D45B1A">
        <w:t xml:space="preserve"> and</w:t>
      </w:r>
      <w:r w:rsidR="00576C6F">
        <w:t xml:space="preserve"> h</w:t>
      </w:r>
      <w:r w:rsidRPr="00D45B1A">
        <w:t>ig</w:t>
      </w:r>
      <w:r w:rsidR="00225456">
        <w:t xml:space="preserve">h </w:t>
      </w:r>
      <w:r w:rsidR="00576C6F">
        <w:t>d</w:t>
      </w:r>
      <w:r w:rsidR="00225456">
        <w:t>ependency final cost centres</w:t>
      </w:r>
      <w:r w:rsidR="00A221B9">
        <w:t>.</w:t>
      </w:r>
    </w:p>
    <w:p w14:paraId="68D63B52" w14:textId="77777777" w:rsidR="00C27FB2" w:rsidRPr="00D45B1A" w:rsidRDefault="00C27FB2" w:rsidP="00821DDB">
      <w:pPr>
        <w:pStyle w:val="Level3Heading"/>
      </w:pPr>
      <w:r w:rsidRPr="00D45B1A">
        <w:lastRenderedPageBreak/>
        <w:t>Step 3</w:t>
      </w:r>
      <w:r w:rsidR="00EB4353">
        <w:t>:</w:t>
      </w:r>
      <w:r w:rsidRPr="00D45B1A">
        <w:t xml:space="preserve"> </w:t>
      </w:r>
      <w:r w:rsidR="002E2E7F">
        <w:t>Identify patient level activity and feeder data and perform quality assurance checks</w:t>
      </w:r>
      <w:r w:rsidRPr="00D45B1A">
        <w:t xml:space="preserve"> </w:t>
      </w:r>
    </w:p>
    <w:p w14:paraId="68D63B53" w14:textId="58614510" w:rsidR="00C27FB2" w:rsidRPr="00D45B1A" w:rsidRDefault="00C27FB2" w:rsidP="004738A8">
      <w:pPr>
        <w:pStyle w:val="Level3"/>
      </w:pPr>
      <w:r w:rsidRPr="00D45B1A">
        <w:t xml:space="preserve">The main feeder system used for the allocation of </w:t>
      </w:r>
      <w:r w:rsidR="00576C6F">
        <w:t>c</w:t>
      </w:r>
      <w:r w:rsidRPr="00D45B1A">
        <w:t xml:space="preserve">ritical </w:t>
      </w:r>
      <w:r w:rsidR="00576C6F">
        <w:t>c</w:t>
      </w:r>
      <w:r w:rsidRPr="00D45B1A">
        <w:t xml:space="preserve">are is generally the ward transfer file as this provides data related to the time a patient spends in </w:t>
      </w:r>
      <w:r w:rsidR="00576C6F">
        <w:t>critical c</w:t>
      </w:r>
      <w:r w:rsidR="00576C6F" w:rsidRPr="0014061F">
        <w:t>are</w:t>
      </w:r>
      <w:r w:rsidRPr="00D45B1A">
        <w:t xml:space="preserve">. </w:t>
      </w:r>
    </w:p>
    <w:p w14:paraId="68D63B54" w14:textId="7A4F6323" w:rsidR="00C27FB2" w:rsidRPr="00D45B1A" w:rsidRDefault="00C27FB2" w:rsidP="004738A8">
      <w:pPr>
        <w:pStyle w:val="Level3"/>
      </w:pPr>
      <w:r w:rsidRPr="00D45B1A">
        <w:t>Other data may be used for the cost allocation process</w:t>
      </w:r>
      <w:r w:rsidR="00A221B9">
        <w:t xml:space="preserve">, </w:t>
      </w:r>
      <w:r w:rsidRPr="00D45B1A">
        <w:t>for example</w:t>
      </w:r>
      <w:r w:rsidR="00A221B9">
        <w:t>,</w:t>
      </w:r>
      <w:r w:rsidRPr="00D45B1A">
        <w:t xml:space="preserve"> the episodic dataset may record whether the patient was ventilated and how long. Ideally, the </w:t>
      </w:r>
      <w:r w:rsidR="00576C6F">
        <w:t>critical c</w:t>
      </w:r>
      <w:r w:rsidR="00576C6F" w:rsidRPr="0014061F">
        <w:t>are</w:t>
      </w:r>
      <w:r w:rsidR="00576C6F" w:rsidRPr="00D45B1A" w:rsidDel="00576C6F">
        <w:t xml:space="preserve"> </w:t>
      </w:r>
      <w:r w:rsidRPr="00D45B1A">
        <w:t xml:space="preserve">feeder system (and other datasets) will include some or all of the following fields: </w:t>
      </w:r>
    </w:p>
    <w:p w14:paraId="68D63B55" w14:textId="579F6D8A" w:rsidR="00C27FB2" w:rsidRPr="00D45B1A" w:rsidRDefault="00C27FB2" w:rsidP="00A27C5B">
      <w:pPr>
        <w:pStyle w:val="ListBullet"/>
        <w:spacing w:after="120"/>
      </w:pPr>
      <w:r w:rsidRPr="00D45B1A">
        <w:t xml:space="preserve">the patient’s unique </w:t>
      </w:r>
      <w:r w:rsidR="002E230A">
        <w:t>identifier</w:t>
      </w:r>
    </w:p>
    <w:p w14:paraId="68D63B56" w14:textId="6B4FBF6C" w:rsidR="00C27FB2" w:rsidRPr="00D45B1A" w:rsidRDefault="00C27FB2" w:rsidP="00A27C5B">
      <w:pPr>
        <w:pStyle w:val="ListBullet"/>
        <w:spacing w:after="120"/>
      </w:pPr>
      <w:r w:rsidRPr="00D45B1A">
        <w:t>the pat</w:t>
      </w:r>
      <w:r w:rsidR="00225456">
        <w:t>ient unique episode identifier</w:t>
      </w:r>
    </w:p>
    <w:p w14:paraId="68D63B57" w14:textId="1EB5D7F4" w:rsidR="00C27FB2" w:rsidRPr="00D45B1A" w:rsidRDefault="00C27FB2" w:rsidP="00A27C5B">
      <w:pPr>
        <w:pStyle w:val="ListBullet"/>
        <w:spacing w:after="120"/>
      </w:pPr>
      <w:r w:rsidRPr="00D45B1A">
        <w:t>u</w:t>
      </w:r>
      <w:r w:rsidR="00225456">
        <w:t>nit code (</w:t>
      </w:r>
      <w:r w:rsidR="00576C6F">
        <w:t>for example</w:t>
      </w:r>
      <w:r w:rsidR="00225456">
        <w:t xml:space="preserve">, ICU, </w:t>
      </w:r>
      <w:r w:rsidR="00BB7EF9">
        <w:t xml:space="preserve">neonatal </w:t>
      </w:r>
      <w:r w:rsidR="00225456">
        <w:t xml:space="preserve">ICU, </w:t>
      </w:r>
      <w:r w:rsidR="00BB7EF9">
        <w:t>critical care unit</w:t>
      </w:r>
      <w:r w:rsidR="00225456">
        <w:t>)</w:t>
      </w:r>
      <w:r w:rsidRPr="00D45B1A">
        <w:t xml:space="preserve"> </w:t>
      </w:r>
    </w:p>
    <w:p w14:paraId="68D63B58" w14:textId="48CD28D0" w:rsidR="00C27FB2" w:rsidRPr="00D45B1A" w:rsidRDefault="00C27FB2" w:rsidP="00A27C5B">
      <w:pPr>
        <w:pStyle w:val="ListBullet"/>
        <w:spacing w:after="120"/>
      </w:pPr>
      <w:r w:rsidRPr="00D45B1A">
        <w:t>the time into and out of the unit</w:t>
      </w:r>
    </w:p>
    <w:p w14:paraId="68D63B59" w14:textId="7A449274" w:rsidR="00775C3F" w:rsidRDefault="00225456" w:rsidP="00A27C5B">
      <w:pPr>
        <w:pStyle w:val="ListBullet"/>
        <w:spacing w:after="120"/>
      </w:pPr>
      <w:r>
        <w:t>hours of mechanical ventilation</w:t>
      </w:r>
    </w:p>
    <w:p w14:paraId="68D63B5A" w14:textId="529B292E" w:rsidR="00C27FB2" w:rsidRPr="00D45B1A" w:rsidRDefault="00775C3F" w:rsidP="00A27C5B">
      <w:pPr>
        <w:pStyle w:val="ListBullet"/>
        <w:spacing w:after="120"/>
      </w:pPr>
      <w:r>
        <w:t>campus</w:t>
      </w:r>
      <w:r w:rsidR="00A221B9">
        <w:t xml:space="preserve"> or </w:t>
      </w:r>
      <w:r w:rsidR="00225456">
        <w:t>site</w:t>
      </w:r>
    </w:p>
    <w:p w14:paraId="68D63B5B" w14:textId="7B40FC6A" w:rsidR="00C27FB2" w:rsidRPr="00D45B1A" w:rsidRDefault="00C9343F" w:rsidP="00A27C5B">
      <w:pPr>
        <w:pStyle w:val="ListBullet"/>
        <w:spacing w:after="120"/>
      </w:pPr>
      <w:r>
        <w:t>o</w:t>
      </w:r>
      <w:r w:rsidR="00225456">
        <w:t>ther relevant information</w:t>
      </w:r>
    </w:p>
    <w:p w14:paraId="68D63B5C" w14:textId="12870874" w:rsidR="00C27FB2" w:rsidRPr="00D45B1A" w:rsidRDefault="00C27FB2" w:rsidP="004738A8">
      <w:pPr>
        <w:pStyle w:val="Level3"/>
      </w:pPr>
      <w:r w:rsidRPr="00D45B1A">
        <w:t xml:space="preserve">Costing practitioners should perform quality assurance checks on the </w:t>
      </w:r>
      <w:r w:rsidR="00576C6F">
        <w:t>c</w:t>
      </w:r>
      <w:r w:rsidRPr="00D45B1A">
        <w:t xml:space="preserve">ritical </w:t>
      </w:r>
      <w:r w:rsidR="00576C6F">
        <w:t>c</w:t>
      </w:r>
      <w:r w:rsidRPr="00D45B1A">
        <w:t>are datasets prior to the costing process. For example, checks should be made on:</w:t>
      </w:r>
    </w:p>
    <w:p w14:paraId="68D63B5D" w14:textId="472800EC" w:rsidR="00C27FB2" w:rsidRPr="00D45B1A" w:rsidRDefault="00C27FB2" w:rsidP="00A27C5B">
      <w:pPr>
        <w:pStyle w:val="ListBullet"/>
        <w:spacing w:after="120"/>
      </w:pPr>
      <w:r w:rsidRPr="00D45B1A">
        <w:t>the date of service (check error dates, relevancy to costing period)</w:t>
      </w:r>
    </w:p>
    <w:p w14:paraId="68D63B5E" w14:textId="5CF961EC" w:rsidR="00C27FB2" w:rsidRPr="00D45B1A" w:rsidRDefault="00C27FB2" w:rsidP="00A27C5B">
      <w:pPr>
        <w:pStyle w:val="ListBullet"/>
        <w:spacing w:after="120"/>
      </w:pPr>
      <w:r w:rsidRPr="00D45B1A">
        <w:t>time int</w:t>
      </w:r>
      <w:r w:rsidR="00AB2E24">
        <w:t xml:space="preserve">o and out of the </w:t>
      </w:r>
      <w:r w:rsidR="00576C6F">
        <w:t>c</w:t>
      </w:r>
      <w:r w:rsidR="00AB2E24">
        <w:t xml:space="preserve">ritical </w:t>
      </w:r>
      <w:r w:rsidR="00576C6F">
        <w:t>c</w:t>
      </w:r>
      <w:r w:rsidR="00AB2E24">
        <w:t>are d</w:t>
      </w:r>
      <w:r w:rsidRPr="00D45B1A">
        <w:t xml:space="preserve">epartment (check for negative values – </w:t>
      </w:r>
      <w:r w:rsidR="00576C6F">
        <w:t>that is</w:t>
      </w:r>
      <w:r w:rsidRPr="00D45B1A">
        <w:t>, where s</w:t>
      </w:r>
      <w:r w:rsidR="00225456">
        <w:t>tart time is after finish time).</w:t>
      </w:r>
    </w:p>
    <w:p w14:paraId="68D63B5F" w14:textId="77777777" w:rsidR="00C27FB2" w:rsidRPr="00D45B1A" w:rsidRDefault="00C27FB2" w:rsidP="00821DDB">
      <w:pPr>
        <w:pStyle w:val="Level3Heading"/>
      </w:pPr>
      <w:r w:rsidRPr="00D45B1A">
        <w:t>Step 4</w:t>
      </w:r>
      <w:r w:rsidR="00EB4353">
        <w:t>:</w:t>
      </w:r>
      <w:r w:rsidRPr="00D45B1A">
        <w:t xml:space="preserve"> Creating and </w:t>
      </w:r>
      <w:r w:rsidR="002E2E7F">
        <w:t>m</w:t>
      </w:r>
      <w:r w:rsidRPr="00D45B1A">
        <w:t xml:space="preserve">apping </w:t>
      </w:r>
      <w:r w:rsidR="002E2E7F">
        <w:t>c</w:t>
      </w:r>
      <w:r w:rsidR="002E2E7F" w:rsidRPr="00D45B1A">
        <w:t xml:space="preserve">ritical </w:t>
      </w:r>
      <w:r w:rsidR="002E2E7F">
        <w:t>c</w:t>
      </w:r>
      <w:r w:rsidR="002E2E7F" w:rsidRPr="00D45B1A">
        <w:t xml:space="preserve">are </w:t>
      </w:r>
      <w:r w:rsidR="002E2E7F">
        <w:t>c</w:t>
      </w:r>
      <w:r w:rsidR="002E2E7F" w:rsidRPr="00D45B1A">
        <w:t xml:space="preserve">osting </w:t>
      </w:r>
      <w:r w:rsidR="002E2E7F">
        <w:t>p</w:t>
      </w:r>
      <w:r w:rsidR="002E2E7F" w:rsidRPr="00D45B1A">
        <w:t xml:space="preserve">roducts </w:t>
      </w:r>
      <w:r w:rsidRPr="00D45B1A">
        <w:t xml:space="preserve">or </w:t>
      </w:r>
      <w:r w:rsidR="002E2E7F">
        <w:t>i</w:t>
      </w:r>
      <w:r w:rsidR="002E2E7F" w:rsidRPr="00D45B1A">
        <w:t xml:space="preserve">ntermediate </w:t>
      </w:r>
      <w:r w:rsidR="002E2E7F">
        <w:t>p</w:t>
      </w:r>
      <w:r w:rsidR="002E2E7F" w:rsidRPr="00D45B1A">
        <w:t>roducts</w:t>
      </w:r>
    </w:p>
    <w:p w14:paraId="68D63B60" w14:textId="4EE94735" w:rsidR="00C27FB2" w:rsidRPr="00D45B1A" w:rsidRDefault="00C27FB2" w:rsidP="004738A8">
      <w:pPr>
        <w:pStyle w:val="Level3"/>
      </w:pPr>
      <w:r w:rsidRPr="00D45B1A">
        <w:t xml:space="preserve">The most widely used method for allocating </w:t>
      </w:r>
      <w:r w:rsidR="00BB7EF9">
        <w:t>c</w:t>
      </w:r>
      <w:r w:rsidRPr="00D45B1A">
        <w:t xml:space="preserve">ritical </w:t>
      </w:r>
      <w:r w:rsidR="00BB7EF9">
        <w:t>c</w:t>
      </w:r>
      <w:r w:rsidRPr="00D45B1A">
        <w:t xml:space="preserve">are expenses to patients includes the </w:t>
      </w:r>
      <w:r w:rsidR="00C9343F">
        <w:t>use of patient duration in the d</w:t>
      </w:r>
      <w:r w:rsidRPr="00D45B1A">
        <w:t xml:space="preserve">epartment, which may also be combined with a </w:t>
      </w:r>
      <w:r w:rsidR="007F1AC6">
        <w:t>r</w:t>
      </w:r>
      <w:r w:rsidRPr="00D45B1A">
        <w:t xml:space="preserve">elative </w:t>
      </w:r>
      <w:r w:rsidR="007F1AC6">
        <w:t>v</w:t>
      </w:r>
      <w:r w:rsidRPr="00D45B1A">
        <w:t xml:space="preserve">alue </w:t>
      </w:r>
      <w:r w:rsidR="007F1AC6">
        <w:t>u</w:t>
      </w:r>
      <w:r w:rsidRPr="00D45B1A">
        <w:t xml:space="preserve">nit (RVU). </w:t>
      </w:r>
    </w:p>
    <w:p w14:paraId="68D63B61" w14:textId="3476EC73" w:rsidR="00C27FB2" w:rsidRPr="00D45B1A" w:rsidRDefault="00C27FB2" w:rsidP="004738A8">
      <w:pPr>
        <w:pStyle w:val="Level3"/>
      </w:pPr>
      <w:r w:rsidRPr="00D45B1A">
        <w:t xml:space="preserve">Intermediate products created for </w:t>
      </w:r>
      <w:r w:rsidR="00576C6F">
        <w:t>c</w:t>
      </w:r>
      <w:r w:rsidRPr="00D45B1A">
        <w:t xml:space="preserve">ritical </w:t>
      </w:r>
      <w:r w:rsidR="00576C6F">
        <w:t>c</w:t>
      </w:r>
      <w:r w:rsidRPr="00D45B1A">
        <w:t>are will depend on the fields available in the ward transfer feeder systems and the availability of other data (</w:t>
      </w:r>
      <w:r w:rsidR="00576C6F">
        <w:t>for example</w:t>
      </w:r>
      <w:r w:rsidRPr="00D45B1A">
        <w:t xml:space="preserve">, from nursing dependency systems and the episodic dataset). Usually, the intermediate product will include at a minimum the </w:t>
      </w:r>
      <w:r w:rsidR="00C9343F">
        <w:t xml:space="preserve">unit code of the </w:t>
      </w:r>
      <w:r w:rsidR="00BB7EF9">
        <w:t>c</w:t>
      </w:r>
      <w:r w:rsidR="00C9343F">
        <w:t xml:space="preserve">ritical </w:t>
      </w:r>
      <w:r w:rsidR="00BB7EF9">
        <w:t>c</w:t>
      </w:r>
      <w:r w:rsidR="00C9343F">
        <w:t>are d</w:t>
      </w:r>
      <w:r w:rsidRPr="00D45B1A">
        <w:t xml:space="preserve">epartment, but may also include other factors such as the </w:t>
      </w:r>
      <w:r w:rsidR="00BB7EF9">
        <w:t>c</w:t>
      </w:r>
      <w:r w:rsidRPr="00D45B1A">
        <w:t xml:space="preserve">ritical </w:t>
      </w:r>
      <w:r w:rsidR="00BB7EF9">
        <w:t>c</w:t>
      </w:r>
      <w:r w:rsidRPr="00D45B1A">
        <w:t>are level, admission and discharge from the unit, time of day (</w:t>
      </w:r>
      <w:r w:rsidR="00576C6F">
        <w:t>for example</w:t>
      </w:r>
      <w:r w:rsidRPr="00D45B1A">
        <w:t xml:space="preserve">, am, pm, </w:t>
      </w:r>
      <w:r w:rsidR="00325D94" w:rsidRPr="00D45B1A">
        <w:t>and night</w:t>
      </w:r>
      <w:r w:rsidRPr="00D45B1A">
        <w:t>) and patient specialty.</w:t>
      </w:r>
    </w:p>
    <w:p w14:paraId="68D63B62" w14:textId="0ECBD8C6" w:rsidR="00C27FB2" w:rsidRPr="00D45B1A" w:rsidRDefault="00C27FB2" w:rsidP="004738A8">
      <w:pPr>
        <w:pStyle w:val="Level3"/>
      </w:pPr>
      <w:r w:rsidRPr="00D45B1A">
        <w:t xml:space="preserve">Where </w:t>
      </w:r>
      <w:r w:rsidR="00576C6F">
        <w:t>c</w:t>
      </w:r>
      <w:r w:rsidRPr="00D45B1A">
        <w:t xml:space="preserve">ritical </w:t>
      </w:r>
      <w:r w:rsidR="00576C6F">
        <w:t>c</w:t>
      </w:r>
      <w:r w:rsidRPr="00D45B1A">
        <w:t>are intermediate products are created in the costing system, they will also need to be mapped to the relevant final cost centre (</w:t>
      </w:r>
      <w:r w:rsidR="00576C6F">
        <w:t>for example</w:t>
      </w:r>
      <w:r w:rsidRPr="00D45B1A">
        <w:t xml:space="preserve">, </w:t>
      </w:r>
      <w:r w:rsidR="00576C6F">
        <w:t>c</w:t>
      </w:r>
      <w:r w:rsidRPr="00D45B1A">
        <w:t xml:space="preserve">ritical </w:t>
      </w:r>
      <w:r w:rsidR="00576C6F">
        <w:t>c</w:t>
      </w:r>
      <w:r w:rsidRPr="00D45B1A">
        <w:t xml:space="preserve">are or </w:t>
      </w:r>
      <w:r w:rsidR="00576C6F">
        <w:t>h</w:t>
      </w:r>
      <w:r w:rsidRPr="00D45B1A">
        <w:t xml:space="preserve">igh </w:t>
      </w:r>
      <w:r w:rsidR="00576C6F">
        <w:t>d</w:t>
      </w:r>
      <w:r w:rsidRPr="00D45B1A">
        <w:t>ependency as appropriate). An example of such a product is: ‘ICU_1_TransfIn_ED’, which denotes the ward (ICU), the acuity level of the patient (1) and the fact that this patient has been transferr</w:t>
      </w:r>
      <w:r w:rsidR="00AB2E24">
        <w:t xml:space="preserve">ed into ICU from the </w:t>
      </w:r>
      <w:r w:rsidR="00BB7EF9">
        <w:t>e</w:t>
      </w:r>
      <w:r w:rsidR="00AB2E24">
        <w:t>mergency d</w:t>
      </w:r>
      <w:r w:rsidRPr="00D45B1A">
        <w:t>epartment</w:t>
      </w:r>
      <w:r w:rsidR="00EC58FA">
        <w:t xml:space="preserve"> (ED)</w:t>
      </w:r>
      <w:r w:rsidRPr="00D45B1A">
        <w:t xml:space="preserve">. Once the intermediate products are created, costing practitioners will be required to map these in the costing system to the </w:t>
      </w:r>
      <w:r w:rsidR="00576C6F">
        <w:t>c</w:t>
      </w:r>
      <w:r w:rsidRPr="00D45B1A">
        <w:t xml:space="preserve">ritical </w:t>
      </w:r>
      <w:r w:rsidR="00576C6F">
        <w:t>c</w:t>
      </w:r>
      <w:r w:rsidRPr="00D45B1A">
        <w:t>are final cost centre.</w:t>
      </w:r>
    </w:p>
    <w:p w14:paraId="68D63B63" w14:textId="098F6891" w:rsidR="00C27FB2" w:rsidRPr="00D45B1A" w:rsidRDefault="00C27FB2" w:rsidP="00821DDB">
      <w:pPr>
        <w:pStyle w:val="Level3Heading"/>
      </w:pPr>
      <w:r w:rsidRPr="00D45B1A">
        <w:t>Step 5</w:t>
      </w:r>
      <w:r w:rsidR="00EB4353">
        <w:t>:</w:t>
      </w:r>
      <w:r w:rsidRPr="00D45B1A">
        <w:t xml:space="preserve"> Apply </w:t>
      </w:r>
      <w:r w:rsidR="00E867EF">
        <w:t>r</w:t>
      </w:r>
      <w:r w:rsidRPr="00D45B1A">
        <w:t xml:space="preserve">elative </w:t>
      </w:r>
      <w:r w:rsidR="00E867EF">
        <w:t>v</w:t>
      </w:r>
      <w:r w:rsidRPr="00D45B1A">
        <w:t xml:space="preserve">alue </w:t>
      </w:r>
      <w:r w:rsidR="00E867EF">
        <w:t>u</w:t>
      </w:r>
      <w:r w:rsidRPr="00D45B1A">
        <w:t xml:space="preserve">nits </w:t>
      </w:r>
    </w:p>
    <w:p w14:paraId="68D63B64" w14:textId="207057B6" w:rsidR="00C27FB2" w:rsidRPr="00D45B1A" w:rsidRDefault="00C27FB2" w:rsidP="004738A8">
      <w:pPr>
        <w:pStyle w:val="Level3"/>
      </w:pPr>
      <w:r w:rsidRPr="00D45B1A">
        <w:lastRenderedPageBreak/>
        <w:t xml:space="preserve">Patient duration on the </w:t>
      </w:r>
      <w:r w:rsidR="00576C6F">
        <w:t>c</w:t>
      </w:r>
      <w:r w:rsidRPr="00D45B1A">
        <w:t xml:space="preserve">ritical </w:t>
      </w:r>
      <w:r w:rsidR="00576C6F">
        <w:t>c</w:t>
      </w:r>
      <w:r w:rsidRPr="00D45B1A">
        <w:t>are ward is usually the primary cost driver used to allocate the labour related expenses withi</w:t>
      </w:r>
      <w:r w:rsidR="00AB2E24">
        <w:t xml:space="preserve">n a </w:t>
      </w:r>
      <w:r w:rsidR="00BB7EF9">
        <w:t>c</w:t>
      </w:r>
      <w:r w:rsidR="00AB2E24">
        <w:t xml:space="preserve">ritical </w:t>
      </w:r>
      <w:r w:rsidR="00BB7EF9">
        <w:t>c</w:t>
      </w:r>
      <w:r w:rsidR="00AB2E24">
        <w:t>are d</w:t>
      </w:r>
      <w:r w:rsidRPr="00D45B1A">
        <w:t xml:space="preserve">epartment. Used in isolation, this means that all patients are assumed to have the same nurse/medical staff to patient ratio. Costing practitioners may also wish to discuss with </w:t>
      </w:r>
      <w:r w:rsidR="00BB7EF9">
        <w:t>c</w:t>
      </w:r>
      <w:r w:rsidRPr="00D45B1A">
        <w:t xml:space="preserve">ritical </w:t>
      </w:r>
      <w:r w:rsidR="00BB7EF9">
        <w:t>c</w:t>
      </w:r>
      <w:r w:rsidRPr="00D45B1A">
        <w:t>are stakeholders whether it is possible or feasible to assign RVUs to adjust the cost allocation to account for resource intensity.</w:t>
      </w:r>
    </w:p>
    <w:p w14:paraId="68D63B65" w14:textId="1C550C1E" w:rsidR="00C27FB2" w:rsidRPr="00D45B1A" w:rsidRDefault="00C27FB2" w:rsidP="004738A8">
      <w:pPr>
        <w:pStyle w:val="Level3"/>
      </w:pPr>
      <w:r w:rsidRPr="00D45B1A">
        <w:t xml:space="preserve">For example, patients recently transferred into </w:t>
      </w:r>
      <w:r w:rsidR="00576C6F">
        <w:t>c</w:t>
      </w:r>
      <w:r w:rsidRPr="00D45B1A">
        <w:t xml:space="preserve">ritical </w:t>
      </w:r>
      <w:r w:rsidR="00576C6F">
        <w:t>c</w:t>
      </w:r>
      <w:r w:rsidRPr="00D45B1A">
        <w:t xml:space="preserve">are from the </w:t>
      </w:r>
      <w:r w:rsidR="00EC58FA">
        <w:t>ED</w:t>
      </w:r>
      <w:r w:rsidRPr="00D45B1A">
        <w:t xml:space="preserve"> or post theatre may require more medical and nursing care than patients who are in a critical condition, but stabilised or ready to be stepped down into high dependency. While the normal nursing staff patient ratio in an intensive adult and paediatric intensive care unit is 1 to 1 there are treatments such as </w:t>
      </w:r>
      <w:r w:rsidR="00576C6F">
        <w:t>e</w:t>
      </w:r>
      <w:r w:rsidRPr="00D45B1A">
        <w:t xml:space="preserve">xtra </w:t>
      </w:r>
      <w:r w:rsidR="00576C6F">
        <w:t>c</w:t>
      </w:r>
      <w:r w:rsidRPr="00D45B1A">
        <w:t xml:space="preserve">orporeal </w:t>
      </w:r>
      <w:r w:rsidR="00576C6F">
        <w:t>m</w:t>
      </w:r>
      <w:r w:rsidRPr="00D45B1A">
        <w:t xml:space="preserve">embrane </w:t>
      </w:r>
      <w:r w:rsidR="00576C6F">
        <w:t>o</w:t>
      </w:r>
      <w:r w:rsidRPr="00D45B1A">
        <w:t xml:space="preserve">xygenation where the staff patient ratio may be higher. Similarly, in </w:t>
      </w:r>
      <w:r w:rsidR="0068166A">
        <w:t>i</w:t>
      </w:r>
      <w:r w:rsidRPr="00D45B1A">
        <w:t xml:space="preserve">ntensive </w:t>
      </w:r>
      <w:r w:rsidR="0068166A">
        <w:t>c</w:t>
      </w:r>
      <w:r w:rsidRPr="00D45B1A">
        <w:t xml:space="preserve">are areas there may be bed locations such that, as the patient’s condition improves a 1 to 2 or even 1 to 4 ratio may be the norm for that acuity patient. </w:t>
      </w:r>
    </w:p>
    <w:p w14:paraId="68D63B66" w14:textId="77777777" w:rsidR="00C27FB2" w:rsidRPr="00D45B1A" w:rsidRDefault="00C27FB2" w:rsidP="004738A8">
      <w:pPr>
        <w:pStyle w:val="Level3"/>
      </w:pPr>
      <w:r w:rsidRPr="00D45B1A">
        <w:t xml:space="preserve">Where these type of areas or patient types can be readily identified from the electronic data available to the costing team RVU’s should be adjusted to more accurately reflect the relative costliness of patients as they pass through the intensive care unit. </w:t>
      </w:r>
    </w:p>
    <w:p w14:paraId="68D63B67" w14:textId="1EBCCE05" w:rsidR="00C27FB2" w:rsidRPr="00D45B1A" w:rsidRDefault="00C27FB2" w:rsidP="004738A8">
      <w:pPr>
        <w:pStyle w:val="Level3"/>
      </w:pPr>
      <w:r w:rsidRPr="00D45B1A">
        <w:t xml:space="preserve">Neonatal Intensive care units normally have one or two rooms with lower acuity patients requiring a lower staff patient ratio and may also include an attached special care nursery area through which the initially sick neonate passes during their overall stay in the </w:t>
      </w:r>
      <w:r w:rsidR="00BB7EF9">
        <w:t xml:space="preserve">neonatal </w:t>
      </w:r>
      <w:r w:rsidRPr="00D45B1A">
        <w:t>ICU. The RVU needs to consider this level of acuity also.</w:t>
      </w:r>
    </w:p>
    <w:p w14:paraId="68D63B68" w14:textId="2640F558" w:rsidR="00C27FB2" w:rsidRPr="00D45B1A" w:rsidRDefault="00C27FB2" w:rsidP="004738A8">
      <w:pPr>
        <w:pStyle w:val="Level3"/>
      </w:pPr>
      <w:r w:rsidRPr="00D45B1A">
        <w:t xml:space="preserve">These relative values should be determined in consultation with the </w:t>
      </w:r>
      <w:r w:rsidR="00576C6F">
        <w:t>c</w:t>
      </w:r>
      <w:r w:rsidRPr="00D45B1A">
        <w:t xml:space="preserve">ritical </w:t>
      </w:r>
      <w:r w:rsidR="00576C6F">
        <w:t>c</w:t>
      </w:r>
      <w:r w:rsidRPr="00D45B1A">
        <w:t xml:space="preserve">are stakeholders. </w:t>
      </w:r>
    </w:p>
    <w:p w14:paraId="68D63B69" w14:textId="77777777" w:rsidR="00C27FB2" w:rsidRPr="00D45B1A" w:rsidRDefault="00C27FB2" w:rsidP="00821DDB">
      <w:pPr>
        <w:pStyle w:val="Level3Heading"/>
      </w:pPr>
      <w:r w:rsidRPr="00D45B1A">
        <w:t>Step 6</w:t>
      </w:r>
      <w:r w:rsidR="00EB4353">
        <w:t>:</w:t>
      </w:r>
      <w:r w:rsidRPr="00D45B1A">
        <w:t xml:space="preserve"> Create </w:t>
      </w:r>
      <w:r w:rsidR="002E2E7F">
        <w:t>i</w:t>
      </w:r>
      <w:r w:rsidRPr="00D45B1A">
        <w:t xml:space="preserve">ntermediate </w:t>
      </w:r>
      <w:r w:rsidR="002E2E7F">
        <w:t>p</w:t>
      </w:r>
      <w:r w:rsidR="002E2E7F" w:rsidRPr="00D45B1A">
        <w:t xml:space="preserve">roduct </w:t>
      </w:r>
      <w:r w:rsidR="002E2E7F">
        <w:t>c</w:t>
      </w:r>
      <w:r w:rsidR="002E2E7F" w:rsidRPr="00D45B1A">
        <w:t xml:space="preserve">osts </w:t>
      </w:r>
      <w:r w:rsidRPr="00D45B1A">
        <w:t xml:space="preserve">in </w:t>
      </w:r>
      <w:r w:rsidR="002E2E7F">
        <w:t>f</w:t>
      </w:r>
      <w:r w:rsidR="002E2E7F" w:rsidRPr="00D45B1A">
        <w:t xml:space="preserve">inal </w:t>
      </w:r>
      <w:r w:rsidR="002E2E7F">
        <w:t>c</w:t>
      </w:r>
      <w:r w:rsidRPr="00D45B1A">
        <w:t xml:space="preserve">ost </w:t>
      </w:r>
      <w:r w:rsidR="002E2E7F">
        <w:t>c</w:t>
      </w:r>
      <w:r w:rsidRPr="00D45B1A">
        <w:t>entres</w:t>
      </w:r>
    </w:p>
    <w:p w14:paraId="68D63B6A" w14:textId="77777777" w:rsidR="00C407FA" w:rsidRDefault="00C407FA" w:rsidP="004738A8">
      <w:pPr>
        <w:pStyle w:val="Level3"/>
      </w:pPr>
      <w:r>
        <w:t>Two allocation processes are performed:</w:t>
      </w:r>
    </w:p>
    <w:p w14:paraId="68D63B6B" w14:textId="0DBC10DF" w:rsidR="00C407FA" w:rsidRPr="00D46BB1" w:rsidRDefault="00C9343F" w:rsidP="00A27C5B">
      <w:pPr>
        <w:pStyle w:val="ListBullet"/>
        <w:spacing w:after="120"/>
      </w:pPr>
      <w:r>
        <w:t>w</w:t>
      </w:r>
      <w:r w:rsidR="00C407FA" w:rsidRPr="00D46BB1">
        <w:t xml:space="preserve">hen overhead costs are allocated to the </w:t>
      </w:r>
      <w:r w:rsidR="00576C6F">
        <w:t>p</w:t>
      </w:r>
      <w:r w:rsidR="00C407FA" w:rsidRPr="00D46BB1">
        <w:t xml:space="preserve">roduction </w:t>
      </w:r>
      <w:r w:rsidR="00576C6F">
        <w:t>c</w:t>
      </w:r>
      <w:r w:rsidR="00C407FA" w:rsidRPr="00D46BB1">
        <w:t xml:space="preserve">ost </w:t>
      </w:r>
      <w:r w:rsidR="00576C6F">
        <w:t>c</w:t>
      </w:r>
      <w:r w:rsidR="00C407FA" w:rsidRPr="00D46BB1">
        <w:t>entre (using an appropriate allocation statistic)</w:t>
      </w:r>
    </w:p>
    <w:p w14:paraId="68D63B6C" w14:textId="67FFE767" w:rsidR="00C407FA" w:rsidRPr="00D46BB1" w:rsidRDefault="00C9343F" w:rsidP="00A27C5B">
      <w:pPr>
        <w:pStyle w:val="ListBullet"/>
        <w:spacing w:after="120"/>
      </w:pPr>
      <w:r>
        <w:t>w</w:t>
      </w:r>
      <w:r w:rsidR="00C407FA" w:rsidRPr="00D46BB1">
        <w:t xml:space="preserve">hen the </w:t>
      </w:r>
      <w:r w:rsidR="00576C6F">
        <w:t>p</w:t>
      </w:r>
      <w:r w:rsidR="00C407FA" w:rsidRPr="00D46BB1">
        <w:t xml:space="preserve">roduction </w:t>
      </w:r>
      <w:r w:rsidR="00576C6F">
        <w:t>c</w:t>
      </w:r>
      <w:r w:rsidR="00C407FA" w:rsidRPr="00D46BB1">
        <w:t xml:space="preserve">ost </w:t>
      </w:r>
      <w:r w:rsidR="00576C6F">
        <w:t>c</w:t>
      </w:r>
      <w:r w:rsidR="00C407FA" w:rsidRPr="00D46BB1">
        <w:t>entre costs (overhead and direct) are allocated to the intermediate products.</w:t>
      </w:r>
    </w:p>
    <w:p w14:paraId="68D63B6D" w14:textId="77777777" w:rsidR="00C27FB2" w:rsidRPr="00D45B1A" w:rsidRDefault="00C27FB2" w:rsidP="00821DDB">
      <w:pPr>
        <w:pStyle w:val="Level3Heading"/>
      </w:pPr>
      <w:r w:rsidRPr="00D45B1A">
        <w:t>Step 7</w:t>
      </w:r>
      <w:r w:rsidR="00EB4353">
        <w:t>:</w:t>
      </w:r>
      <w:r w:rsidRPr="00D45B1A">
        <w:t xml:space="preserve"> Match </w:t>
      </w:r>
      <w:r w:rsidR="002E2E7F">
        <w:t>i</w:t>
      </w:r>
      <w:r w:rsidRPr="00D45B1A">
        <w:t xml:space="preserve">ntermediate </w:t>
      </w:r>
      <w:r w:rsidR="002E2E7F">
        <w:t>p</w:t>
      </w:r>
      <w:r w:rsidR="002E2E7F" w:rsidRPr="00D45B1A">
        <w:t xml:space="preserve">roducts </w:t>
      </w:r>
      <w:r w:rsidRPr="00D45B1A">
        <w:t xml:space="preserve">and their </w:t>
      </w:r>
      <w:r w:rsidR="002E2E7F">
        <w:t>c</w:t>
      </w:r>
      <w:r w:rsidR="002E2E7F" w:rsidRPr="00D45B1A">
        <w:t xml:space="preserve">osts </w:t>
      </w:r>
      <w:r w:rsidRPr="00D45B1A">
        <w:t xml:space="preserve">to </w:t>
      </w:r>
      <w:r w:rsidR="002E2E7F">
        <w:t>c</w:t>
      </w:r>
      <w:r w:rsidR="002E2E7F" w:rsidRPr="00D45B1A">
        <w:t xml:space="preserve">ritical </w:t>
      </w:r>
      <w:r w:rsidR="002E2E7F">
        <w:t>c</w:t>
      </w:r>
      <w:r w:rsidR="002E2E7F" w:rsidRPr="00D45B1A">
        <w:t xml:space="preserve">are </w:t>
      </w:r>
      <w:r w:rsidR="002E2E7F">
        <w:t>a</w:t>
      </w:r>
      <w:r w:rsidR="002E2E7F" w:rsidRPr="00D45B1A">
        <w:t>ctivity</w:t>
      </w:r>
      <w:r w:rsidRPr="00D45B1A">
        <w:t xml:space="preserve"> </w:t>
      </w:r>
    </w:p>
    <w:p w14:paraId="68D63B6E" w14:textId="3E0FB4F7" w:rsidR="00C27FB2" w:rsidRPr="00D45B1A" w:rsidRDefault="00C27FB2" w:rsidP="004738A8">
      <w:pPr>
        <w:pStyle w:val="Level3"/>
        <w:rPr>
          <w:b/>
        </w:rPr>
      </w:pPr>
      <w:r w:rsidRPr="00D45B1A">
        <w:t xml:space="preserve">Activity within the </w:t>
      </w:r>
      <w:r w:rsidR="00576C6F">
        <w:t>c</w:t>
      </w:r>
      <w:r w:rsidRPr="00D45B1A">
        <w:t xml:space="preserve">ritical </w:t>
      </w:r>
      <w:r w:rsidR="00576C6F">
        <w:t>c</w:t>
      </w:r>
      <w:r w:rsidRPr="00D45B1A">
        <w:t xml:space="preserve">are </w:t>
      </w:r>
      <w:r w:rsidR="00576C6F">
        <w:t>u</w:t>
      </w:r>
      <w:r w:rsidRPr="00D45B1A">
        <w:t>nit will consume resources from other hospital departments, such as imaging, pathology, pharmacy, and allied health on their journey of care and these should be attached to patient activity as these resources contribute to the cost of production.</w:t>
      </w:r>
    </w:p>
    <w:p w14:paraId="68D63B6F" w14:textId="77777777" w:rsidR="00C27FB2" w:rsidRPr="00D45B1A" w:rsidRDefault="00C27FB2" w:rsidP="00821DDB">
      <w:pPr>
        <w:pStyle w:val="Level3Heading"/>
      </w:pPr>
      <w:r w:rsidRPr="00D45B1A">
        <w:t>Step 8</w:t>
      </w:r>
      <w:r w:rsidR="00EB4353">
        <w:t>:</w:t>
      </w:r>
      <w:r w:rsidRPr="00D45B1A">
        <w:t xml:space="preserve"> </w:t>
      </w:r>
      <w:r w:rsidR="0086420A">
        <w:t xml:space="preserve">Report </w:t>
      </w:r>
      <w:r w:rsidR="002E2E7F">
        <w:t>c</w:t>
      </w:r>
      <w:r w:rsidRPr="00D45B1A">
        <w:t>osts</w:t>
      </w:r>
    </w:p>
    <w:p w14:paraId="68D63B70" w14:textId="77777777" w:rsidR="00C27FB2" w:rsidRPr="00D45B1A" w:rsidRDefault="00C27FB2" w:rsidP="004738A8">
      <w:pPr>
        <w:pStyle w:val="Level3"/>
      </w:pPr>
      <w:r w:rsidRPr="00D45B1A">
        <w:t xml:space="preserve">Costing practitioners should then perform the required steps to </w:t>
      </w:r>
      <w:r w:rsidR="00116978">
        <w:t xml:space="preserve">consolidate and report </w:t>
      </w:r>
      <w:r w:rsidRPr="00D45B1A">
        <w:t>costs at encounter level</w:t>
      </w:r>
      <w:r w:rsidRPr="00D45B1A">
        <w:rPr>
          <w:i/>
        </w:rPr>
        <w:t>.</w:t>
      </w:r>
    </w:p>
    <w:p w14:paraId="68D63B71" w14:textId="77777777" w:rsidR="00C27FB2" w:rsidRPr="00D45B1A" w:rsidRDefault="00C27FB2" w:rsidP="00821DDB">
      <w:pPr>
        <w:pStyle w:val="Level3Heading"/>
      </w:pPr>
      <w:r w:rsidRPr="00D45B1A">
        <w:t>Step 9</w:t>
      </w:r>
      <w:r w:rsidR="00EB4353">
        <w:t>:</w:t>
      </w:r>
      <w:r w:rsidRPr="00D45B1A">
        <w:t xml:space="preserve"> Cost </w:t>
      </w:r>
      <w:r w:rsidR="002E2E7F">
        <w:t>d</w:t>
      </w:r>
      <w:r w:rsidR="002E2E7F" w:rsidRPr="00D45B1A">
        <w:t xml:space="preserve">ata </w:t>
      </w:r>
      <w:r w:rsidR="002E2E7F">
        <w:t>r</w:t>
      </w:r>
      <w:r w:rsidR="002E2E7F" w:rsidRPr="00D45B1A">
        <w:t xml:space="preserve">eview </w:t>
      </w:r>
      <w:r w:rsidRPr="00D45B1A">
        <w:t xml:space="preserve">with </w:t>
      </w:r>
      <w:r w:rsidR="002E2E7F">
        <w:t>c</w:t>
      </w:r>
      <w:r w:rsidR="002E2E7F" w:rsidRPr="00D45B1A">
        <w:t xml:space="preserve">ritical </w:t>
      </w:r>
      <w:r w:rsidR="002E2E7F">
        <w:t>c</w:t>
      </w:r>
      <w:r w:rsidR="002E2E7F" w:rsidRPr="00D45B1A">
        <w:t xml:space="preserve">are </w:t>
      </w:r>
      <w:r w:rsidR="002E2E7F">
        <w:t>s</w:t>
      </w:r>
      <w:r w:rsidR="002E2E7F" w:rsidRPr="00D45B1A">
        <w:t>takeholders</w:t>
      </w:r>
      <w:r w:rsidRPr="00D45B1A">
        <w:t xml:space="preserve"> </w:t>
      </w:r>
    </w:p>
    <w:p w14:paraId="68D63B72" w14:textId="006EB96A" w:rsidR="00C27FB2" w:rsidRPr="00D45B1A" w:rsidRDefault="00C27FB2" w:rsidP="004738A8">
      <w:pPr>
        <w:pStyle w:val="Level3"/>
      </w:pPr>
      <w:r w:rsidRPr="00D45B1A">
        <w:t xml:space="preserve">Costing practitioners should meet with their relevant </w:t>
      </w:r>
      <w:r w:rsidR="00576C6F">
        <w:t>c</w:t>
      </w:r>
      <w:r w:rsidRPr="00D45B1A">
        <w:t xml:space="preserve">ritical </w:t>
      </w:r>
      <w:r w:rsidR="00576C6F">
        <w:t>c</w:t>
      </w:r>
      <w:r w:rsidRPr="00D45B1A">
        <w:t>are stakeholders to report on costs calculated.</w:t>
      </w:r>
    </w:p>
    <w:p w14:paraId="68D63B73" w14:textId="77777777" w:rsidR="00C27FB2" w:rsidRPr="000B045F" w:rsidRDefault="00C27FB2" w:rsidP="004738A8">
      <w:pPr>
        <w:pStyle w:val="Level3"/>
      </w:pPr>
      <w:r w:rsidRPr="00D45B1A">
        <w:lastRenderedPageBreak/>
        <w:t>Cost data should be reviewed for, amongst other checks, cost relativity per product and resource completeness per episode to determine if the cost data captures resources that have been provided at encounter level.</w:t>
      </w:r>
      <w:r w:rsidRPr="000B045F">
        <w:br w:type="page"/>
      </w:r>
    </w:p>
    <w:p w14:paraId="68D63B74" w14:textId="32CBCCC8" w:rsidR="00C27FB2" w:rsidRPr="00D45B1A" w:rsidRDefault="00C27FB2" w:rsidP="00D97D20">
      <w:pPr>
        <w:pStyle w:val="Heading2"/>
      </w:pPr>
      <w:bookmarkStart w:id="13" w:name="_Toc480492968"/>
      <w:bookmarkStart w:id="14" w:name="_Toc80778495"/>
      <w:r w:rsidRPr="00D45B1A">
        <w:lastRenderedPageBreak/>
        <w:t xml:space="preserve">Emergency </w:t>
      </w:r>
      <w:r w:rsidR="00952713">
        <w:t>D</w:t>
      </w:r>
      <w:r w:rsidRPr="00D45B1A">
        <w:t>epartment</w:t>
      </w:r>
      <w:bookmarkEnd w:id="14"/>
    </w:p>
    <w:bookmarkEnd w:id="13"/>
    <w:p w14:paraId="68D63B75" w14:textId="77777777" w:rsidR="00C27FB2" w:rsidRPr="00205822" w:rsidRDefault="00C27FB2" w:rsidP="00897CD3">
      <w:pPr>
        <w:pStyle w:val="Heading3"/>
      </w:pPr>
      <w:r w:rsidRPr="00205822">
        <w:t>Scope</w:t>
      </w:r>
    </w:p>
    <w:p w14:paraId="68D63B76" w14:textId="20AFF9B3" w:rsidR="00C27FB2" w:rsidRPr="00D45B1A" w:rsidRDefault="00C27FB2" w:rsidP="004738A8">
      <w:pPr>
        <w:pStyle w:val="Level3"/>
      </w:pPr>
      <w:r w:rsidRPr="00D45B1A">
        <w:t>Th</w:t>
      </w:r>
      <w:r w:rsidR="001F16A3">
        <w:t>is</w:t>
      </w:r>
      <w:r w:rsidRPr="00D45B1A">
        <w:t xml:space="preserve"> </w:t>
      </w:r>
      <w:r w:rsidR="001B41F4">
        <w:t>guidelin</w:t>
      </w:r>
      <w:r w:rsidR="001F16A3">
        <w:t>e</w:t>
      </w:r>
      <w:r w:rsidRPr="00D45B1A">
        <w:t xml:space="preserve"> </w:t>
      </w:r>
      <w:r w:rsidR="00061CAC">
        <w:t>outlines an</w:t>
      </w:r>
      <w:r w:rsidR="00AB2E24">
        <w:t xml:space="preserve"> approach to cost </w:t>
      </w:r>
      <w:r w:rsidR="00576C6F">
        <w:t>e</w:t>
      </w:r>
      <w:r w:rsidR="00AB2E24">
        <w:t>mergency d</w:t>
      </w:r>
      <w:r w:rsidRPr="00D45B1A">
        <w:t>epartment (ED) encounter activity.</w:t>
      </w:r>
    </w:p>
    <w:p w14:paraId="68D63B77" w14:textId="4E0D171F" w:rsidR="00C27FB2" w:rsidRDefault="00C27FB2" w:rsidP="004738A8">
      <w:pPr>
        <w:pStyle w:val="Level3"/>
      </w:pPr>
      <w:r w:rsidRPr="00D45B1A">
        <w:t xml:space="preserve">This </w:t>
      </w:r>
      <w:r w:rsidR="001F16A3">
        <w:t>guideline</w:t>
      </w:r>
      <w:r w:rsidRPr="00D45B1A">
        <w:t xml:space="preserve"> also provides practical steps and examples to guide staff on the patient costing process for this activity.</w:t>
      </w:r>
    </w:p>
    <w:p w14:paraId="68D63B78" w14:textId="77777777" w:rsidR="000B045F" w:rsidRPr="00D45B1A" w:rsidRDefault="000B045F" w:rsidP="000B045F">
      <w:pPr>
        <w:pStyle w:val="Level3Heading"/>
      </w:pPr>
      <w:r w:rsidRPr="00D45B1A">
        <w:t xml:space="preserve">Emergency </w:t>
      </w:r>
      <w:r w:rsidR="002E2E7F">
        <w:t>d</w:t>
      </w:r>
      <w:r w:rsidRPr="00D45B1A">
        <w:t xml:space="preserve">epartment </w:t>
      </w:r>
      <w:r w:rsidR="002E2E7F">
        <w:t>s</w:t>
      </w:r>
      <w:r w:rsidR="002E2E7F" w:rsidRPr="00D45B1A">
        <w:t>cope</w:t>
      </w:r>
    </w:p>
    <w:p w14:paraId="68D63B79" w14:textId="09599E41" w:rsidR="000B045F" w:rsidRPr="00D45B1A" w:rsidRDefault="002048C8" w:rsidP="004738A8">
      <w:pPr>
        <w:pStyle w:val="Level3"/>
      </w:pPr>
      <w:r>
        <w:t>The ED</w:t>
      </w:r>
      <w:r w:rsidR="000B045F" w:rsidRPr="00D45B1A">
        <w:t xml:space="preserve"> is a department which may comprise </w:t>
      </w:r>
      <w:r w:rsidR="00576C6F">
        <w:t>s</w:t>
      </w:r>
      <w:r w:rsidR="000B045F" w:rsidRPr="00D45B1A">
        <w:t>hort</w:t>
      </w:r>
      <w:r w:rsidR="00576C6F">
        <w:t>-s</w:t>
      </w:r>
      <w:r w:rsidR="000B045F" w:rsidRPr="00D45B1A">
        <w:t>tay</w:t>
      </w:r>
      <w:r w:rsidR="00576C6F">
        <w:t xml:space="preserve"> a</w:t>
      </w:r>
      <w:r w:rsidR="000B045F" w:rsidRPr="00D45B1A">
        <w:t xml:space="preserve">dmitted </w:t>
      </w:r>
      <w:r w:rsidR="00576C6F">
        <w:t>u</w:t>
      </w:r>
      <w:r w:rsidR="000B045F" w:rsidRPr="00D45B1A">
        <w:t xml:space="preserve">nits, </w:t>
      </w:r>
      <w:r w:rsidR="00576C6F">
        <w:t>c</w:t>
      </w:r>
      <w:r w:rsidR="000B045F" w:rsidRPr="00D45B1A">
        <w:t xml:space="preserve">linical </w:t>
      </w:r>
      <w:r w:rsidR="00576C6F">
        <w:t>d</w:t>
      </w:r>
      <w:r w:rsidR="000B045F" w:rsidRPr="00D45B1A">
        <w:t xml:space="preserve">ecision </w:t>
      </w:r>
      <w:r w:rsidR="00576C6F">
        <w:t>u</w:t>
      </w:r>
      <w:r w:rsidR="000B045F" w:rsidRPr="00D45B1A">
        <w:t xml:space="preserve">nits, </w:t>
      </w:r>
      <w:r w:rsidR="00576C6F">
        <w:t>s</w:t>
      </w:r>
      <w:r w:rsidR="000B045F" w:rsidRPr="00D45B1A">
        <w:t>hort</w:t>
      </w:r>
      <w:r w:rsidR="00576C6F">
        <w:t>-s</w:t>
      </w:r>
      <w:r w:rsidR="000B045F" w:rsidRPr="00D45B1A">
        <w:t xml:space="preserve">tay </w:t>
      </w:r>
      <w:r w:rsidR="00576C6F">
        <w:t>m</w:t>
      </w:r>
      <w:r w:rsidR="000B045F" w:rsidRPr="00D45B1A">
        <w:t xml:space="preserve">edical </w:t>
      </w:r>
      <w:r w:rsidR="00576C6F">
        <w:t>a</w:t>
      </w:r>
      <w:r w:rsidR="000B045F" w:rsidRPr="00D45B1A">
        <w:t xml:space="preserve">ssessment </w:t>
      </w:r>
      <w:r w:rsidR="00576C6F">
        <w:t>u</w:t>
      </w:r>
      <w:r w:rsidR="000B045F" w:rsidRPr="00D45B1A">
        <w:t xml:space="preserve">nits and </w:t>
      </w:r>
      <w:r w:rsidR="00576C6F">
        <w:t>e</w:t>
      </w:r>
      <w:r w:rsidR="000B045F" w:rsidRPr="00D45B1A">
        <w:t xml:space="preserve">mergency </w:t>
      </w:r>
      <w:r w:rsidR="00576C6F">
        <w:t>m</w:t>
      </w:r>
      <w:r w:rsidR="000B045F" w:rsidRPr="00D45B1A">
        <w:t xml:space="preserve">anagement </w:t>
      </w:r>
      <w:r w:rsidR="00576C6F">
        <w:t>u</w:t>
      </w:r>
      <w:r w:rsidR="000B045F" w:rsidRPr="00D45B1A">
        <w:t>nits.</w:t>
      </w:r>
    </w:p>
    <w:p w14:paraId="68D63B7A" w14:textId="77777777" w:rsidR="000B045F" w:rsidRPr="00D45B1A" w:rsidRDefault="000B045F" w:rsidP="004738A8">
      <w:pPr>
        <w:pStyle w:val="Level3"/>
      </w:pPr>
      <w:r w:rsidRPr="00D45B1A">
        <w:t xml:space="preserve">Expenses for such collocated units are associated to admitted products and not to products that are defined as ED products. </w:t>
      </w:r>
    </w:p>
    <w:p w14:paraId="68D63B7B" w14:textId="77777777" w:rsidR="000B045F" w:rsidRPr="00D45B1A" w:rsidRDefault="000B045F" w:rsidP="004738A8">
      <w:pPr>
        <w:pStyle w:val="Level3"/>
      </w:pPr>
      <w:r w:rsidRPr="00D45B1A">
        <w:t>Expenses that are associated to products will include all services provided in the period from a patient’s presentation to their departure from the ED including all ancillary services ordered for the patient during that period.</w:t>
      </w:r>
    </w:p>
    <w:p w14:paraId="68D63B7C" w14:textId="77777777" w:rsidR="00C27FB2" w:rsidRPr="00205822" w:rsidRDefault="00C27FB2" w:rsidP="00897CD3">
      <w:pPr>
        <w:pStyle w:val="Heading3"/>
      </w:pPr>
      <w:r w:rsidRPr="00205822">
        <w:t>Objective</w:t>
      </w:r>
    </w:p>
    <w:p w14:paraId="68D63B7D" w14:textId="29316857" w:rsidR="00C27FB2" w:rsidRPr="00D45B1A" w:rsidRDefault="00C27FB2" w:rsidP="004738A8">
      <w:pPr>
        <w:pStyle w:val="Level3"/>
      </w:pPr>
      <w:r w:rsidRPr="00D45B1A">
        <w:t>The objective of th</w:t>
      </w:r>
      <w:r w:rsidR="001F16A3">
        <w:t>is</w:t>
      </w:r>
      <w:r w:rsidR="001B41F4">
        <w:t xml:space="preserve"> guideline </w:t>
      </w:r>
      <w:r w:rsidRPr="00D45B1A">
        <w:t>is to guide costing practitioners through the end</w:t>
      </w:r>
      <w:r w:rsidR="002048C8">
        <w:t>-</w:t>
      </w:r>
      <w:r w:rsidRPr="00D45B1A">
        <w:t>to</w:t>
      </w:r>
      <w:r w:rsidR="002048C8">
        <w:t>-</w:t>
      </w:r>
      <w:r w:rsidRPr="00D45B1A">
        <w:t>end steps required to ensure that all ED activity and expenses which contribute to the day to day production of final ED products are included in the patient costing process to determine the full cost of production.</w:t>
      </w:r>
    </w:p>
    <w:p w14:paraId="68D63B7E" w14:textId="677CA0CD" w:rsidR="00C27FB2" w:rsidRPr="00205822" w:rsidRDefault="00B63007" w:rsidP="00897CD3">
      <w:pPr>
        <w:pStyle w:val="Heading3"/>
      </w:pPr>
      <w:r>
        <w:t xml:space="preserve">Costing </w:t>
      </w:r>
      <w:r w:rsidR="001F16A3">
        <w:t>G</w:t>
      </w:r>
      <w:r>
        <w:t>uideline</w:t>
      </w:r>
    </w:p>
    <w:p w14:paraId="68D63B7F" w14:textId="701FAE5E" w:rsidR="00C27FB2" w:rsidRPr="00D45B1A" w:rsidRDefault="00C27FB2" w:rsidP="000A3393">
      <w:pPr>
        <w:pStyle w:val="Level3Heading"/>
      </w:pPr>
      <w:r w:rsidRPr="00D45B1A">
        <w:t>Step 1</w:t>
      </w:r>
      <w:r w:rsidR="00EB4353">
        <w:t>:</w:t>
      </w:r>
      <w:r w:rsidRPr="00D45B1A">
        <w:t xml:space="preserve"> Stakeholder </w:t>
      </w:r>
      <w:r w:rsidR="00BB7EF9">
        <w:t>i</w:t>
      </w:r>
      <w:r w:rsidRPr="00D45B1A">
        <w:t xml:space="preserve">dentification and </w:t>
      </w:r>
      <w:r w:rsidR="00BB7EF9">
        <w:t>s</w:t>
      </w:r>
      <w:r w:rsidRPr="00D45B1A">
        <w:t xml:space="preserve">ervice </w:t>
      </w:r>
      <w:r w:rsidR="00BB7EF9">
        <w:t>s</w:t>
      </w:r>
      <w:r w:rsidRPr="00D45B1A">
        <w:t xml:space="preserve">cale and </w:t>
      </w:r>
      <w:r w:rsidR="00BB7EF9">
        <w:t>s</w:t>
      </w:r>
      <w:r w:rsidRPr="00D45B1A">
        <w:t>cope</w:t>
      </w:r>
    </w:p>
    <w:p w14:paraId="68D63B80" w14:textId="3BA63C73" w:rsidR="00C27FB2" w:rsidRPr="00D45B1A" w:rsidRDefault="00C27FB2" w:rsidP="004738A8">
      <w:pPr>
        <w:pStyle w:val="Level3"/>
      </w:pPr>
      <w:r w:rsidRPr="00D45B1A">
        <w:t>Costing practitioners should meet with the appropriate stakehol</w:t>
      </w:r>
      <w:r w:rsidR="00AB2E24">
        <w:t xml:space="preserve">ders within the ED and </w:t>
      </w:r>
      <w:r w:rsidR="002048C8">
        <w:t>f</w:t>
      </w:r>
      <w:r w:rsidR="00AB2E24">
        <w:t>inance d</w:t>
      </w:r>
      <w:r w:rsidRPr="00D45B1A">
        <w:t xml:space="preserve">epartment to identify both the expenses and activity related to the ED. Stakeholders may include the </w:t>
      </w:r>
      <w:r w:rsidR="00BB7EF9">
        <w:t>m</w:t>
      </w:r>
      <w:r w:rsidRPr="00D45B1A">
        <w:t xml:space="preserve">edical </w:t>
      </w:r>
      <w:r w:rsidR="00BB7EF9">
        <w:t>d</w:t>
      </w:r>
      <w:r w:rsidRPr="00D45B1A">
        <w:t xml:space="preserve">irector of </w:t>
      </w:r>
      <w:r w:rsidR="002048C8">
        <w:t>e</w:t>
      </w:r>
      <w:r w:rsidRPr="00D45B1A">
        <w:t xml:space="preserve">mergency </w:t>
      </w:r>
      <w:r w:rsidR="002048C8">
        <w:t>s</w:t>
      </w:r>
      <w:r w:rsidRPr="00D45B1A">
        <w:t xml:space="preserve">ervices (or local equivalent), the </w:t>
      </w:r>
      <w:r w:rsidR="002048C8">
        <w:t>n</w:t>
      </w:r>
      <w:r w:rsidRPr="00D45B1A">
        <w:t xml:space="preserve">ursing </w:t>
      </w:r>
      <w:r w:rsidR="002048C8">
        <w:t>m</w:t>
      </w:r>
      <w:r w:rsidRPr="00D45B1A">
        <w:t xml:space="preserve">anager for </w:t>
      </w:r>
      <w:r w:rsidR="002048C8">
        <w:t>e</w:t>
      </w:r>
      <w:r w:rsidRPr="00D45B1A">
        <w:t xml:space="preserve">mergency </w:t>
      </w:r>
      <w:r w:rsidR="002048C8">
        <w:t>s</w:t>
      </w:r>
      <w:r w:rsidRPr="00D45B1A">
        <w:t xml:space="preserve">ervices and the ED </w:t>
      </w:r>
      <w:r w:rsidR="002048C8">
        <w:t>c</w:t>
      </w:r>
      <w:r w:rsidRPr="00D45B1A">
        <w:t xml:space="preserve">ost </w:t>
      </w:r>
      <w:r w:rsidR="002048C8">
        <w:t>c</w:t>
      </w:r>
      <w:r w:rsidRPr="00D45B1A">
        <w:t xml:space="preserve">entre </w:t>
      </w:r>
      <w:r w:rsidR="002048C8">
        <w:t>m</w:t>
      </w:r>
      <w:r w:rsidRPr="00D45B1A">
        <w:t>anager.</w:t>
      </w:r>
    </w:p>
    <w:p w14:paraId="68D63B81" w14:textId="41B0364D" w:rsidR="00C27FB2" w:rsidRPr="00D45B1A" w:rsidRDefault="00C27FB2" w:rsidP="004738A8">
      <w:pPr>
        <w:pStyle w:val="Level3"/>
      </w:pPr>
      <w:r w:rsidRPr="00D45B1A">
        <w:t>The agenda for this meeting should include an overview of the operation of the ED (for example, ED status level, cubicle numbers and if it includes a</w:t>
      </w:r>
      <w:r w:rsidR="00BB7EF9">
        <w:t xml:space="preserve"> s</w:t>
      </w:r>
      <w:r w:rsidRPr="00D45B1A">
        <w:t>hort</w:t>
      </w:r>
      <w:r w:rsidR="00BB7EF9">
        <w:t>-s</w:t>
      </w:r>
      <w:r w:rsidRPr="00D45B1A">
        <w:t xml:space="preserve">tay </w:t>
      </w:r>
      <w:r w:rsidR="00BB7EF9">
        <w:t>a</w:t>
      </w:r>
      <w:r w:rsidRPr="00D45B1A">
        <w:t xml:space="preserve">dmitted </w:t>
      </w:r>
      <w:r w:rsidR="00BB7EF9">
        <w:t>u</w:t>
      </w:r>
      <w:r w:rsidRPr="00D45B1A">
        <w:t>nit). This information is required to understand the configuration of the ED. These insights should enable further detail to be gathered such as the expenses reported within and across the ED, and the associated activity within its configuration.</w:t>
      </w:r>
    </w:p>
    <w:p w14:paraId="68D63B82" w14:textId="044ED8A1" w:rsidR="00C27FB2" w:rsidRPr="00D45B1A" w:rsidRDefault="00C27FB2" w:rsidP="000A3393">
      <w:pPr>
        <w:pStyle w:val="Level3Heading"/>
      </w:pPr>
      <w:r w:rsidRPr="00D45B1A">
        <w:t>Step 2</w:t>
      </w:r>
      <w:r w:rsidR="00EB4353">
        <w:t>:</w:t>
      </w:r>
      <w:r w:rsidRPr="00D45B1A">
        <w:t xml:space="preserve"> Al</w:t>
      </w:r>
      <w:r w:rsidR="00AB2E24">
        <w:t xml:space="preserve">ign </w:t>
      </w:r>
      <w:r w:rsidR="00BB7EF9">
        <w:t>e</w:t>
      </w:r>
      <w:r w:rsidR="00AB2E24">
        <w:t xml:space="preserve">xpense to the </w:t>
      </w:r>
      <w:r w:rsidR="00BB7EF9">
        <w:t>e</w:t>
      </w:r>
      <w:r w:rsidR="00AB2E24">
        <w:t>mergency d</w:t>
      </w:r>
      <w:r w:rsidRPr="00D45B1A">
        <w:t xml:space="preserve">epartment and </w:t>
      </w:r>
      <w:r w:rsidR="008A2B19">
        <w:t>d</w:t>
      </w:r>
      <w:r w:rsidRPr="00D45B1A">
        <w:t xml:space="preserve">efine </w:t>
      </w:r>
      <w:r w:rsidR="008A2B19">
        <w:t>o</w:t>
      </w:r>
      <w:r w:rsidRPr="00D45B1A">
        <w:t xml:space="preserve">verhead and </w:t>
      </w:r>
      <w:r w:rsidR="008A2B19">
        <w:t>d</w:t>
      </w:r>
      <w:r w:rsidRPr="00D45B1A">
        <w:t xml:space="preserve">irect </w:t>
      </w:r>
      <w:r w:rsidR="008A2B19">
        <w:t>expenses, including overhead a</w:t>
      </w:r>
      <w:r w:rsidRPr="00D45B1A">
        <w:t xml:space="preserve">llocation </w:t>
      </w:r>
      <w:r w:rsidR="008A2B19">
        <w:t>m</w:t>
      </w:r>
      <w:r w:rsidRPr="00D45B1A">
        <w:t xml:space="preserve">ethods </w:t>
      </w:r>
    </w:p>
    <w:p w14:paraId="68D63B83" w14:textId="77777777" w:rsidR="00C27FB2" w:rsidRPr="00D45B1A" w:rsidRDefault="00C27FB2" w:rsidP="004738A8">
      <w:pPr>
        <w:pStyle w:val="Level3"/>
      </w:pPr>
      <w:r w:rsidRPr="00D45B1A">
        <w:t xml:space="preserve">Costing practitioners should work with ED stakeholders to define which expenses within the ED relate to ED products. </w:t>
      </w:r>
    </w:p>
    <w:p w14:paraId="68D63B84" w14:textId="77777777" w:rsidR="00C27FB2" w:rsidRPr="00D45B1A" w:rsidRDefault="00C27FB2" w:rsidP="004738A8">
      <w:pPr>
        <w:pStyle w:val="Level3"/>
      </w:pPr>
      <w:r w:rsidRPr="00D45B1A">
        <w:t>From a practical sense, this will require the costing practitioner to identify all cost centre/s in the general ledger that map to ED products. It will also require the costing practitioner to transfer out any expenses in the ED</w:t>
      </w:r>
      <w:r w:rsidRPr="00D45B1A" w:rsidDel="00A4632E">
        <w:t xml:space="preserve"> </w:t>
      </w:r>
      <w:r w:rsidRPr="00D45B1A">
        <w:t>that relate to other products. Examples include:</w:t>
      </w:r>
    </w:p>
    <w:p w14:paraId="68D63B85" w14:textId="1CE3B263" w:rsidR="00C27FB2" w:rsidRPr="00D45B1A" w:rsidRDefault="00C27FB2" w:rsidP="00A27C5B">
      <w:pPr>
        <w:pStyle w:val="ListBullet"/>
        <w:spacing w:after="120"/>
      </w:pPr>
      <w:r w:rsidRPr="00D45B1A">
        <w:lastRenderedPageBreak/>
        <w:t xml:space="preserve">expenses for admitted products </w:t>
      </w:r>
      <w:r w:rsidR="002048C8">
        <w:t>–</w:t>
      </w:r>
      <w:r w:rsidRPr="00D45B1A">
        <w:t xml:space="preserve"> </w:t>
      </w:r>
      <w:r w:rsidR="002048C8">
        <w:t>s</w:t>
      </w:r>
      <w:r w:rsidRPr="00D45B1A">
        <w:t>hort</w:t>
      </w:r>
      <w:r w:rsidR="002048C8">
        <w:t>-s</w:t>
      </w:r>
      <w:r w:rsidRPr="00D45B1A">
        <w:t xml:space="preserve">tay </w:t>
      </w:r>
      <w:r w:rsidR="002048C8">
        <w:t>a</w:t>
      </w:r>
      <w:r w:rsidRPr="00D45B1A">
        <w:t xml:space="preserve">dmitted </w:t>
      </w:r>
      <w:r w:rsidR="002048C8">
        <w:t>u</w:t>
      </w:r>
      <w:r w:rsidRPr="00D45B1A">
        <w:t xml:space="preserve">nits, </w:t>
      </w:r>
      <w:r w:rsidR="00BB7EF9">
        <w:t>c</w:t>
      </w:r>
      <w:r w:rsidRPr="00D45B1A">
        <w:t xml:space="preserve">linical </w:t>
      </w:r>
      <w:r w:rsidR="00BB7EF9">
        <w:t>d</w:t>
      </w:r>
      <w:r w:rsidRPr="00D45B1A">
        <w:t xml:space="preserve">ecision </w:t>
      </w:r>
      <w:r w:rsidR="00BB7EF9">
        <w:t>u</w:t>
      </w:r>
      <w:r w:rsidRPr="00D45B1A">
        <w:t xml:space="preserve">nits, </w:t>
      </w:r>
      <w:r w:rsidR="00BB7EF9">
        <w:t>s</w:t>
      </w:r>
      <w:r w:rsidRPr="00D45B1A">
        <w:t>hort</w:t>
      </w:r>
      <w:r w:rsidR="00BB7EF9">
        <w:t>-s</w:t>
      </w:r>
      <w:r w:rsidRPr="00D45B1A">
        <w:t xml:space="preserve">tay </w:t>
      </w:r>
      <w:r w:rsidR="00BB7EF9">
        <w:t>m</w:t>
      </w:r>
      <w:r w:rsidRPr="00D45B1A">
        <w:t xml:space="preserve">edical </w:t>
      </w:r>
      <w:r w:rsidR="00BB7EF9">
        <w:t>a</w:t>
      </w:r>
      <w:r w:rsidRPr="00D45B1A">
        <w:t xml:space="preserve">ssessment </w:t>
      </w:r>
      <w:r w:rsidR="00BB7EF9">
        <w:t>u</w:t>
      </w:r>
      <w:r w:rsidRPr="00D45B1A">
        <w:t xml:space="preserve">nits and </w:t>
      </w:r>
      <w:r w:rsidR="00BB7EF9">
        <w:t>e</w:t>
      </w:r>
      <w:r w:rsidRPr="00D45B1A">
        <w:t xml:space="preserve">mergency </w:t>
      </w:r>
      <w:r w:rsidR="00BB7EF9">
        <w:t>m</w:t>
      </w:r>
      <w:r w:rsidRPr="00D45B1A">
        <w:t xml:space="preserve">anagement </w:t>
      </w:r>
      <w:r w:rsidR="00BB7EF9">
        <w:t>u</w:t>
      </w:r>
      <w:r w:rsidRPr="00D45B1A">
        <w:t xml:space="preserve">nits (where expenses for these </w:t>
      </w:r>
      <w:r w:rsidR="00BB7EF9">
        <w:t>u</w:t>
      </w:r>
      <w:r w:rsidRPr="00D45B1A">
        <w:t>nits is mapped to the defined ED cost centres)</w:t>
      </w:r>
    </w:p>
    <w:p w14:paraId="68D63B86" w14:textId="390BF72A" w:rsidR="00C27FB2" w:rsidRPr="00D45B1A" w:rsidRDefault="0068166A" w:rsidP="00A27C5B">
      <w:pPr>
        <w:pStyle w:val="ListBullet"/>
        <w:spacing w:after="120"/>
      </w:pPr>
      <w:r>
        <w:t>t</w:t>
      </w:r>
      <w:r w:rsidR="00C27FB2" w:rsidRPr="00D45B1A">
        <w:t xml:space="preserve">eaching and </w:t>
      </w:r>
      <w:r w:rsidR="00BB7EF9">
        <w:t>t</w:t>
      </w:r>
      <w:r w:rsidR="00C27FB2" w:rsidRPr="00D45B1A">
        <w:t>raining expenses associated with the ED (</w:t>
      </w:r>
      <w:r w:rsidR="002048C8">
        <w:t>for example</w:t>
      </w:r>
      <w:r w:rsidR="00C27FB2" w:rsidRPr="00D45B1A">
        <w:t xml:space="preserve">, weekly meetings for </w:t>
      </w:r>
      <w:r w:rsidR="00633ACE" w:rsidRPr="00D45B1A">
        <w:t>junior</w:t>
      </w:r>
      <w:r w:rsidR="00C27FB2" w:rsidRPr="00D45B1A">
        <w:t xml:space="preserve"> doctors led by a senior ED clinician).</w:t>
      </w:r>
    </w:p>
    <w:p w14:paraId="68D63B87" w14:textId="6C2E1044" w:rsidR="00C27FB2" w:rsidRPr="00D45B1A" w:rsidRDefault="00C27FB2" w:rsidP="00A27C5B">
      <w:pPr>
        <w:pStyle w:val="ListBullet"/>
        <w:spacing w:after="120"/>
      </w:pPr>
      <w:r w:rsidRPr="00D45B1A">
        <w:t>call outs of ED physicians to other clinical areas (</w:t>
      </w:r>
      <w:r w:rsidR="00BB7EF9">
        <w:t>for example</w:t>
      </w:r>
      <w:r w:rsidRPr="00D45B1A">
        <w:t xml:space="preserve">, </w:t>
      </w:r>
      <w:r w:rsidR="00BB7EF9">
        <w:t>c</w:t>
      </w:r>
      <w:r w:rsidRPr="00D45B1A">
        <w:t xml:space="preserve">ritical </w:t>
      </w:r>
      <w:r w:rsidR="00BB7EF9">
        <w:t>c</w:t>
      </w:r>
      <w:r w:rsidRPr="00D45B1A">
        <w:t>are wards).</w:t>
      </w:r>
    </w:p>
    <w:p w14:paraId="68D63B88" w14:textId="5B1A2C07" w:rsidR="00C27FB2" w:rsidRPr="00D45B1A" w:rsidRDefault="00C27FB2" w:rsidP="004738A8">
      <w:pPr>
        <w:pStyle w:val="Level3"/>
      </w:pPr>
      <w:r w:rsidRPr="00927F40">
        <w:t xml:space="preserve">Align </w:t>
      </w:r>
      <w:r w:rsidR="00BB7EF9">
        <w:t>e</w:t>
      </w:r>
      <w:r w:rsidRPr="00927F40">
        <w:t xml:space="preserve">xpenses to </w:t>
      </w:r>
      <w:r w:rsidR="00BB7EF9">
        <w:t>f</w:t>
      </w:r>
      <w:r w:rsidRPr="00927F40">
        <w:t xml:space="preserve">inal </w:t>
      </w:r>
      <w:r w:rsidR="00BB7EF9">
        <w:t>c</w:t>
      </w:r>
      <w:r w:rsidRPr="00927F40">
        <w:t xml:space="preserve">ost </w:t>
      </w:r>
      <w:r w:rsidR="00BB7EF9">
        <w:t>c</w:t>
      </w:r>
      <w:r w:rsidRPr="00927F40">
        <w:t>entres</w:t>
      </w:r>
      <w:r w:rsidRPr="00BB7EF9">
        <w:rPr>
          <w:i/>
        </w:rPr>
        <w:t xml:space="preserve"> </w:t>
      </w:r>
      <w:r w:rsidR="002048C8">
        <w:rPr>
          <w:i/>
        </w:rPr>
        <w:t>–</w:t>
      </w:r>
      <w:r w:rsidRPr="00D45B1A">
        <w:rPr>
          <w:i/>
        </w:rPr>
        <w:t xml:space="preserve"> </w:t>
      </w:r>
      <w:r w:rsidR="00BB7EF9">
        <w:t>c</w:t>
      </w:r>
      <w:r w:rsidRPr="00D45B1A">
        <w:t xml:space="preserve">osting practitioners should also work with ED stakeholders to define and agree on the methods and assumptions to be used to estimate the transfer of expenses to other products (for example, staff rosters, timesheets or other relevant data such as </w:t>
      </w:r>
      <w:r w:rsidR="00A221B9">
        <w:t>m</w:t>
      </w:r>
      <w:r w:rsidR="00E433B7">
        <w:t>edical</w:t>
      </w:r>
      <w:r w:rsidR="00A221B9">
        <w:t xml:space="preserve"> e</w:t>
      </w:r>
      <w:r w:rsidR="00E433B7">
        <w:t xml:space="preserve">mergency </w:t>
      </w:r>
      <w:r w:rsidR="00A221B9">
        <w:t>t</w:t>
      </w:r>
      <w:r w:rsidR="00E433B7">
        <w:t>eam (</w:t>
      </w:r>
      <w:r w:rsidRPr="00D45B1A">
        <w:t>MET</w:t>
      </w:r>
      <w:r w:rsidR="00E433B7">
        <w:t>)</w:t>
      </w:r>
      <w:r w:rsidRPr="00D45B1A">
        <w:t xml:space="preserve"> calls).</w:t>
      </w:r>
    </w:p>
    <w:p w14:paraId="68D63B89" w14:textId="6188DD33" w:rsidR="00C27FB2" w:rsidRDefault="00C27FB2" w:rsidP="004738A8">
      <w:pPr>
        <w:pStyle w:val="Level3"/>
      </w:pPr>
      <w:r w:rsidRPr="00D45B1A">
        <w:t>Costing practitioners should use stakeholder insights to guide them in moving the appropriate expense into the ED final cost centre and other relevant final cost centres (for example</w:t>
      </w:r>
      <w:r w:rsidR="00BB7EF9">
        <w:t>,</w:t>
      </w:r>
      <w:r w:rsidRPr="00D45B1A">
        <w:t xml:space="preserve"> from the general ED cost centre to the cost centre related to the </w:t>
      </w:r>
      <w:r w:rsidR="00E433B7">
        <w:t>short stay unit (</w:t>
      </w:r>
      <w:r w:rsidRPr="00D45B1A">
        <w:t>SSU</w:t>
      </w:r>
      <w:r w:rsidR="00E433B7">
        <w:t>)</w:t>
      </w:r>
      <w:r w:rsidRPr="00D45B1A">
        <w:t>).</w:t>
      </w:r>
    </w:p>
    <w:p w14:paraId="68D63B8A" w14:textId="70155D1A" w:rsidR="00C27FB2" w:rsidRPr="00A47C9B" w:rsidRDefault="00C27FB2" w:rsidP="004738A8">
      <w:pPr>
        <w:pStyle w:val="Level3"/>
      </w:pPr>
      <w:r w:rsidRPr="00A47C9B">
        <w:t xml:space="preserve">Costing practitioners should seek to access staff rosters to understand the level of rotations of residents and junior staff to </w:t>
      </w:r>
      <w:r>
        <w:t xml:space="preserve">the </w:t>
      </w:r>
      <w:r w:rsidR="00D95C0E">
        <w:t>ED</w:t>
      </w:r>
      <w:r>
        <w:t>.</w:t>
      </w:r>
      <w:r w:rsidRPr="00A47C9B">
        <w:t xml:space="preserve"> This information can be used to demonstrate the medical resources used to support </w:t>
      </w:r>
      <w:r w:rsidR="00D95C0E">
        <w:t>ED</w:t>
      </w:r>
      <w:r>
        <w:t xml:space="preserve"> </w:t>
      </w:r>
      <w:r w:rsidRPr="00A47C9B">
        <w:t xml:space="preserve">patients from other hospital units as these expenditures are held outside </w:t>
      </w:r>
      <w:r>
        <w:t xml:space="preserve">the </w:t>
      </w:r>
      <w:r w:rsidR="00D95C0E">
        <w:t xml:space="preserve">ED </w:t>
      </w:r>
      <w:r w:rsidRPr="00A47C9B">
        <w:t>cost centre.</w:t>
      </w:r>
    </w:p>
    <w:p w14:paraId="68D63B8B" w14:textId="6A8D23CC" w:rsidR="00C27FB2" w:rsidRPr="00D45B1A" w:rsidRDefault="00C27FB2" w:rsidP="004738A8">
      <w:pPr>
        <w:pStyle w:val="Level3"/>
      </w:pPr>
      <w:r w:rsidRPr="00A47C9B">
        <w:t xml:space="preserve">This approach enables the cost practitioner to consider the medical resource costs for </w:t>
      </w:r>
      <w:r w:rsidR="00D95C0E">
        <w:t xml:space="preserve">ED </w:t>
      </w:r>
      <w:r w:rsidRPr="00A47C9B">
        <w:t xml:space="preserve">patients are represented not only by </w:t>
      </w:r>
      <w:r w:rsidR="00D95C0E">
        <w:t>ED</w:t>
      </w:r>
      <w:r>
        <w:t xml:space="preserve"> </w:t>
      </w:r>
      <w:r w:rsidRPr="00A47C9B">
        <w:t xml:space="preserve">medical staff (where expenses are held within </w:t>
      </w:r>
      <w:r w:rsidR="00D95C0E">
        <w:t>ED</w:t>
      </w:r>
      <w:r>
        <w:t xml:space="preserve"> </w:t>
      </w:r>
      <w:r w:rsidRPr="00A47C9B">
        <w:t>cost centres), but the activity for medical staff rostered to critical care where associated expenses are held outside</w:t>
      </w:r>
      <w:r w:rsidR="00D95C0E">
        <w:t xml:space="preserve"> ED </w:t>
      </w:r>
      <w:r w:rsidRPr="00A47C9B">
        <w:t>cost centres.</w:t>
      </w:r>
    </w:p>
    <w:p w14:paraId="68D63B8C" w14:textId="2D0B56C2" w:rsidR="00C27FB2" w:rsidRPr="00D45B1A" w:rsidRDefault="00C27FB2" w:rsidP="004738A8">
      <w:pPr>
        <w:pStyle w:val="Level3"/>
      </w:pPr>
      <w:r w:rsidRPr="00D45B1A">
        <w:t xml:space="preserve">Record </w:t>
      </w:r>
      <w:r w:rsidR="0068166A">
        <w:t>e</w:t>
      </w:r>
      <w:r w:rsidRPr="00D45B1A">
        <w:t xml:space="preserve">xpense </w:t>
      </w:r>
      <w:r w:rsidR="0068166A">
        <w:t>a</w:t>
      </w:r>
      <w:r w:rsidRPr="00D45B1A">
        <w:t xml:space="preserve">lignment </w:t>
      </w:r>
      <w:r w:rsidR="00BB7EF9">
        <w:t>d</w:t>
      </w:r>
      <w:r w:rsidRPr="00D45B1A">
        <w:t xml:space="preserve">ecisions – </w:t>
      </w:r>
      <w:r w:rsidR="00BB7EF9">
        <w:t>c</w:t>
      </w:r>
      <w:r w:rsidRPr="00D45B1A">
        <w:t xml:space="preserve">osting practitioners should utilise the costing system or another medium to record: </w:t>
      </w:r>
    </w:p>
    <w:p w14:paraId="68D63B8D" w14:textId="2377FD14" w:rsidR="00C27FB2" w:rsidRPr="00D45B1A" w:rsidRDefault="00C27FB2" w:rsidP="00A27C5B">
      <w:pPr>
        <w:pStyle w:val="ListBullet"/>
        <w:spacing w:after="120"/>
      </w:pPr>
      <w:r w:rsidRPr="00D45B1A">
        <w:t>the classification of ED expense into the ED final cost centr</w:t>
      </w:r>
      <w:r w:rsidR="00225456">
        <w:t>e and other final cost centres</w:t>
      </w:r>
    </w:p>
    <w:p w14:paraId="68D63B8E" w14:textId="4F44FA7C" w:rsidR="00C27FB2" w:rsidRPr="00D45B1A" w:rsidRDefault="00C27FB2" w:rsidP="00A27C5B">
      <w:pPr>
        <w:pStyle w:val="ListBullet"/>
        <w:spacing w:after="120"/>
      </w:pPr>
      <w:r w:rsidRPr="00D45B1A">
        <w:t>the stakeholders participa</w:t>
      </w:r>
      <w:r w:rsidR="00225456">
        <w:t>ting in meetings</w:t>
      </w:r>
      <w:r w:rsidRPr="00D45B1A">
        <w:t xml:space="preserve"> </w:t>
      </w:r>
    </w:p>
    <w:p w14:paraId="68D63B8F" w14:textId="1578DD4A" w:rsidR="00C27FB2" w:rsidRPr="00D45B1A" w:rsidRDefault="00225456" w:rsidP="00A27C5B">
      <w:pPr>
        <w:pStyle w:val="ListBullet"/>
        <w:spacing w:after="120"/>
      </w:pPr>
      <w:r>
        <w:t>the date of the meeting</w:t>
      </w:r>
    </w:p>
    <w:p w14:paraId="68D63B90" w14:textId="3D135C90" w:rsidR="00C27FB2" w:rsidRPr="00D45B1A" w:rsidRDefault="00C27FB2" w:rsidP="00A27C5B">
      <w:pPr>
        <w:pStyle w:val="ListBullet"/>
        <w:spacing w:after="120"/>
      </w:pPr>
      <w:r w:rsidRPr="00D45B1A">
        <w:t>a date for future review of ED expense alignment</w:t>
      </w:r>
    </w:p>
    <w:p w14:paraId="68D63B91" w14:textId="5992FFBF" w:rsidR="00C27FB2" w:rsidRPr="00D45B1A" w:rsidRDefault="00C27FB2" w:rsidP="000A3393">
      <w:pPr>
        <w:pStyle w:val="Level3Heading"/>
      </w:pPr>
      <w:r w:rsidRPr="00D45B1A">
        <w:t>Step 3</w:t>
      </w:r>
      <w:r w:rsidR="00EB4353">
        <w:t>:</w:t>
      </w:r>
      <w:r w:rsidRPr="00D45B1A">
        <w:t xml:space="preserve"> Perform </w:t>
      </w:r>
      <w:r w:rsidR="00BB7EF9">
        <w:t>q</w:t>
      </w:r>
      <w:r w:rsidRPr="00D45B1A">
        <w:t>uality</w:t>
      </w:r>
      <w:r w:rsidR="008A2B19">
        <w:t xml:space="preserve"> </w:t>
      </w:r>
      <w:r w:rsidR="00BB7EF9">
        <w:t>a</w:t>
      </w:r>
      <w:r w:rsidR="008A2B19">
        <w:t xml:space="preserve">ssurance </w:t>
      </w:r>
      <w:r w:rsidR="00BB7EF9">
        <w:t>c</w:t>
      </w:r>
      <w:r w:rsidR="008A2B19">
        <w:t xml:space="preserve">hecks on </w:t>
      </w:r>
      <w:r w:rsidR="00BB7EF9">
        <w:t>e</w:t>
      </w:r>
      <w:r w:rsidR="008A2B19">
        <w:t>mergency d</w:t>
      </w:r>
      <w:r w:rsidRPr="00D45B1A">
        <w:t xml:space="preserve">epartment </w:t>
      </w:r>
      <w:r w:rsidR="00BB7EF9">
        <w:t>f</w:t>
      </w:r>
      <w:r w:rsidRPr="00D45B1A">
        <w:t xml:space="preserve">eeder </w:t>
      </w:r>
      <w:r w:rsidR="00BB7EF9">
        <w:t>s</w:t>
      </w:r>
      <w:r w:rsidRPr="00D45B1A">
        <w:t xml:space="preserve">ystem </w:t>
      </w:r>
      <w:r w:rsidR="00BB7EF9">
        <w:t>d</w:t>
      </w:r>
      <w:r w:rsidRPr="00D45B1A">
        <w:t>ata</w:t>
      </w:r>
    </w:p>
    <w:p w14:paraId="68D63B92" w14:textId="77777777" w:rsidR="00C27FB2" w:rsidRPr="00D45B1A" w:rsidRDefault="00C27FB2" w:rsidP="004738A8">
      <w:pPr>
        <w:pStyle w:val="Level3"/>
      </w:pPr>
      <w:r w:rsidRPr="00D45B1A">
        <w:t xml:space="preserve">Ideally, the ED feeder system will (where possible) include some or all of the following fields: </w:t>
      </w:r>
    </w:p>
    <w:p w14:paraId="4B0DA9A2" w14:textId="77777777" w:rsidR="00A221B9" w:rsidRPr="00D45B1A" w:rsidRDefault="00A221B9" w:rsidP="00A27C5B">
      <w:pPr>
        <w:pStyle w:val="ListBullet"/>
        <w:spacing w:after="120"/>
      </w:pPr>
      <w:r w:rsidRPr="00D45B1A">
        <w:t>any measure of acuity</w:t>
      </w:r>
    </w:p>
    <w:p w14:paraId="18FDC0A2" w14:textId="77777777" w:rsidR="00A221B9" w:rsidRPr="00D45B1A" w:rsidRDefault="00A221B9" w:rsidP="00A27C5B">
      <w:pPr>
        <w:pStyle w:val="ListBullet"/>
        <w:spacing w:after="120"/>
      </w:pPr>
      <w:r>
        <w:t>c</w:t>
      </w:r>
      <w:r w:rsidRPr="00D45B1A">
        <w:t>linical interaction or resource consumption or intensity</w:t>
      </w:r>
    </w:p>
    <w:p w14:paraId="4F9A11C1" w14:textId="1617DCD7" w:rsidR="00A221B9" w:rsidRDefault="00A221B9" w:rsidP="00A27C5B">
      <w:pPr>
        <w:pStyle w:val="ListBullet"/>
        <w:spacing w:after="120"/>
      </w:pPr>
      <w:r w:rsidRPr="00D45B1A">
        <w:t>the date</w:t>
      </w:r>
      <w:r>
        <w:t xml:space="preserve"> and time of service</w:t>
      </w:r>
      <w:r w:rsidRPr="00D45B1A">
        <w:t xml:space="preserve"> </w:t>
      </w:r>
    </w:p>
    <w:p w14:paraId="68D63B93" w14:textId="07151A2E" w:rsidR="00C27FB2" w:rsidRPr="00D45B1A" w:rsidRDefault="00C27FB2" w:rsidP="00A27C5B">
      <w:pPr>
        <w:pStyle w:val="ListBullet"/>
        <w:spacing w:after="120"/>
      </w:pPr>
      <w:r w:rsidRPr="00D45B1A">
        <w:t xml:space="preserve">the patient’s unique </w:t>
      </w:r>
      <w:r w:rsidR="002E230A">
        <w:t>identifier</w:t>
      </w:r>
    </w:p>
    <w:p w14:paraId="68D63B94" w14:textId="75B3F8F7" w:rsidR="00C27FB2" w:rsidRDefault="00C27FB2" w:rsidP="00A27C5B">
      <w:pPr>
        <w:pStyle w:val="ListBullet"/>
        <w:spacing w:after="120"/>
      </w:pPr>
      <w:r w:rsidRPr="00D45B1A">
        <w:t>the pa</w:t>
      </w:r>
      <w:r w:rsidR="00225456">
        <w:t>tient unique episode identifier</w:t>
      </w:r>
      <w:r w:rsidRPr="00D45B1A">
        <w:t xml:space="preserve"> </w:t>
      </w:r>
    </w:p>
    <w:p w14:paraId="146314D2" w14:textId="25C92364" w:rsidR="00A221B9" w:rsidRPr="00D45B1A" w:rsidRDefault="00A221B9" w:rsidP="00A27C5B">
      <w:pPr>
        <w:pStyle w:val="ListBullet"/>
        <w:spacing w:after="120"/>
      </w:pPr>
      <w:r w:rsidRPr="00D45B1A">
        <w:t>the ti</w:t>
      </w:r>
      <w:r>
        <w:t>me into and out of the unit</w:t>
      </w:r>
      <w:r w:rsidRPr="00D45B1A">
        <w:t xml:space="preserve"> </w:t>
      </w:r>
    </w:p>
    <w:p w14:paraId="68D63B95" w14:textId="30E234D3" w:rsidR="00C27FB2" w:rsidRPr="00D45B1A" w:rsidRDefault="00225456" w:rsidP="00A27C5B">
      <w:pPr>
        <w:pStyle w:val="ListBullet"/>
        <w:spacing w:after="120"/>
      </w:pPr>
      <w:r>
        <w:lastRenderedPageBreak/>
        <w:t>unit code (for example, ED)</w:t>
      </w:r>
    </w:p>
    <w:p w14:paraId="68D63B97" w14:textId="20C5E99C" w:rsidR="00C27FB2" w:rsidRPr="00D45B1A" w:rsidRDefault="00225456" w:rsidP="00A27C5B">
      <w:pPr>
        <w:pStyle w:val="ListBullet"/>
        <w:spacing w:after="120"/>
      </w:pPr>
      <w:r>
        <w:t>triage category</w:t>
      </w:r>
    </w:p>
    <w:p w14:paraId="68D63B9B" w14:textId="77777777" w:rsidR="00C27FB2" w:rsidRPr="00D45B1A" w:rsidRDefault="00C27FB2" w:rsidP="00A27C5B">
      <w:pPr>
        <w:pStyle w:val="ListBullet"/>
        <w:spacing w:after="120"/>
      </w:pPr>
      <w:r w:rsidRPr="00D45B1A">
        <w:t>other patient demographic factors such as sex and age.</w:t>
      </w:r>
    </w:p>
    <w:p w14:paraId="68D63B9C" w14:textId="77777777" w:rsidR="00C27FB2" w:rsidRPr="00D45B1A" w:rsidRDefault="00C27FB2" w:rsidP="004738A8">
      <w:pPr>
        <w:pStyle w:val="Level3"/>
      </w:pPr>
      <w:r w:rsidRPr="00D45B1A">
        <w:t xml:space="preserve">Costing practitioners should perform quality assurance checks on the ED file prior to the costing process. For example, checks should be made on the date of service (to test reliability to remove error dates, check time into and out of the unit, and ensure dates are relevant to the period being costed). If ED duration is used as a cost driver, checks should be performed to ensure that the time out of the unit does not occur before the time into the unit. </w:t>
      </w:r>
    </w:p>
    <w:p w14:paraId="68D63B9D" w14:textId="71FEA500" w:rsidR="00C27FB2" w:rsidRPr="00D45B1A" w:rsidRDefault="00C27FB2" w:rsidP="000A3393">
      <w:pPr>
        <w:pStyle w:val="Level3Heading"/>
      </w:pPr>
      <w:r w:rsidRPr="00D45B1A">
        <w:t>Step 4</w:t>
      </w:r>
      <w:r w:rsidR="00EB4353">
        <w:t>:</w:t>
      </w:r>
      <w:r w:rsidRPr="00D45B1A">
        <w:t xml:space="preserve"> </w:t>
      </w:r>
      <w:r w:rsidR="00D05D7A">
        <w:t>Creating and mapping</w:t>
      </w:r>
      <w:r w:rsidRPr="00D45B1A">
        <w:t xml:space="preserve"> </w:t>
      </w:r>
      <w:r w:rsidR="0002701E">
        <w:t>e</w:t>
      </w:r>
      <w:r w:rsidRPr="00D45B1A">
        <w:t>merg</w:t>
      </w:r>
      <w:r w:rsidR="008A2B19">
        <w:t>ency d</w:t>
      </w:r>
      <w:r w:rsidRPr="00D45B1A">
        <w:t xml:space="preserve">epartment </w:t>
      </w:r>
      <w:r w:rsidR="0002701E">
        <w:t>c</w:t>
      </w:r>
      <w:r w:rsidRPr="00D45B1A">
        <w:t xml:space="preserve">osting </w:t>
      </w:r>
      <w:r w:rsidR="0002701E">
        <w:t>p</w:t>
      </w:r>
      <w:r w:rsidRPr="00D45B1A">
        <w:t xml:space="preserve">roducts or </w:t>
      </w:r>
      <w:r w:rsidR="0002701E">
        <w:t>i</w:t>
      </w:r>
      <w:r w:rsidRPr="00D45B1A">
        <w:t xml:space="preserve">ntermediate </w:t>
      </w:r>
      <w:r w:rsidR="0002701E">
        <w:t>p</w:t>
      </w:r>
      <w:r w:rsidRPr="00D45B1A">
        <w:t>roducts</w:t>
      </w:r>
    </w:p>
    <w:p w14:paraId="68D63B9E" w14:textId="5D023862" w:rsidR="00C27FB2" w:rsidRPr="00C10A12" w:rsidRDefault="007E2D00" w:rsidP="004738A8">
      <w:pPr>
        <w:pStyle w:val="Level3"/>
        <w:rPr>
          <w:b/>
        </w:rPr>
      </w:pPr>
      <w:r>
        <w:t>Costing practitioners should use date</w:t>
      </w:r>
      <w:r w:rsidR="0002701E">
        <w:t xml:space="preserve"> and </w:t>
      </w:r>
      <w:r>
        <w:t xml:space="preserve">time, </w:t>
      </w:r>
      <w:r w:rsidR="00C27FB2">
        <w:t xml:space="preserve">patient ED location </w:t>
      </w:r>
      <w:r>
        <w:t>or</w:t>
      </w:r>
      <w:r w:rsidR="00C27FB2">
        <w:t xml:space="preserve"> diagnosis </w:t>
      </w:r>
      <w:r w:rsidR="00325D94" w:rsidRPr="00D45B1A">
        <w:t>for intermediate</w:t>
      </w:r>
      <w:r w:rsidR="00C27FB2" w:rsidRPr="00D45B1A">
        <w:t xml:space="preserve"> product</w:t>
      </w:r>
      <w:r w:rsidR="00C27FB2">
        <w:t xml:space="preserve"> </w:t>
      </w:r>
      <w:r w:rsidR="00325D94">
        <w:t>creation</w:t>
      </w:r>
      <w:r w:rsidR="002C6704">
        <w:t xml:space="preserve">. This </w:t>
      </w:r>
      <w:r>
        <w:t xml:space="preserve">should be appropriately reflected </w:t>
      </w:r>
      <w:r w:rsidR="00C27FB2" w:rsidRPr="00D45B1A">
        <w:t xml:space="preserve">in the costing system. </w:t>
      </w:r>
      <w:r>
        <w:t>Please note that triage should</w:t>
      </w:r>
      <w:r w:rsidRPr="00D45B1A" w:rsidDel="007E2D00">
        <w:t xml:space="preserve"> </w:t>
      </w:r>
      <w:r>
        <w:t>only be used for product creation where other options are not available.</w:t>
      </w:r>
    </w:p>
    <w:p w14:paraId="68D63B9F" w14:textId="77777777" w:rsidR="00C27FB2" w:rsidRPr="00CF0B25" w:rsidRDefault="00C27FB2" w:rsidP="004738A8">
      <w:pPr>
        <w:pStyle w:val="Level3"/>
        <w:rPr>
          <w:b/>
        </w:rPr>
      </w:pPr>
      <w:r w:rsidRPr="00D45B1A">
        <w:t>Once this product code is created, costing practitioners will be required to map this in the costing system to the ED final cost centre. The ED feeder system may also include unit codes, such as SSU, that need to be mapped to the SSU final cost centre. In this case, costing practitioners should create a product for example ‘SSU’ and map this product to the SSU cost department in the costing system.</w:t>
      </w:r>
    </w:p>
    <w:p w14:paraId="68D63BA0" w14:textId="78F2C52F" w:rsidR="00C27FB2" w:rsidRDefault="00C27FB2" w:rsidP="004738A8">
      <w:pPr>
        <w:pStyle w:val="Level3"/>
        <w:rPr>
          <w:b/>
        </w:rPr>
      </w:pPr>
      <w:r>
        <w:t>It is generally recognised that ED costs comprise approximately 70</w:t>
      </w:r>
      <w:r w:rsidR="0002701E">
        <w:t xml:space="preserve"> per cent</w:t>
      </w:r>
      <w:r>
        <w:t xml:space="preserve"> of staff (nursing and medical) costs and staffing profiles can vary according to the location staff are assigned within the ED (such as general cubicles, resuscitation treatment areas and SSU). </w:t>
      </w:r>
    </w:p>
    <w:p w14:paraId="68D63BA1" w14:textId="77777777" w:rsidR="00C27FB2" w:rsidRPr="00A20CE6" w:rsidRDefault="00C27FB2" w:rsidP="004738A8">
      <w:pPr>
        <w:pStyle w:val="Level3"/>
        <w:rPr>
          <w:b/>
        </w:rPr>
      </w:pPr>
      <w:r w:rsidRPr="00A20CE6">
        <w:t xml:space="preserve">Costing practitioners should work with ED stakeholders to also consider staff profiles as a means of understanding the work flow within the ED for various patient cohorts and understand where a standard staffing rate per hour by location, modified by the triage and disposition of the patient can be used to inform the cost allocation process. </w:t>
      </w:r>
    </w:p>
    <w:p w14:paraId="68D63BA2" w14:textId="100CF837" w:rsidR="00C27FB2" w:rsidRPr="00D45B1A" w:rsidRDefault="00C27FB2" w:rsidP="000A3393">
      <w:pPr>
        <w:pStyle w:val="Level3Heading"/>
      </w:pPr>
      <w:r w:rsidRPr="00D45B1A">
        <w:t>Step 5</w:t>
      </w:r>
      <w:r w:rsidR="00EB4353">
        <w:t>:</w:t>
      </w:r>
      <w:r w:rsidRPr="00D45B1A">
        <w:t xml:space="preserve"> Apply </w:t>
      </w:r>
      <w:r w:rsidR="006056D8">
        <w:t>r</w:t>
      </w:r>
      <w:r w:rsidRPr="00D45B1A">
        <w:t xml:space="preserve">elative </w:t>
      </w:r>
      <w:r w:rsidR="006056D8">
        <w:t>v</w:t>
      </w:r>
      <w:r w:rsidRPr="00D45B1A">
        <w:t xml:space="preserve">alue </w:t>
      </w:r>
      <w:r w:rsidR="006056D8">
        <w:t>u</w:t>
      </w:r>
      <w:r w:rsidRPr="00D45B1A">
        <w:t>nits</w:t>
      </w:r>
    </w:p>
    <w:p w14:paraId="68D63BA3" w14:textId="77777777" w:rsidR="00C27FB2" w:rsidRDefault="00C27FB2" w:rsidP="004738A8">
      <w:pPr>
        <w:pStyle w:val="Level3"/>
      </w:pPr>
      <w:r w:rsidRPr="00D45B1A">
        <w:t xml:space="preserve">Costing practitioners should obtain agreement from within their hospital (or jurisdiction) as to the agreed methodology for RVU creation. </w:t>
      </w:r>
    </w:p>
    <w:p w14:paraId="68D63BA4" w14:textId="77777777" w:rsidR="00C27FB2" w:rsidRDefault="00C27FB2" w:rsidP="004738A8">
      <w:pPr>
        <w:pStyle w:val="Level3"/>
      </w:pPr>
      <w:r>
        <w:t>Whilst t</w:t>
      </w:r>
      <w:r w:rsidRPr="00D45B1A">
        <w:t>he most common methodology for allocating ED expenses to encounter activity is to create products for ED based on the triage category assigned to the encounter activity</w:t>
      </w:r>
      <w:r>
        <w:t xml:space="preserve">, costing practitioners should consider RVUs that consider or combine the location of patient within the ED such as general cubicles, resuscitation treatment areas and SSUs with patient diagnosis. </w:t>
      </w:r>
    </w:p>
    <w:p w14:paraId="68D63BA5" w14:textId="77777777" w:rsidR="00C27FB2" w:rsidRPr="00D45B1A" w:rsidRDefault="00C27FB2" w:rsidP="004738A8">
      <w:pPr>
        <w:pStyle w:val="Level3"/>
      </w:pPr>
      <w:r>
        <w:t>These RVUs can then be mapped to the appropriate intermediate product which may be based on Triage or a combination of location and diagnosis.</w:t>
      </w:r>
    </w:p>
    <w:p w14:paraId="68D63BA6" w14:textId="77777777" w:rsidR="00C27FB2" w:rsidRPr="00D45B1A" w:rsidRDefault="00C27FB2" w:rsidP="004738A8">
      <w:pPr>
        <w:pStyle w:val="Level3"/>
      </w:pPr>
      <w:r w:rsidRPr="00D45B1A">
        <w:t xml:space="preserve">However, costing practitioners should also give context to the type of encounter they are seeking to cost before applying their costing methodology. For example, time in and time out of an ED alone, may not be the best indicator of resource use and relative encounter cost. There may be instances where a patient with high acuity spends little time within </w:t>
      </w:r>
      <w:r w:rsidRPr="00D45B1A">
        <w:lastRenderedPageBreak/>
        <w:t>the ED, but consumes a number of resources (medical supplies and alike) given their complexity, whilst lower acuity patients stay within the ED for longer periods for observational purposes. In this example the costing practitioner should seek a cost outcome where the higher acuity encounter demonstrates a higher cost than the low acuity encounter, irrespective of their time in the ED, given they are likely to be complex and consume a number of ED resources in a short period of time. Costing practitioners should consider these types of workflows when determining the creation and attachment of an RVU.</w:t>
      </w:r>
    </w:p>
    <w:p w14:paraId="68D63BA7" w14:textId="77777777" w:rsidR="00C27FB2" w:rsidRPr="00D45B1A" w:rsidRDefault="00C27FB2" w:rsidP="000A3393">
      <w:pPr>
        <w:pStyle w:val="Level3Heading"/>
      </w:pPr>
      <w:r w:rsidRPr="00D45B1A">
        <w:t>Step 6</w:t>
      </w:r>
      <w:r w:rsidR="00EB4353">
        <w:t>:</w:t>
      </w:r>
      <w:r w:rsidRPr="00D45B1A">
        <w:t xml:space="preserve"> </w:t>
      </w:r>
      <w:r w:rsidR="00D05D7A">
        <w:t>Create intermediate product costs in final cost centres</w:t>
      </w:r>
    </w:p>
    <w:p w14:paraId="68D63BA8" w14:textId="1A9D0A1F" w:rsidR="00C407FA" w:rsidRDefault="00C407FA" w:rsidP="004738A8">
      <w:pPr>
        <w:pStyle w:val="Level3"/>
      </w:pPr>
      <w:r>
        <w:t>Two allocation processes are performed</w:t>
      </w:r>
      <w:r w:rsidR="00225456">
        <w:t>:</w:t>
      </w:r>
    </w:p>
    <w:p w14:paraId="68D63BA9" w14:textId="32FED607" w:rsidR="00C407FA" w:rsidRPr="00D46BB1" w:rsidRDefault="00225456" w:rsidP="00464B93">
      <w:pPr>
        <w:pStyle w:val="ListBullet"/>
      </w:pPr>
      <w:r>
        <w:t>w</w:t>
      </w:r>
      <w:r w:rsidR="00C407FA" w:rsidRPr="00D46BB1">
        <w:t xml:space="preserve">hen overhead costs are allocated to the </w:t>
      </w:r>
      <w:r w:rsidR="0002701E">
        <w:t>p</w:t>
      </w:r>
      <w:r w:rsidR="00C407FA" w:rsidRPr="00D46BB1">
        <w:t xml:space="preserve">roduction </w:t>
      </w:r>
      <w:r w:rsidR="0002701E">
        <w:t>c</w:t>
      </w:r>
      <w:r w:rsidR="00C407FA" w:rsidRPr="00D46BB1">
        <w:t xml:space="preserve">ost </w:t>
      </w:r>
      <w:r w:rsidR="0002701E">
        <w:t>c</w:t>
      </w:r>
      <w:r w:rsidR="00C407FA" w:rsidRPr="00D46BB1">
        <w:t>entre (using an appropriate allocation statistic)</w:t>
      </w:r>
    </w:p>
    <w:p w14:paraId="68D63BAA" w14:textId="00A2B341" w:rsidR="00C407FA" w:rsidRPr="00D46BB1" w:rsidRDefault="00225456" w:rsidP="00464B93">
      <w:pPr>
        <w:pStyle w:val="ListBullet"/>
      </w:pPr>
      <w:r>
        <w:t>w</w:t>
      </w:r>
      <w:r w:rsidR="00C407FA" w:rsidRPr="00D46BB1">
        <w:t xml:space="preserve">hen the </w:t>
      </w:r>
      <w:r w:rsidR="0002701E">
        <w:t>p</w:t>
      </w:r>
      <w:r w:rsidR="00C407FA" w:rsidRPr="00D46BB1">
        <w:t xml:space="preserve">roduction </w:t>
      </w:r>
      <w:r w:rsidR="0002701E">
        <w:t>c</w:t>
      </w:r>
      <w:r w:rsidR="00C407FA" w:rsidRPr="00D46BB1">
        <w:t xml:space="preserve">ost </w:t>
      </w:r>
      <w:r w:rsidR="0002701E">
        <w:t>c</w:t>
      </w:r>
      <w:r w:rsidR="00C407FA" w:rsidRPr="00D46BB1">
        <w:t>entre costs (overhead and direct) are allocated to the intermediate products.</w:t>
      </w:r>
    </w:p>
    <w:p w14:paraId="68D63BAB" w14:textId="7CC38772" w:rsidR="00C27FB2" w:rsidRPr="00D45B1A" w:rsidRDefault="00C27FB2" w:rsidP="000A3393">
      <w:pPr>
        <w:pStyle w:val="Level3Heading"/>
      </w:pPr>
      <w:r w:rsidRPr="00D45B1A">
        <w:t>Step 7</w:t>
      </w:r>
      <w:r w:rsidR="00EB4353">
        <w:t>:</w:t>
      </w:r>
      <w:r w:rsidR="00595D4B">
        <w:t xml:space="preserve"> Match i</w:t>
      </w:r>
      <w:r w:rsidRPr="00D45B1A">
        <w:t xml:space="preserve">ntermediate </w:t>
      </w:r>
      <w:r w:rsidR="00595D4B">
        <w:t xml:space="preserve">products and their costs to </w:t>
      </w:r>
      <w:r w:rsidR="0002701E">
        <w:t>e</w:t>
      </w:r>
      <w:r w:rsidR="00595D4B">
        <w:t xml:space="preserve">mergency </w:t>
      </w:r>
      <w:r w:rsidR="008A2B19">
        <w:t>d</w:t>
      </w:r>
      <w:r w:rsidR="00595D4B">
        <w:t>epartment e</w:t>
      </w:r>
      <w:r w:rsidRPr="00D45B1A">
        <w:t xml:space="preserve">ncounter </w:t>
      </w:r>
    </w:p>
    <w:p w14:paraId="68D63BAC" w14:textId="77777777" w:rsidR="00C27FB2" w:rsidRPr="00D45B1A" w:rsidRDefault="00C27FB2" w:rsidP="004738A8">
      <w:pPr>
        <w:pStyle w:val="Level3"/>
      </w:pPr>
      <w:r w:rsidRPr="00D45B1A">
        <w:t xml:space="preserve">ED encounters will consume resources from other hospital departments, such as imaging, pathology, pharmacy, and allied health on their journey of care and these should be attached to ED encounter as these resources contribute to the cost of production. Costing practitioners must ensure that services from other departments provided to ED patients are matched appropriately to the ED encounter </w:t>
      </w:r>
    </w:p>
    <w:p w14:paraId="68D63BAD" w14:textId="77777777" w:rsidR="00C27FB2" w:rsidRPr="00D45B1A" w:rsidRDefault="00C27FB2" w:rsidP="000A3393">
      <w:pPr>
        <w:pStyle w:val="Level3Heading"/>
      </w:pPr>
      <w:r w:rsidRPr="00D45B1A">
        <w:t>Step 8</w:t>
      </w:r>
      <w:r w:rsidR="00EB4353">
        <w:t>:</w:t>
      </w:r>
      <w:r w:rsidR="00EB4353" w:rsidRPr="00D45B1A">
        <w:t xml:space="preserve"> </w:t>
      </w:r>
      <w:r w:rsidR="008A6B15">
        <w:t>Report costs</w:t>
      </w:r>
    </w:p>
    <w:p w14:paraId="68D63BAE" w14:textId="77777777" w:rsidR="00C27FB2" w:rsidRPr="00D45B1A" w:rsidRDefault="00C27FB2" w:rsidP="004738A8">
      <w:pPr>
        <w:pStyle w:val="Level3"/>
      </w:pPr>
      <w:r w:rsidRPr="00D45B1A">
        <w:t xml:space="preserve">Costing practitioners should then perform the required steps to </w:t>
      </w:r>
      <w:r w:rsidR="00116978">
        <w:t xml:space="preserve">consolidate and report </w:t>
      </w:r>
      <w:r w:rsidRPr="00D45B1A">
        <w:t>costs at encounter level</w:t>
      </w:r>
      <w:r w:rsidRPr="00D45B1A">
        <w:rPr>
          <w:i/>
        </w:rPr>
        <w:t>.</w:t>
      </w:r>
    </w:p>
    <w:p w14:paraId="68D63BAF" w14:textId="74302184" w:rsidR="00C27FB2" w:rsidRPr="00D45B1A" w:rsidRDefault="00C27FB2" w:rsidP="000A3393">
      <w:pPr>
        <w:pStyle w:val="Level3Heading"/>
      </w:pPr>
      <w:r w:rsidRPr="00D45B1A">
        <w:t>Step 9</w:t>
      </w:r>
      <w:r w:rsidR="00EB4353">
        <w:t>:</w:t>
      </w:r>
      <w:r w:rsidRPr="00D45B1A">
        <w:t xml:space="preserve"> </w:t>
      </w:r>
      <w:r w:rsidR="00D05D7A">
        <w:t>Cost data review</w:t>
      </w:r>
      <w:r w:rsidRPr="00D45B1A">
        <w:t xml:space="preserve"> with </w:t>
      </w:r>
      <w:r w:rsidR="0002701E">
        <w:t>e</w:t>
      </w:r>
      <w:r w:rsidRPr="00D45B1A">
        <w:t xml:space="preserve">mergency </w:t>
      </w:r>
      <w:r w:rsidR="008A2B19">
        <w:t>department s</w:t>
      </w:r>
      <w:r w:rsidRPr="00D45B1A">
        <w:t xml:space="preserve">takeholders </w:t>
      </w:r>
    </w:p>
    <w:p w14:paraId="68D63BB0" w14:textId="77777777" w:rsidR="00C27FB2" w:rsidRPr="00D45B1A" w:rsidRDefault="00C27FB2" w:rsidP="004738A8">
      <w:pPr>
        <w:pStyle w:val="Level3"/>
      </w:pPr>
      <w:r w:rsidRPr="00D45B1A">
        <w:t>Costing practitioners should meet with their relevant ED stakeholders to report on the costs calculated.</w:t>
      </w:r>
    </w:p>
    <w:p w14:paraId="68D63BB1" w14:textId="77777777" w:rsidR="00C27FB2" w:rsidRPr="00D45B1A" w:rsidRDefault="00C27FB2" w:rsidP="004738A8">
      <w:pPr>
        <w:pStyle w:val="Level3"/>
      </w:pPr>
      <w:r w:rsidRPr="00D45B1A">
        <w:t>Cost data should be reviewed for, amongst other checks, cost relativity per triage category and resource completeness per episode to determine if the cost data captures resources that have been provided at encounter level.</w:t>
      </w:r>
      <w:r w:rsidRPr="00D45B1A">
        <w:br w:type="page"/>
      </w:r>
    </w:p>
    <w:p w14:paraId="68D63BB2" w14:textId="4886734F" w:rsidR="00C27FB2" w:rsidRPr="00D45B1A" w:rsidRDefault="00C27FB2" w:rsidP="00D97D20">
      <w:pPr>
        <w:pStyle w:val="Heading2"/>
      </w:pPr>
      <w:bookmarkStart w:id="15" w:name="_Toc480492969"/>
      <w:bookmarkStart w:id="16" w:name="_Toc80778496"/>
      <w:r w:rsidRPr="00D45B1A">
        <w:lastRenderedPageBreak/>
        <w:t xml:space="preserve">Operating </w:t>
      </w:r>
      <w:r w:rsidR="00E867EF">
        <w:t>R</w:t>
      </w:r>
      <w:r w:rsidRPr="00D45B1A">
        <w:t xml:space="preserve">oom and </w:t>
      </w:r>
      <w:r w:rsidR="00E867EF">
        <w:t>S</w:t>
      </w:r>
      <w:r w:rsidR="002E2E7F" w:rsidRPr="00D45B1A">
        <w:t xml:space="preserve">pecial </w:t>
      </w:r>
      <w:r w:rsidR="00E867EF">
        <w:t>P</w:t>
      </w:r>
      <w:r w:rsidR="002E2E7F" w:rsidRPr="00D45B1A">
        <w:t xml:space="preserve">rocedure </w:t>
      </w:r>
      <w:r w:rsidR="00E867EF">
        <w:t>S</w:t>
      </w:r>
      <w:r w:rsidR="002E2E7F" w:rsidRPr="00D45B1A">
        <w:t>uites</w:t>
      </w:r>
      <w:bookmarkEnd w:id="15"/>
      <w:bookmarkEnd w:id="16"/>
    </w:p>
    <w:p w14:paraId="68D63BB3" w14:textId="77777777" w:rsidR="00C27FB2" w:rsidRPr="00205822" w:rsidRDefault="00C27FB2" w:rsidP="00897CD3">
      <w:pPr>
        <w:pStyle w:val="Heading3"/>
      </w:pPr>
      <w:r w:rsidRPr="00205822">
        <w:t>Scope</w:t>
      </w:r>
    </w:p>
    <w:p w14:paraId="68D63BB4" w14:textId="408F08A8" w:rsidR="00C27FB2" w:rsidRPr="00D45B1A" w:rsidRDefault="00C27FB2" w:rsidP="004738A8">
      <w:pPr>
        <w:pStyle w:val="Level3"/>
      </w:pPr>
      <w:r w:rsidRPr="00D45B1A">
        <w:t>T</w:t>
      </w:r>
      <w:r w:rsidR="001F16A3">
        <w:t>his</w:t>
      </w:r>
      <w:r w:rsidR="00196727">
        <w:t xml:space="preserve"> g</w:t>
      </w:r>
      <w:r w:rsidR="00B63007">
        <w:t>uideline</w:t>
      </w:r>
      <w:r w:rsidRPr="00D45B1A">
        <w:t xml:space="preserve"> </w:t>
      </w:r>
      <w:r w:rsidR="00061CAC">
        <w:t>outlines</w:t>
      </w:r>
      <w:r w:rsidR="00061CAC" w:rsidRPr="00D45B1A">
        <w:t xml:space="preserve"> </w:t>
      </w:r>
      <w:r w:rsidR="00061CAC">
        <w:t>an</w:t>
      </w:r>
      <w:r w:rsidRPr="00D45B1A">
        <w:t xml:space="preserve"> approach to cost activity within an operating room (OR) and special procedure suites (SPS).</w:t>
      </w:r>
    </w:p>
    <w:p w14:paraId="68D63BB5" w14:textId="116C127F" w:rsidR="00C27FB2" w:rsidRPr="00D45B1A" w:rsidRDefault="00C27FB2" w:rsidP="004738A8">
      <w:pPr>
        <w:pStyle w:val="Level3"/>
      </w:pPr>
      <w:r w:rsidRPr="00D45B1A">
        <w:t xml:space="preserve">The business provides a guide to cost </w:t>
      </w:r>
      <w:r w:rsidR="004844AB">
        <w:t>OR</w:t>
      </w:r>
      <w:r w:rsidR="0094599D">
        <w:t xml:space="preserve"> and </w:t>
      </w:r>
      <w:r w:rsidR="004844AB">
        <w:t xml:space="preserve">SPS </w:t>
      </w:r>
      <w:r w:rsidRPr="00D45B1A">
        <w:t>separately.</w:t>
      </w:r>
    </w:p>
    <w:p w14:paraId="68D63BB6" w14:textId="4C61033F" w:rsidR="00C27FB2" w:rsidRDefault="00C27FB2" w:rsidP="004738A8">
      <w:pPr>
        <w:pStyle w:val="Level3"/>
      </w:pPr>
      <w:r w:rsidRPr="00D45B1A">
        <w:t xml:space="preserve">This </w:t>
      </w:r>
      <w:r w:rsidR="00196727">
        <w:t>g</w:t>
      </w:r>
      <w:r w:rsidR="00B63007">
        <w:t>uideline</w:t>
      </w:r>
      <w:r w:rsidRPr="00D45B1A">
        <w:t xml:space="preserve"> also provides practical steps and examples to guide staff on the patient costing process for this activity.</w:t>
      </w:r>
    </w:p>
    <w:p w14:paraId="68D63BB7" w14:textId="15974EA2" w:rsidR="000A3393" w:rsidRPr="00D45B1A" w:rsidRDefault="0002701E" w:rsidP="000A3393">
      <w:pPr>
        <w:pStyle w:val="Level3Heading"/>
      </w:pPr>
      <w:r>
        <w:t>O</w:t>
      </w:r>
      <w:r w:rsidRPr="0002701E">
        <w:t>perating room</w:t>
      </w:r>
      <w:r w:rsidR="000A3393" w:rsidRPr="00D45B1A">
        <w:t xml:space="preserve"> and </w:t>
      </w:r>
      <w:r w:rsidRPr="0002701E">
        <w:t>special procedure suites</w:t>
      </w:r>
      <w:r w:rsidRPr="0002701E" w:rsidDel="0002701E">
        <w:t xml:space="preserve"> </w:t>
      </w:r>
      <w:r w:rsidR="002E2E7F">
        <w:t>s</w:t>
      </w:r>
      <w:r w:rsidR="000A3393" w:rsidRPr="00D45B1A">
        <w:t xml:space="preserve">cope </w:t>
      </w:r>
    </w:p>
    <w:p w14:paraId="68D63BB8" w14:textId="03DB1DB3" w:rsidR="000A3393" w:rsidRPr="00D45B1A" w:rsidRDefault="000A3393" w:rsidP="004738A8">
      <w:pPr>
        <w:pStyle w:val="Level3"/>
      </w:pPr>
      <w:r w:rsidRPr="00D45B1A">
        <w:t xml:space="preserve">For the purposes of patient level costing, </w:t>
      </w:r>
      <w:r w:rsidR="00D95C0E">
        <w:t>OR</w:t>
      </w:r>
      <w:r w:rsidRPr="00D45B1A">
        <w:t xml:space="preserve"> expenses are those that relate to areas of the hospital that would typically be found in the theatre suite. SPS may have their own cost centres to account for SPS expense, but may have related expenses in other cost centres, such as the OR, as the OR theatre manager may order goods and services on behalf of the SPS. </w:t>
      </w:r>
    </w:p>
    <w:p w14:paraId="68D63BB9" w14:textId="0BAF8B6D" w:rsidR="000A3393" w:rsidRPr="00D45B1A" w:rsidRDefault="000A3393" w:rsidP="004738A8">
      <w:pPr>
        <w:pStyle w:val="Level3"/>
      </w:pPr>
      <w:r w:rsidRPr="00D45B1A">
        <w:t xml:space="preserve">There are a number of other areas in hospitals where procedures are performed, which should not be included as </w:t>
      </w:r>
      <w:r w:rsidR="00FE2A9F">
        <w:t>OR</w:t>
      </w:r>
      <w:r w:rsidRPr="00D45B1A">
        <w:t xml:space="preserve"> but classified as </w:t>
      </w:r>
      <w:r w:rsidR="00FE2A9F">
        <w:t xml:space="preserve">SPS </w:t>
      </w:r>
      <w:r w:rsidRPr="00D45B1A">
        <w:t>for patient level costing purposes including:</w:t>
      </w:r>
    </w:p>
    <w:p w14:paraId="68D63BBA" w14:textId="5361ECDE" w:rsidR="000A3393" w:rsidRPr="00D45B1A" w:rsidRDefault="00897CD3" w:rsidP="00A27C5B">
      <w:pPr>
        <w:pStyle w:val="ListBullet"/>
        <w:spacing w:after="120"/>
      </w:pPr>
      <w:r w:rsidRPr="00D45B1A">
        <w:t>angiography</w:t>
      </w:r>
    </w:p>
    <w:p w14:paraId="68D63BBB" w14:textId="3C4A50AB" w:rsidR="000A3393" w:rsidRPr="00D45B1A" w:rsidRDefault="00897CD3" w:rsidP="00A27C5B">
      <w:pPr>
        <w:pStyle w:val="ListBullet"/>
        <w:spacing w:after="120"/>
      </w:pPr>
      <w:r w:rsidRPr="00D45B1A">
        <w:t xml:space="preserve">cardiac </w:t>
      </w:r>
      <w:r>
        <w:t>c</w:t>
      </w:r>
      <w:r w:rsidRPr="00D45B1A">
        <w:t xml:space="preserve">atheter </w:t>
      </w:r>
      <w:r>
        <w:t>s</w:t>
      </w:r>
      <w:r w:rsidRPr="00D45B1A">
        <w:t>uites</w:t>
      </w:r>
    </w:p>
    <w:p w14:paraId="68D63BBC" w14:textId="43F96771" w:rsidR="000A3393" w:rsidRPr="00D45B1A" w:rsidRDefault="00373793" w:rsidP="00A27C5B">
      <w:pPr>
        <w:pStyle w:val="ListBullet"/>
        <w:spacing w:after="120"/>
      </w:pPr>
      <w:r>
        <w:t>electroconvulsive therapy</w:t>
      </w:r>
      <w:r w:rsidR="00897CD3" w:rsidRPr="00D45B1A">
        <w:t xml:space="preserve"> suites</w:t>
      </w:r>
    </w:p>
    <w:p w14:paraId="68D63BBD" w14:textId="4A084CC1" w:rsidR="000A3393" w:rsidRPr="00D45B1A" w:rsidRDefault="00897CD3" w:rsidP="00A27C5B">
      <w:pPr>
        <w:pStyle w:val="ListBullet"/>
        <w:spacing w:after="120"/>
      </w:pPr>
      <w:r w:rsidRPr="00D45B1A">
        <w:t>endoscopic suites</w:t>
      </w:r>
    </w:p>
    <w:p w14:paraId="68D63BBE" w14:textId="4DD20002" w:rsidR="000A3393" w:rsidRPr="00D45B1A" w:rsidRDefault="00897CD3" w:rsidP="00A27C5B">
      <w:pPr>
        <w:pStyle w:val="ListBullet"/>
        <w:spacing w:after="120"/>
      </w:pPr>
      <w:r w:rsidRPr="00D45B1A">
        <w:t>general procedure suites</w:t>
      </w:r>
    </w:p>
    <w:p w14:paraId="68D63BBF" w14:textId="10ED3102" w:rsidR="000A3393" w:rsidRPr="00D45B1A" w:rsidRDefault="00897CD3" w:rsidP="00A27C5B">
      <w:pPr>
        <w:pStyle w:val="ListBullet"/>
        <w:spacing w:after="120"/>
      </w:pPr>
      <w:r w:rsidRPr="00D45B1A">
        <w:t>hyperbaric chamber</w:t>
      </w:r>
    </w:p>
    <w:p w14:paraId="68D63BC0" w14:textId="78F87889" w:rsidR="000A3393" w:rsidRPr="00D45B1A" w:rsidRDefault="00897CD3" w:rsidP="00A27C5B">
      <w:pPr>
        <w:pStyle w:val="ListBullet"/>
        <w:spacing w:after="120"/>
      </w:pPr>
      <w:r w:rsidRPr="00D45B1A">
        <w:t>lithotripsy suites</w:t>
      </w:r>
    </w:p>
    <w:p w14:paraId="68D63BC1" w14:textId="52023D7B" w:rsidR="000A3393" w:rsidRPr="00D45B1A" w:rsidRDefault="00897CD3" w:rsidP="00A27C5B">
      <w:pPr>
        <w:pStyle w:val="ListBullet"/>
        <w:spacing w:after="120"/>
      </w:pPr>
      <w:r w:rsidRPr="00D45B1A">
        <w:t>lung function laboratories; non–invasive cardiac laboratories (</w:t>
      </w:r>
      <w:r w:rsidR="001B41F4">
        <w:t>for example,</w:t>
      </w:r>
      <w:r w:rsidRPr="00D45B1A">
        <w:t xml:space="preserve"> echo labs)</w:t>
      </w:r>
    </w:p>
    <w:p w14:paraId="68D63BC2" w14:textId="153169F5" w:rsidR="000A3393" w:rsidRPr="00D45B1A" w:rsidRDefault="00897CD3" w:rsidP="00A27C5B">
      <w:pPr>
        <w:pStyle w:val="ListBullet"/>
        <w:spacing w:after="120"/>
      </w:pPr>
      <w:r w:rsidRPr="00D45B1A">
        <w:t>physiology laboratories</w:t>
      </w:r>
    </w:p>
    <w:p w14:paraId="68D63BC3" w14:textId="5490F155" w:rsidR="000A3393" w:rsidRPr="00D45B1A" w:rsidRDefault="00897CD3" w:rsidP="00A27C5B">
      <w:pPr>
        <w:pStyle w:val="ListBullet"/>
        <w:spacing w:after="120"/>
      </w:pPr>
      <w:r w:rsidRPr="00D45B1A">
        <w:t>radiotherapy suites</w:t>
      </w:r>
    </w:p>
    <w:p w14:paraId="68D63BC4" w14:textId="395115E1" w:rsidR="000A3393" w:rsidRPr="00D45B1A" w:rsidRDefault="00897CD3" w:rsidP="00A27C5B">
      <w:pPr>
        <w:pStyle w:val="ListBullet"/>
        <w:spacing w:after="120"/>
      </w:pPr>
      <w:r w:rsidRPr="00D45B1A">
        <w:t>respiratory laboratories</w:t>
      </w:r>
    </w:p>
    <w:p w14:paraId="68D63BC5" w14:textId="77777777" w:rsidR="000A3393" w:rsidRPr="00D45B1A" w:rsidRDefault="00897CD3" w:rsidP="00A27C5B">
      <w:pPr>
        <w:pStyle w:val="ListBullet"/>
        <w:spacing w:after="120"/>
      </w:pPr>
      <w:r w:rsidRPr="00D45B1A">
        <w:t>sleep laboratories.</w:t>
      </w:r>
    </w:p>
    <w:p w14:paraId="68D63BC6" w14:textId="17625990" w:rsidR="000A3393" w:rsidRPr="00D45B1A" w:rsidRDefault="00FE2A9F" w:rsidP="004738A8">
      <w:pPr>
        <w:pStyle w:val="Level3"/>
        <w:rPr>
          <w:b/>
          <w:i/>
        </w:rPr>
      </w:pPr>
      <w:r>
        <w:t>OR</w:t>
      </w:r>
      <w:r w:rsidR="000A3393" w:rsidRPr="00D45B1A">
        <w:t xml:space="preserve"> should be separated from </w:t>
      </w:r>
      <w:r w:rsidR="00D95C0E">
        <w:t xml:space="preserve">SPS </w:t>
      </w:r>
      <w:r w:rsidR="000A3393" w:rsidRPr="00D45B1A">
        <w:t xml:space="preserve">for the purposes of patient level costing. </w:t>
      </w:r>
    </w:p>
    <w:p w14:paraId="68D63BC7" w14:textId="3AFD72F2" w:rsidR="000A3393" w:rsidRPr="00D45B1A" w:rsidRDefault="000A3393" w:rsidP="004738A8">
      <w:pPr>
        <w:pStyle w:val="Level3"/>
      </w:pPr>
      <w:r w:rsidRPr="00D45B1A">
        <w:t xml:space="preserve">Expenses and activity should be identified for each and costed in their own right. The steps below should be applied for both the </w:t>
      </w:r>
      <w:r w:rsidR="00D95C0E">
        <w:t>OR</w:t>
      </w:r>
      <w:r w:rsidRPr="00D45B1A">
        <w:t xml:space="preserve"> and </w:t>
      </w:r>
      <w:r w:rsidR="00373793">
        <w:t>SPS</w:t>
      </w:r>
      <w:r w:rsidRPr="00D45B1A">
        <w:t xml:space="preserve">. There is no change in the application of the steps required to separately cost each. </w:t>
      </w:r>
    </w:p>
    <w:p w14:paraId="68D63BC8" w14:textId="77777777" w:rsidR="00C27FB2" w:rsidRPr="00205822" w:rsidRDefault="00C27FB2" w:rsidP="00897CD3">
      <w:pPr>
        <w:pStyle w:val="Heading3"/>
      </w:pPr>
      <w:r w:rsidRPr="00205822">
        <w:t>Objective</w:t>
      </w:r>
    </w:p>
    <w:p w14:paraId="68D63BC9" w14:textId="72FDD350" w:rsidR="00C27FB2" w:rsidRDefault="00C27FB2" w:rsidP="004738A8">
      <w:pPr>
        <w:pStyle w:val="Level3"/>
      </w:pPr>
      <w:r w:rsidRPr="00D45B1A">
        <w:t xml:space="preserve">The objective of this </w:t>
      </w:r>
      <w:r w:rsidR="00B63007">
        <w:t>guideline</w:t>
      </w:r>
      <w:r w:rsidRPr="00D45B1A">
        <w:t xml:space="preserve"> is to guide costing practitioners of the end to end steps required to ensure that all OR and SPS activity and expenses which contribute to the day to day production of final OR and SPS products are included in the patient costing process to determine the full cost of production.</w:t>
      </w:r>
    </w:p>
    <w:p w14:paraId="0EA0A4DE" w14:textId="77777777" w:rsidR="00EC58FA" w:rsidRPr="00D45B1A" w:rsidRDefault="00EC58FA" w:rsidP="00EC58FA">
      <w:pPr>
        <w:pStyle w:val="Level3"/>
        <w:numPr>
          <w:ilvl w:val="0"/>
          <w:numId w:val="0"/>
        </w:numPr>
        <w:ind w:left="993"/>
      </w:pPr>
    </w:p>
    <w:p w14:paraId="68D63BCA" w14:textId="15ED1713" w:rsidR="00C27FB2" w:rsidRPr="00205822" w:rsidRDefault="00B63007" w:rsidP="00897CD3">
      <w:pPr>
        <w:pStyle w:val="Heading3"/>
      </w:pPr>
      <w:r>
        <w:t xml:space="preserve">Costing </w:t>
      </w:r>
      <w:r w:rsidR="00373793">
        <w:t>G</w:t>
      </w:r>
      <w:r>
        <w:t>uideline</w:t>
      </w:r>
    </w:p>
    <w:p w14:paraId="68D63BCB" w14:textId="31ECACF0" w:rsidR="00C27FB2" w:rsidRPr="00D45B1A" w:rsidRDefault="00C27FB2" w:rsidP="000A3393">
      <w:pPr>
        <w:pStyle w:val="Level3Heading"/>
      </w:pPr>
      <w:r w:rsidRPr="00D45B1A">
        <w:t>Step 1</w:t>
      </w:r>
      <w:r w:rsidR="00EB4353">
        <w:t>:</w:t>
      </w:r>
      <w:r w:rsidRPr="00D45B1A">
        <w:t xml:space="preserve"> Stakeholder </w:t>
      </w:r>
      <w:r w:rsidR="0068166A">
        <w:t>i</w:t>
      </w:r>
      <w:r w:rsidRPr="00D45B1A">
        <w:t xml:space="preserve">dentification and </w:t>
      </w:r>
      <w:r w:rsidR="0068166A">
        <w:t>s</w:t>
      </w:r>
      <w:r w:rsidRPr="00D45B1A">
        <w:t xml:space="preserve">ervice </w:t>
      </w:r>
      <w:r w:rsidR="0068166A">
        <w:t>s</w:t>
      </w:r>
      <w:r w:rsidRPr="00D45B1A">
        <w:t xml:space="preserve">cale and </w:t>
      </w:r>
      <w:r w:rsidR="0068166A">
        <w:t>s</w:t>
      </w:r>
      <w:r w:rsidRPr="00D45B1A">
        <w:t xml:space="preserve">cope </w:t>
      </w:r>
    </w:p>
    <w:p w14:paraId="68D63BCC" w14:textId="1C019320" w:rsidR="00C27FB2" w:rsidRPr="00D45B1A" w:rsidRDefault="00C27FB2" w:rsidP="004738A8">
      <w:pPr>
        <w:pStyle w:val="Level3"/>
      </w:pPr>
      <w:r w:rsidRPr="00D45B1A">
        <w:t xml:space="preserve">Costing practitioners should meet with the appropriate stakeholders within the OR, relevant SPSs and </w:t>
      </w:r>
      <w:r w:rsidR="0068166A">
        <w:t>f</w:t>
      </w:r>
      <w:r w:rsidRPr="00D45B1A">
        <w:t xml:space="preserve">inance </w:t>
      </w:r>
      <w:r w:rsidR="008A2B19">
        <w:t>d</w:t>
      </w:r>
      <w:r w:rsidRPr="00D45B1A">
        <w:t xml:space="preserve">epartment to identify both the expense and activity related to OR and SPS. OR </w:t>
      </w:r>
      <w:r w:rsidR="0068166A">
        <w:t>s</w:t>
      </w:r>
      <w:r w:rsidRPr="00D45B1A">
        <w:t xml:space="preserve">takeholders may include the </w:t>
      </w:r>
      <w:r w:rsidR="0068166A">
        <w:t>d</w:t>
      </w:r>
      <w:r w:rsidRPr="00D45B1A">
        <w:t xml:space="preserve">irector of </w:t>
      </w:r>
      <w:r w:rsidR="0068166A">
        <w:t>s</w:t>
      </w:r>
      <w:r w:rsidRPr="00D45B1A">
        <w:t xml:space="preserve">urgical </w:t>
      </w:r>
      <w:r w:rsidR="0068166A">
        <w:t>s</w:t>
      </w:r>
      <w:r w:rsidRPr="00D45B1A">
        <w:t xml:space="preserve">ervices (or local equivalent), the OR </w:t>
      </w:r>
      <w:r w:rsidR="0068166A">
        <w:t>n</w:t>
      </w:r>
      <w:r w:rsidRPr="00D45B1A">
        <w:t xml:space="preserve">ursing </w:t>
      </w:r>
      <w:r w:rsidR="0068166A">
        <w:t>m</w:t>
      </w:r>
      <w:r w:rsidRPr="00D45B1A">
        <w:t xml:space="preserve">anager and the OR </w:t>
      </w:r>
      <w:r w:rsidR="0068166A">
        <w:t>c</w:t>
      </w:r>
      <w:r w:rsidRPr="00D45B1A">
        <w:t xml:space="preserve">ost </w:t>
      </w:r>
      <w:r w:rsidR="0068166A">
        <w:t>c</w:t>
      </w:r>
      <w:r w:rsidRPr="00D45B1A">
        <w:t xml:space="preserve">entre </w:t>
      </w:r>
      <w:r w:rsidR="0068166A">
        <w:t>m</w:t>
      </w:r>
      <w:r w:rsidRPr="00D45B1A">
        <w:t xml:space="preserve">anager. SPS stakeholders may include the </w:t>
      </w:r>
      <w:r w:rsidR="0068166A">
        <w:t>c</w:t>
      </w:r>
      <w:r w:rsidRPr="00D45B1A">
        <w:t xml:space="preserve">linical </w:t>
      </w:r>
      <w:r w:rsidR="0068166A">
        <w:t>d</w:t>
      </w:r>
      <w:r w:rsidRPr="00D45B1A">
        <w:t xml:space="preserve">irectors that relate to the relevant SPS within the hospital. </w:t>
      </w:r>
    </w:p>
    <w:p w14:paraId="68D63BCD" w14:textId="08F9F7F5" w:rsidR="00C27FB2" w:rsidRPr="00D45B1A" w:rsidRDefault="00C27FB2" w:rsidP="004738A8">
      <w:pPr>
        <w:pStyle w:val="Level3"/>
      </w:pPr>
      <w:r w:rsidRPr="00D45B1A">
        <w:t xml:space="preserve">For example, the </w:t>
      </w:r>
      <w:r w:rsidR="0068166A">
        <w:t>m</w:t>
      </w:r>
      <w:r w:rsidRPr="00D45B1A">
        <w:t xml:space="preserve">edical </w:t>
      </w:r>
      <w:r w:rsidR="0068166A">
        <w:t>d</w:t>
      </w:r>
      <w:r w:rsidRPr="00D45B1A">
        <w:t xml:space="preserve">irector of </w:t>
      </w:r>
      <w:r w:rsidR="0068166A">
        <w:t>g</w:t>
      </w:r>
      <w:r w:rsidRPr="00D45B1A">
        <w:t xml:space="preserve">astroenterology may have responsibility for the </w:t>
      </w:r>
      <w:r w:rsidR="0068166A">
        <w:t>e</w:t>
      </w:r>
      <w:r w:rsidRPr="00D45B1A">
        <w:t xml:space="preserve">ndoscopy </w:t>
      </w:r>
      <w:r w:rsidR="0068166A">
        <w:t>s</w:t>
      </w:r>
      <w:r w:rsidRPr="00D45B1A">
        <w:t xml:space="preserve">uite, while the </w:t>
      </w:r>
      <w:r w:rsidR="0068166A">
        <w:t>m</w:t>
      </w:r>
      <w:r w:rsidRPr="00D45B1A">
        <w:t xml:space="preserve">edical </w:t>
      </w:r>
      <w:r w:rsidR="0068166A">
        <w:t>d</w:t>
      </w:r>
      <w:r w:rsidRPr="00D45B1A">
        <w:t xml:space="preserve">irector of </w:t>
      </w:r>
      <w:r w:rsidR="0068166A">
        <w:t>c</w:t>
      </w:r>
      <w:r w:rsidRPr="00D45B1A">
        <w:t xml:space="preserve">ardiology may have responsibility for the </w:t>
      </w:r>
      <w:r w:rsidR="0068166A">
        <w:t>c</w:t>
      </w:r>
      <w:r w:rsidRPr="00D45B1A">
        <w:t xml:space="preserve">ardiac </w:t>
      </w:r>
      <w:r w:rsidR="0068166A">
        <w:t>c</w:t>
      </w:r>
      <w:r w:rsidRPr="00D45B1A">
        <w:t xml:space="preserve">atheter </w:t>
      </w:r>
      <w:r w:rsidR="0068166A">
        <w:t>s</w:t>
      </w:r>
      <w:r w:rsidRPr="00D45B1A">
        <w:t xml:space="preserve">uite. The relevant SPS </w:t>
      </w:r>
      <w:r w:rsidR="0068166A">
        <w:t>c</w:t>
      </w:r>
      <w:r w:rsidRPr="00D45B1A">
        <w:t xml:space="preserve">ost </w:t>
      </w:r>
      <w:r w:rsidR="0068166A">
        <w:t>c</w:t>
      </w:r>
      <w:r w:rsidRPr="00D45B1A">
        <w:t xml:space="preserve">entre </w:t>
      </w:r>
      <w:r w:rsidR="0068166A">
        <w:t>m</w:t>
      </w:r>
      <w:r w:rsidRPr="00D45B1A">
        <w:t xml:space="preserve">anagers should also be met with. The </w:t>
      </w:r>
      <w:r w:rsidR="007F1AC6">
        <w:t>f</w:t>
      </w:r>
      <w:r w:rsidRPr="00D45B1A">
        <w:t xml:space="preserve">inance </w:t>
      </w:r>
      <w:r w:rsidR="008A2B19">
        <w:t>d</w:t>
      </w:r>
      <w:r w:rsidRPr="00D45B1A">
        <w:t>epartment should be able to assist with providing the contact details for these staff.</w:t>
      </w:r>
    </w:p>
    <w:p w14:paraId="68D63BCE" w14:textId="30B20546" w:rsidR="00C27FB2" w:rsidRPr="00D45B1A" w:rsidRDefault="00C27FB2" w:rsidP="004738A8">
      <w:pPr>
        <w:pStyle w:val="Level3"/>
      </w:pPr>
      <w:r w:rsidRPr="00D45B1A">
        <w:t>In some hospitals, expenses associated with an SPS may not be discrete and may fall within an OR cost centre (</w:t>
      </w:r>
      <w:r w:rsidR="0068166A">
        <w:t>for example</w:t>
      </w:r>
      <w:r w:rsidRPr="00D45B1A">
        <w:t xml:space="preserve">, </w:t>
      </w:r>
      <w:r w:rsidR="0068166A">
        <w:t>e</w:t>
      </w:r>
      <w:r w:rsidRPr="00D45B1A">
        <w:t>ndoscopy). In this case, costing practitioners should seek to meet with the appropriate stakeholders within the OR, as described above.</w:t>
      </w:r>
    </w:p>
    <w:p w14:paraId="68D63BCF" w14:textId="106FD64B" w:rsidR="00C27FB2" w:rsidRPr="00D45B1A" w:rsidRDefault="00C27FB2" w:rsidP="004738A8">
      <w:pPr>
        <w:pStyle w:val="Level3"/>
      </w:pPr>
      <w:r w:rsidRPr="00D45B1A">
        <w:t xml:space="preserve">The agenda of these meetings should include an overview to the operation of the OR or SPS. This information is required to understand the configuration of these areas. This insight should enable further detail to be gathered such as the expense that is reported within and across the OR or SPS and the associated activity within its configuration. The meeting should also discuss the available feeder systems and the data within (for example, some hospitals may have feeder systems used in the OR or SPS that capture prosthesis or other consumable utilisation per procedure); the most appropriate way to allocate expenses and the RVUs that should apply to different intermediate products (see Step 4 and 5 below). </w:t>
      </w:r>
    </w:p>
    <w:p w14:paraId="68D63BD0" w14:textId="25500979" w:rsidR="00C27FB2" w:rsidRPr="00D45B1A" w:rsidRDefault="00C27FB2" w:rsidP="00205822">
      <w:pPr>
        <w:pStyle w:val="Level3Heading"/>
      </w:pPr>
      <w:r w:rsidRPr="00D45B1A">
        <w:t>Step 2</w:t>
      </w:r>
      <w:r w:rsidR="00EB4353">
        <w:t>:</w:t>
      </w:r>
      <w:r w:rsidRPr="00D45B1A">
        <w:t xml:space="preserve"> Align</w:t>
      </w:r>
      <w:r w:rsidR="004738A8" w:rsidRPr="00D45B1A">
        <w:t xml:space="preserve"> expense to the </w:t>
      </w:r>
      <w:r w:rsidR="0068166A" w:rsidRPr="0068166A">
        <w:t>operating room</w:t>
      </w:r>
      <w:r w:rsidR="004738A8" w:rsidRPr="00D45B1A">
        <w:t xml:space="preserve"> or </w:t>
      </w:r>
      <w:r w:rsidR="0068166A" w:rsidRPr="0068166A">
        <w:t>special procedure suites</w:t>
      </w:r>
      <w:r w:rsidR="004738A8" w:rsidRPr="00D45B1A">
        <w:t xml:space="preserve"> service and define overhead and direct </w:t>
      </w:r>
      <w:r w:rsidR="004738A8">
        <w:t>e</w:t>
      </w:r>
      <w:r w:rsidR="004738A8" w:rsidRPr="00D45B1A">
        <w:t xml:space="preserve">xpenses, including overhead allocation methods </w:t>
      </w:r>
    </w:p>
    <w:p w14:paraId="68D63BD1" w14:textId="77777777" w:rsidR="00C27FB2" w:rsidRPr="00D45B1A" w:rsidRDefault="00C27FB2" w:rsidP="004738A8">
      <w:pPr>
        <w:pStyle w:val="Level3"/>
      </w:pPr>
      <w:r w:rsidRPr="00D45B1A">
        <w:t>Costing practitioners should work with OR and SPS stakeholders to define the expenses within the OR and SPS that relate to final products. This includes obtaining agreement on the cost centres to map to OR and SPS for costing purposes in the costing software.</w:t>
      </w:r>
    </w:p>
    <w:p w14:paraId="68D63BD2" w14:textId="1EAADCD1" w:rsidR="00C27FB2" w:rsidRPr="00D45B1A" w:rsidRDefault="00C27FB2" w:rsidP="004738A8">
      <w:pPr>
        <w:pStyle w:val="Level3"/>
      </w:pPr>
      <w:r w:rsidRPr="00927F40">
        <w:t xml:space="preserve">Align </w:t>
      </w:r>
      <w:r w:rsidR="0068166A">
        <w:t>e</w:t>
      </w:r>
      <w:r w:rsidRPr="00927F40">
        <w:t xml:space="preserve">xpenses to </w:t>
      </w:r>
      <w:r w:rsidR="0068166A">
        <w:t>f</w:t>
      </w:r>
      <w:r w:rsidRPr="00927F40">
        <w:t xml:space="preserve">inal </w:t>
      </w:r>
      <w:r w:rsidR="0068166A">
        <w:t>c</w:t>
      </w:r>
      <w:r w:rsidRPr="00927F40">
        <w:t xml:space="preserve">ost </w:t>
      </w:r>
      <w:r w:rsidR="0068166A">
        <w:t>c</w:t>
      </w:r>
      <w:r w:rsidRPr="00927F40">
        <w:t>entres</w:t>
      </w:r>
      <w:r w:rsidRPr="00D45B1A">
        <w:rPr>
          <w:i/>
        </w:rPr>
        <w:t xml:space="preserve"> –</w:t>
      </w:r>
      <w:r w:rsidRPr="00D45B1A">
        <w:t xml:space="preserve"> </w:t>
      </w:r>
      <w:r w:rsidR="0068166A">
        <w:t>w</w:t>
      </w:r>
      <w:r w:rsidRPr="00D45B1A">
        <w:t>here the general ledger has consolidated expenses for both OR and SPS within the one cost centre, costing practitioners should also work with the OR and SPS stakeholders to define and agree on the methods and assumptions to be used (for example, staff rosters, timesheets or other relevant data) to transfer expenses to other intermediate products.</w:t>
      </w:r>
    </w:p>
    <w:p w14:paraId="68D63BD3" w14:textId="77777777" w:rsidR="00C27FB2" w:rsidRPr="00D45B1A" w:rsidRDefault="00C27FB2" w:rsidP="004738A8">
      <w:pPr>
        <w:pStyle w:val="Level3"/>
      </w:pPr>
      <w:r w:rsidRPr="00D45B1A">
        <w:t>Costing practitioners should then (within the patient costing system) use stakeholder insights to move expenses appropriately between the OR and SPS.</w:t>
      </w:r>
    </w:p>
    <w:p w14:paraId="68D63BD4" w14:textId="7117AC40" w:rsidR="00C27FB2" w:rsidRPr="00D45B1A" w:rsidRDefault="00C27FB2" w:rsidP="004738A8">
      <w:pPr>
        <w:pStyle w:val="Level3"/>
      </w:pPr>
      <w:r w:rsidRPr="00927F40">
        <w:t xml:space="preserve">Record </w:t>
      </w:r>
      <w:r w:rsidR="0068166A">
        <w:t>e</w:t>
      </w:r>
      <w:r w:rsidRPr="00927F40">
        <w:t xml:space="preserve">xpense </w:t>
      </w:r>
      <w:r w:rsidR="0068166A">
        <w:t>a</w:t>
      </w:r>
      <w:r w:rsidRPr="00927F40">
        <w:t xml:space="preserve">lignment </w:t>
      </w:r>
      <w:r w:rsidR="0068166A">
        <w:t>d</w:t>
      </w:r>
      <w:r w:rsidRPr="00927F40">
        <w:t>ecisions</w:t>
      </w:r>
      <w:r w:rsidRPr="00D45B1A">
        <w:rPr>
          <w:i/>
        </w:rPr>
        <w:t xml:space="preserve"> – </w:t>
      </w:r>
      <w:r w:rsidR="0068166A">
        <w:t>c</w:t>
      </w:r>
      <w:r w:rsidRPr="00D45B1A">
        <w:t xml:space="preserve">osting practitioners should utilise the costing system or another medium to record: </w:t>
      </w:r>
    </w:p>
    <w:p w14:paraId="1CAFFA72" w14:textId="343805E4" w:rsidR="001B41F4" w:rsidRDefault="001B41F4" w:rsidP="00A27C5B">
      <w:pPr>
        <w:pStyle w:val="ListBullet"/>
        <w:spacing w:after="120"/>
      </w:pPr>
      <w:r w:rsidRPr="00D45B1A">
        <w:lastRenderedPageBreak/>
        <w:t>a date for future review of OR and SPS expense alignment</w:t>
      </w:r>
    </w:p>
    <w:p w14:paraId="68D63BD5" w14:textId="2CDA0B30" w:rsidR="00C27FB2" w:rsidRDefault="00C27FB2" w:rsidP="00A27C5B">
      <w:pPr>
        <w:pStyle w:val="ListBullet"/>
        <w:spacing w:after="120"/>
      </w:pPr>
      <w:r w:rsidRPr="00D45B1A">
        <w:t>the classification of OR and SPS expenses into the</w:t>
      </w:r>
      <w:r w:rsidR="00225456">
        <w:t xml:space="preserve"> OR and SPS final cost centres</w:t>
      </w:r>
    </w:p>
    <w:p w14:paraId="43EC0375" w14:textId="6446D25E" w:rsidR="001B41F4" w:rsidRPr="00D45B1A" w:rsidRDefault="001B41F4" w:rsidP="00A27C5B">
      <w:pPr>
        <w:pStyle w:val="ListBullet"/>
        <w:spacing w:after="120"/>
      </w:pPr>
      <w:r>
        <w:t>the date of the meeting</w:t>
      </w:r>
    </w:p>
    <w:p w14:paraId="68D63BD6" w14:textId="00B18EB9" w:rsidR="00C27FB2" w:rsidRPr="00D45B1A" w:rsidRDefault="00C27FB2" w:rsidP="00A27C5B">
      <w:pPr>
        <w:pStyle w:val="ListBullet"/>
        <w:spacing w:after="120"/>
      </w:pPr>
      <w:r w:rsidRPr="00D45B1A">
        <w:t xml:space="preserve">the stakeholders </w:t>
      </w:r>
      <w:r w:rsidR="00225456">
        <w:t>who they met with</w:t>
      </w:r>
      <w:r w:rsidR="001B41F4">
        <w:t>.</w:t>
      </w:r>
    </w:p>
    <w:p w14:paraId="68D63BD9" w14:textId="6CEAA183" w:rsidR="00C27FB2" w:rsidRPr="00D45B1A" w:rsidRDefault="00C27FB2" w:rsidP="000A3393">
      <w:pPr>
        <w:pStyle w:val="Level3Heading"/>
      </w:pPr>
      <w:r w:rsidRPr="00D45B1A">
        <w:t>Step 3</w:t>
      </w:r>
      <w:r w:rsidR="00EB4353">
        <w:t>:</w:t>
      </w:r>
      <w:r w:rsidRPr="00D45B1A">
        <w:t xml:space="preserve"> Ident</w:t>
      </w:r>
      <w:r w:rsidR="004738A8" w:rsidRPr="00D45B1A">
        <w:t xml:space="preserve">ify patient level activity and </w:t>
      </w:r>
      <w:r w:rsidR="0068166A" w:rsidRPr="0068166A">
        <w:t>operating room</w:t>
      </w:r>
      <w:r w:rsidR="0068166A" w:rsidRPr="00D45B1A">
        <w:t xml:space="preserve"> or </w:t>
      </w:r>
      <w:r w:rsidR="0068166A" w:rsidRPr="0068166A">
        <w:t>special procedure suites</w:t>
      </w:r>
      <w:r w:rsidRPr="00D45B1A">
        <w:t xml:space="preserve"> </w:t>
      </w:r>
      <w:r w:rsidR="00D05D7A">
        <w:t>feeder data and perform quality assurance checks</w:t>
      </w:r>
      <w:r w:rsidRPr="00D45B1A">
        <w:t xml:space="preserve"> </w:t>
      </w:r>
    </w:p>
    <w:p w14:paraId="68D63BDA" w14:textId="77777777" w:rsidR="00C27FB2" w:rsidRPr="00D45B1A" w:rsidRDefault="00C27FB2" w:rsidP="004738A8">
      <w:pPr>
        <w:pStyle w:val="Level3"/>
      </w:pPr>
      <w:r w:rsidRPr="00D45B1A">
        <w:t xml:space="preserve">Ideally, the OR and SPS feeder system will include some or all of the following fields: </w:t>
      </w:r>
    </w:p>
    <w:p w14:paraId="6399EB34" w14:textId="34EE67B7" w:rsidR="001B41F4" w:rsidRPr="00D45B1A" w:rsidRDefault="001B41F4" w:rsidP="00A27C5B">
      <w:pPr>
        <w:pStyle w:val="ListBullet"/>
        <w:spacing w:after="120"/>
      </w:pPr>
      <w:r>
        <w:t>p</w:t>
      </w:r>
      <w:r w:rsidRPr="00D45B1A">
        <w:t>rosthesis or consumable code</w:t>
      </w:r>
    </w:p>
    <w:p w14:paraId="5006BEA6" w14:textId="09B66AB9" w:rsidR="001B41F4" w:rsidRDefault="001B41F4" w:rsidP="00A27C5B">
      <w:pPr>
        <w:pStyle w:val="ListBullet"/>
        <w:spacing w:after="120"/>
      </w:pPr>
      <w:r>
        <w:t>surgeon code</w:t>
      </w:r>
    </w:p>
    <w:p w14:paraId="68D63BDB" w14:textId="2724F639" w:rsidR="00C27FB2" w:rsidRPr="00D45B1A" w:rsidRDefault="00C27FB2" w:rsidP="00A27C5B">
      <w:pPr>
        <w:pStyle w:val="ListBullet"/>
        <w:spacing w:after="120"/>
      </w:pPr>
      <w:r w:rsidRPr="00D45B1A">
        <w:t xml:space="preserve">the patient’s unique </w:t>
      </w:r>
      <w:r w:rsidR="002E230A">
        <w:t>identifier</w:t>
      </w:r>
    </w:p>
    <w:p w14:paraId="68D63BDC" w14:textId="4BD78C73" w:rsidR="00C27FB2" w:rsidRPr="00D45B1A" w:rsidRDefault="00C27FB2" w:rsidP="00A27C5B">
      <w:pPr>
        <w:pStyle w:val="ListBullet"/>
        <w:spacing w:after="120"/>
      </w:pPr>
      <w:r w:rsidRPr="00D45B1A">
        <w:t>the pat</w:t>
      </w:r>
      <w:r w:rsidR="00225456">
        <w:t>ient unique episode identifier</w:t>
      </w:r>
    </w:p>
    <w:p w14:paraId="68D63BDD" w14:textId="316C5285" w:rsidR="00C27FB2" w:rsidRPr="00D45B1A" w:rsidRDefault="00C27FB2" w:rsidP="00A27C5B">
      <w:pPr>
        <w:pStyle w:val="ListBullet"/>
        <w:spacing w:after="120"/>
      </w:pPr>
      <w:r w:rsidRPr="00D45B1A">
        <w:t xml:space="preserve">unit code (for example, </w:t>
      </w:r>
      <w:r w:rsidR="0068166A">
        <w:t>t</w:t>
      </w:r>
      <w:r w:rsidRPr="00D45B1A">
        <w:t xml:space="preserve">heatre </w:t>
      </w:r>
      <w:r w:rsidR="0068166A">
        <w:t>one</w:t>
      </w:r>
      <w:r w:rsidRPr="00D45B1A">
        <w:t xml:space="preserve">, </w:t>
      </w:r>
      <w:r w:rsidR="0068166A">
        <w:t>t</w:t>
      </w:r>
      <w:r w:rsidRPr="00D45B1A">
        <w:t xml:space="preserve">heatre </w:t>
      </w:r>
      <w:r w:rsidR="0068166A">
        <w:t>two</w:t>
      </w:r>
      <w:r w:rsidRPr="00D45B1A">
        <w:t xml:space="preserve">, </w:t>
      </w:r>
      <w:r w:rsidR="0068166A">
        <w:t>e</w:t>
      </w:r>
      <w:r w:rsidRPr="00D45B1A">
        <w:t>ndo</w:t>
      </w:r>
      <w:r w:rsidR="00225456">
        <w:t xml:space="preserve">scopy, </w:t>
      </w:r>
      <w:r w:rsidR="0068166A">
        <w:t>c</w:t>
      </w:r>
      <w:r w:rsidR="00225456">
        <w:t xml:space="preserve">ardiac </w:t>
      </w:r>
      <w:r w:rsidR="0068166A">
        <w:t>c</w:t>
      </w:r>
      <w:r w:rsidR="00225456">
        <w:t xml:space="preserve">atheter </w:t>
      </w:r>
      <w:r w:rsidR="0068166A">
        <w:t>s</w:t>
      </w:r>
      <w:r w:rsidR="00225456">
        <w:t>uite)</w:t>
      </w:r>
    </w:p>
    <w:p w14:paraId="68D63BDE" w14:textId="78F40A66" w:rsidR="00C27FB2" w:rsidRPr="00D45B1A" w:rsidRDefault="00C27FB2" w:rsidP="00A27C5B">
      <w:pPr>
        <w:pStyle w:val="ListBullet"/>
        <w:spacing w:after="120"/>
      </w:pPr>
      <w:r w:rsidRPr="00D45B1A">
        <w:t xml:space="preserve">the date of service </w:t>
      </w:r>
    </w:p>
    <w:p w14:paraId="68D63BDF" w14:textId="519CC56D" w:rsidR="00C27FB2" w:rsidRPr="00D45B1A" w:rsidRDefault="00C27FB2" w:rsidP="00A27C5B">
      <w:pPr>
        <w:pStyle w:val="ListBullet"/>
        <w:spacing w:after="120"/>
      </w:pPr>
      <w:r w:rsidRPr="00D45B1A">
        <w:t>the time into and out of the unit (including pre operation, skin to skin and recovery times, anaesthesia start and fin</w:t>
      </w:r>
      <w:r w:rsidR="00225456">
        <w:t>ish time, anaesthesia type)</w:t>
      </w:r>
      <w:r w:rsidR="001B41F4">
        <w:t>.</w:t>
      </w:r>
    </w:p>
    <w:p w14:paraId="68D63BE2" w14:textId="77777777" w:rsidR="00C27FB2" w:rsidRPr="00D45B1A" w:rsidRDefault="00C27FB2" w:rsidP="004738A8">
      <w:pPr>
        <w:pStyle w:val="Level3"/>
      </w:pPr>
      <w:r w:rsidRPr="00D45B1A">
        <w:t>Where hospitals have feeder systems that measure prosthesis or consumable consumption at the patient level, these feeder systems will ideally include the following fields:</w:t>
      </w:r>
    </w:p>
    <w:p w14:paraId="5CD4EBAF" w14:textId="15DEF7C2" w:rsidR="001B41F4" w:rsidRDefault="001B41F4" w:rsidP="00A27C5B">
      <w:pPr>
        <w:pStyle w:val="ListBullet"/>
        <w:spacing w:after="120"/>
      </w:pPr>
      <w:r>
        <w:t>the date of service</w:t>
      </w:r>
    </w:p>
    <w:p w14:paraId="68D63BE3" w14:textId="017411A1" w:rsidR="00C27FB2" w:rsidRPr="00D45B1A" w:rsidRDefault="00C27FB2" w:rsidP="00A27C5B">
      <w:pPr>
        <w:pStyle w:val="ListBullet"/>
        <w:spacing w:after="120"/>
      </w:pPr>
      <w:r w:rsidRPr="00D45B1A">
        <w:t xml:space="preserve">the patient’s unique </w:t>
      </w:r>
      <w:r w:rsidR="002E230A">
        <w:t>identifier</w:t>
      </w:r>
    </w:p>
    <w:p w14:paraId="68D63BE4" w14:textId="3598EB8E" w:rsidR="00C27FB2" w:rsidRPr="00D45B1A" w:rsidRDefault="00C27FB2" w:rsidP="00A27C5B">
      <w:pPr>
        <w:pStyle w:val="ListBullet"/>
        <w:spacing w:after="120"/>
      </w:pPr>
      <w:r w:rsidRPr="00D45B1A">
        <w:t>the pati</w:t>
      </w:r>
      <w:r w:rsidR="00225456">
        <w:t>ent’s unique episode identifier</w:t>
      </w:r>
    </w:p>
    <w:p w14:paraId="68D63BE5" w14:textId="29D70A83" w:rsidR="00C27FB2" w:rsidRPr="00D45B1A" w:rsidRDefault="00C27FB2" w:rsidP="00A27C5B">
      <w:pPr>
        <w:pStyle w:val="ListBullet"/>
        <w:spacing w:after="120"/>
      </w:pPr>
      <w:r w:rsidRPr="00D45B1A">
        <w:t xml:space="preserve">the prosthesis or </w:t>
      </w:r>
      <w:r w:rsidR="00225456">
        <w:t>consumable code and description</w:t>
      </w:r>
    </w:p>
    <w:p w14:paraId="68D63BE6" w14:textId="450DDD73" w:rsidR="00C27FB2" w:rsidRPr="00D45B1A" w:rsidRDefault="00C27FB2" w:rsidP="00A27C5B">
      <w:pPr>
        <w:pStyle w:val="ListBullet"/>
        <w:spacing w:after="120"/>
      </w:pPr>
      <w:r w:rsidRPr="00D45B1A">
        <w:t>the pro</w:t>
      </w:r>
      <w:r w:rsidR="00225456">
        <w:t>sthesis or consumable price</w:t>
      </w:r>
      <w:r w:rsidR="001B41F4">
        <w:t>.</w:t>
      </w:r>
    </w:p>
    <w:p w14:paraId="68D63BE8" w14:textId="77777777" w:rsidR="00C27FB2" w:rsidRPr="00D45B1A" w:rsidRDefault="00C27FB2" w:rsidP="004738A8">
      <w:pPr>
        <w:pStyle w:val="Level3"/>
      </w:pPr>
      <w:r w:rsidRPr="00D45B1A">
        <w:t>Costing practitioners should perform quality assurance checks on the OR and SPS files prior to the costing process. For example, checks should be made on:</w:t>
      </w:r>
    </w:p>
    <w:p w14:paraId="4346A4B6" w14:textId="19F50336" w:rsidR="001B41F4" w:rsidRDefault="001B41F4" w:rsidP="00A27C5B">
      <w:pPr>
        <w:pStyle w:val="ListBullet"/>
        <w:spacing w:after="120"/>
      </w:pPr>
      <w:r>
        <w:t>surgeon codes</w:t>
      </w:r>
    </w:p>
    <w:p w14:paraId="68D63BE9" w14:textId="0DFD237A" w:rsidR="00C27FB2" w:rsidRPr="00D45B1A" w:rsidRDefault="00C27FB2" w:rsidP="00A27C5B">
      <w:pPr>
        <w:pStyle w:val="ListBullet"/>
        <w:spacing w:after="120"/>
      </w:pPr>
      <w:r w:rsidRPr="00D45B1A">
        <w:t>the date of service (check error date</w:t>
      </w:r>
      <w:r w:rsidR="00225456">
        <w:t>s, relevancy to costing period)</w:t>
      </w:r>
    </w:p>
    <w:p w14:paraId="68D63BEA" w14:textId="7010411E" w:rsidR="00C27FB2" w:rsidRPr="00D45B1A" w:rsidRDefault="00C27FB2" w:rsidP="00A27C5B">
      <w:pPr>
        <w:pStyle w:val="ListBullet"/>
        <w:spacing w:after="120"/>
      </w:pPr>
      <w:r w:rsidRPr="00D45B1A">
        <w:t xml:space="preserve">time into and out of the OR or SPS (check for negative values – </w:t>
      </w:r>
      <w:r w:rsidR="0068166A">
        <w:t>that is</w:t>
      </w:r>
      <w:r w:rsidRPr="00D45B1A">
        <w:t>, where start time is after finish time)</w:t>
      </w:r>
      <w:r w:rsidR="001B41F4">
        <w:t>.</w:t>
      </w:r>
    </w:p>
    <w:p w14:paraId="68D63BEC" w14:textId="28FA13C6" w:rsidR="00C27FB2" w:rsidRPr="00D45B1A" w:rsidRDefault="00C27FB2" w:rsidP="000A3393">
      <w:pPr>
        <w:pStyle w:val="Level3Heading"/>
      </w:pPr>
      <w:r w:rsidRPr="00D45B1A">
        <w:t>Step 4</w:t>
      </w:r>
      <w:r w:rsidR="00EB4353">
        <w:t>:</w:t>
      </w:r>
      <w:r w:rsidRPr="00D45B1A">
        <w:t xml:space="preserve"> </w:t>
      </w:r>
      <w:r w:rsidR="00D05D7A">
        <w:t>Creating and mapping</w:t>
      </w:r>
      <w:r w:rsidRPr="00D45B1A">
        <w:t xml:space="preserve"> </w:t>
      </w:r>
      <w:r w:rsidR="0068166A" w:rsidRPr="0068166A">
        <w:t>operating room</w:t>
      </w:r>
      <w:r w:rsidR="0068166A" w:rsidRPr="00D45B1A">
        <w:t xml:space="preserve"> or </w:t>
      </w:r>
      <w:r w:rsidR="0068166A" w:rsidRPr="0068166A">
        <w:t>special procedure suites</w:t>
      </w:r>
      <w:r w:rsidRPr="00D45B1A">
        <w:t xml:space="preserve"> </w:t>
      </w:r>
      <w:r w:rsidR="00D05D7A">
        <w:t>costing products or intermediate products</w:t>
      </w:r>
    </w:p>
    <w:p w14:paraId="68D63BED" w14:textId="1CD54D00" w:rsidR="00C27FB2" w:rsidRPr="00D45B1A" w:rsidRDefault="00C27FB2" w:rsidP="004738A8">
      <w:pPr>
        <w:pStyle w:val="Level3"/>
      </w:pPr>
      <w:r w:rsidRPr="00D45B1A">
        <w:t xml:space="preserve">With the exception of prosthesis (which generally uses the traceable cost </w:t>
      </w:r>
      <w:r w:rsidR="0068166A">
        <w:t>that is,</w:t>
      </w:r>
      <w:r w:rsidRPr="00D45B1A">
        <w:t xml:space="preserve"> the actual charge), the most widely used method for allocating OR and SPS expenses to patients includes the use of the procedure duration, which may also be combined with a Relative Value Unit (RVU). Where hospitals have feeder systems that capture consumable utilisation </w:t>
      </w:r>
      <w:r w:rsidRPr="00D45B1A">
        <w:lastRenderedPageBreak/>
        <w:t>by procedure, this information can be used to allocate consumable costs within the OR or SPS.</w:t>
      </w:r>
    </w:p>
    <w:p w14:paraId="68D63BEE" w14:textId="3DF7CA13" w:rsidR="00C27FB2" w:rsidRPr="00D45B1A" w:rsidRDefault="00C27FB2" w:rsidP="004738A8">
      <w:pPr>
        <w:pStyle w:val="Level3"/>
      </w:pPr>
      <w:r w:rsidRPr="00D45B1A">
        <w:t xml:space="preserve">Depending on the fields available in the OR or SPS feeder systems, a number of products can be created and used within an OR, including products for medical and nursing </w:t>
      </w:r>
      <w:r w:rsidR="00E33A9B">
        <w:t>a</w:t>
      </w:r>
      <w:r w:rsidRPr="00D45B1A">
        <w:t>naesthesia (where these expenses are located with the OR cost centre); surgical procedure products; recovery products and consumable products. Usually, the product will include the procedure code and the unit code.</w:t>
      </w:r>
    </w:p>
    <w:p w14:paraId="68D63BEF" w14:textId="0210AA14" w:rsidR="00C27FB2" w:rsidRPr="00D45B1A" w:rsidRDefault="00C27FB2" w:rsidP="004738A8">
      <w:pPr>
        <w:pStyle w:val="Level3"/>
      </w:pPr>
      <w:r w:rsidRPr="00D45B1A">
        <w:t>If feeder systems are available that measure prosthesis or consumable utilisation, products will need to be created in the costing system and mapped to the relevant final cost centre (</w:t>
      </w:r>
      <w:r w:rsidR="00E33A9B">
        <w:t>that is</w:t>
      </w:r>
      <w:r w:rsidRPr="00D45B1A">
        <w:t>, OR or SPS). Where such data is available, products may resemble the code of the prosthesis or consumables.</w:t>
      </w:r>
    </w:p>
    <w:p w14:paraId="68D63BF0" w14:textId="77777777" w:rsidR="00C27FB2" w:rsidRPr="00D45B1A" w:rsidRDefault="00C27FB2" w:rsidP="004738A8">
      <w:pPr>
        <w:pStyle w:val="Level3"/>
      </w:pPr>
      <w:r w:rsidRPr="00D45B1A">
        <w:t xml:space="preserve">Where prosthesis feeder systems are unavailable, the costing practitioner should consider constructing products, which utilise known prosthesis procedure codes. </w:t>
      </w:r>
    </w:p>
    <w:p w14:paraId="68D63BF1" w14:textId="791D4255" w:rsidR="00C27FB2" w:rsidRPr="00D45B1A" w:rsidRDefault="00C27FB2" w:rsidP="004738A8">
      <w:pPr>
        <w:pStyle w:val="Level3"/>
      </w:pPr>
      <w:r w:rsidRPr="00D45B1A">
        <w:t>Where OR and SPS products are created in the costing system, they will also need to be mapped to the relevant final cost centre (</w:t>
      </w:r>
      <w:r w:rsidR="00E33A9B">
        <w:t>that is</w:t>
      </w:r>
      <w:r w:rsidRPr="00D45B1A">
        <w:t xml:space="preserve">, OR or SPS). An example of such a product is: ‘OR1_ProcX’, where ‘OR1’ denotes </w:t>
      </w:r>
      <w:r w:rsidR="00E33A9B">
        <w:t>o</w:t>
      </w:r>
      <w:r w:rsidRPr="00D45B1A">
        <w:t xml:space="preserve">perating </w:t>
      </w:r>
      <w:r w:rsidR="00E33A9B">
        <w:t>t</w:t>
      </w:r>
      <w:r w:rsidRPr="00D45B1A">
        <w:t xml:space="preserve">heatre </w:t>
      </w:r>
      <w:r w:rsidR="00E33A9B">
        <w:t>one</w:t>
      </w:r>
      <w:r w:rsidRPr="00D45B1A">
        <w:t>, and is derived from the unit code field, and ‘ProcX’ is derived from the procedure category field of the OR or SPS feeder file. Once this product code is created, costing practitioners will be required to map this code in the costing system to the OR or SPS final cost centre.</w:t>
      </w:r>
    </w:p>
    <w:p w14:paraId="68D63BF2" w14:textId="6D805287" w:rsidR="00C27FB2" w:rsidRPr="00D45B1A" w:rsidRDefault="00C27FB2" w:rsidP="004738A8">
      <w:pPr>
        <w:pStyle w:val="Level3"/>
      </w:pPr>
      <w:r w:rsidRPr="00D45B1A">
        <w:t xml:space="preserve">Where SPS activity is captured within the OR feeder system, this may also include unit codes, (for example, ‘CCS’ for </w:t>
      </w:r>
      <w:r w:rsidR="00E33A9B">
        <w:t>c</w:t>
      </w:r>
      <w:r w:rsidRPr="00D45B1A">
        <w:t xml:space="preserve">ardiac </w:t>
      </w:r>
      <w:r w:rsidR="00E33A9B">
        <w:t>c</w:t>
      </w:r>
      <w:r w:rsidRPr="00D45B1A">
        <w:t xml:space="preserve">atheter </w:t>
      </w:r>
      <w:r w:rsidR="00E33A9B">
        <w:t>s</w:t>
      </w:r>
      <w:r w:rsidRPr="00D45B1A">
        <w:t>uite), that need to be mapped to the SPS final cost centre. In this case, costing practitioners should create a product for example ‘SPS_ProcX’ and map this product to the relevant SPS cost department in the costing system.</w:t>
      </w:r>
    </w:p>
    <w:p w14:paraId="68D63BF3" w14:textId="47B57D05" w:rsidR="00C27FB2" w:rsidRPr="00D45B1A" w:rsidRDefault="00C27FB2" w:rsidP="000A3393">
      <w:pPr>
        <w:pStyle w:val="Level3Heading"/>
      </w:pPr>
      <w:r w:rsidRPr="00D45B1A">
        <w:t>Step 5</w:t>
      </w:r>
      <w:r w:rsidR="00EB4353">
        <w:t>:</w:t>
      </w:r>
      <w:r w:rsidRPr="00D45B1A">
        <w:t xml:space="preserve"> Apply </w:t>
      </w:r>
      <w:r w:rsidR="00E867EF">
        <w:t>r</w:t>
      </w:r>
      <w:r w:rsidRPr="00D45B1A">
        <w:t xml:space="preserve">elative </w:t>
      </w:r>
      <w:r w:rsidR="00E867EF">
        <w:t>v</w:t>
      </w:r>
      <w:r w:rsidRPr="00D45B1A">
        <w:t xml:space="preserve">alue </w:t>
      </w:r>
      <w:r w:rsidR="00E867EF">
        <w:t>u</w:t>
      </w:r>
      <w:r w:rsidRPr="00D45B1A">
        <w:t xml:space="preserve">nits by </w:t>
      </w:r>
      <w:r w:rsidR="00E33A9B" w:rsidRPr="0068166A">
        <w:t>operating room</w:t>
      </w:r>
      <w:r w:rsidR="00E33A9B" w:rsidRPr="00D45B1A">
        <w:t xml:space="preserve"> or </w:t>
      </w:r>
      <w:r w:rsidR="00E33A9B" w:rsidRPr="0068166A">
        <w:t>special procedure suites</w:t>
      </w:r>
      <w:r w:rsidRPr="00D45B1A">
        <w:t xml:space="preserve"> </w:t>
      </w:r>
      <w:r w:rsidR="004738A8" w:rsidRPr="00D45B1A">
        <w:t>product</w:t>
      </w:r>
    </w:p>
    <w:p w14:paraId="68D63BF4" w14:textId="4000A2E0" w:rsidR="00C27FB2" w:rsidRPr="00D45B1A" w:rsidRDefault="00C27FB2" w:rsidP="004738A8">
      <w:pPr>
        <w:pStyle w:val="Level3"/>
      </w:pPr>
      <w:r w:rsidRPr="00D45B1A">
        <w:t>Procedure duration is usually the primary cost driver used to allocate the labour related expenses within an OR or SPS. Where the OR or SPS product uses duration to allocate cost, costing practitioners may also wish to assign RVUs to adjust the cost allocation to account for resource intensity.</w:t>
      </w:r>
    </w:p>
    <w:p w14:paraId="68D63BF5" w14:textId="77777777" w:rsidR="00C27FB2" w:rsidRPr="00D45B1A" w:rsidRDefault="00C27FB2" w:rsidP="004738A8">
      <w:pPr>
        <w:pStyle w:val="Level3"/>
      </w:pPr>
      <w:r w:rsidRPr="00D45B1A">
        <w:t xml:space="preserve">For example, some procedures in the OR or SPS may require more medical and nursing staff than others. The RVU for these products then becomes the average number of nursing and medical staff per procedure. Similarly, some procedures may require more consumables than others. </w:t>
      </w:r>
    </w:p>
    <w:p w14:paraId="68D63BF6" w14:textId="77777777" w:rsidR="00C27FB2" w:rsidRPr="00D45B1A" w:rsidRDefault="00C27FB2" w:rsidP="004738A8">
      <w:pPr>
        <w:pStyle w:val="Level3"/>
      </w:pPr>
      <w:r w:rsidRPr="00D45B1A">
        <w:t xml:space="preserve">These relative values should be determined in consultation with the OR and SPS stakeholders (see Step 1 above). It may be useful for RVU development for costing practitioners to provide a template which includes the list of OR and SPS procedures (sorted in order of volume) to stakeholders. </w:t>
      </w:r>
    </w:p>
    <w:p w14:paraId="256E63A0" w14:textId="393A0123" w:rsidR="00E867EF" w:rsidRPr="00D45B1A" w:rsidRDefault="00C27FB2" w:rsidP="00A27C5B">
      <w:pPr>
        <w:pStyle w:val="Level3"/>
      </w:pPr>
      <w:r w:rsidRPr="00D45B1A">
        <w:t xml:space="preserve">Where prosthesis feeder systems are available, the costing practitioner may consider using the prosthesis price (the traceable cost or actual charge) as the RVU. Where prosthesis feeder systems are unavailable, the costing practitioner may need to construct products based on known prosthesis procedure codes and may use RVUs based on the known </w:t>
      </w:r>
      <w:r w:rsidRPr="00D45B1A">
        <w:lastRenderedPageBreak/>
        <w:t xml:space="preserve">average cost per unit (as sourced from the material management department) or bands costing based on </w:t>
      </w:r>
      <w:r w:rsidR="00E33A9B" w:rsidRPr="00E33A9B">
        <w:t>Medicare Benefits Schedule</w:t>
      </w:r>
      <w:r w:rsidR="00E33A9B" w:rsidRPr="00E33A9B" w:rsidDel="00E33A9B">
        <w:t xml:space="preserve"> </w:t>
      </w:r>
      <w:r w:rsidRPr="00D45B1A">
        <w:t xml:space="preserve"> codes for like prosthetic against the nominated procedure codes.</w:t>
      </w:r>
    </w:p>
    <w:p w14:paraId="68D63BF8" w14:textId="77777777" w:rsidR="00C27FB2" w:rsidRPr="00D45B1A" w:rsidRDefault="00C27FB2" w:rsidP="000A3393">
      <w:pPr>
        <w:pStyle w:val="Level3Heading"/>
      </w:pPr>
      <w:r w:rsidRPr="00D45B1A">
        <w:t>Step 6</w:t>
      </w:r>
      <w:r w:rsidR="00EB4353">
        <w:t>:</w:t>
      </w:r>
      <w:r w:rsidRPr="00D45B1A">
        <w:t xml:space="preserve"> </w:t>
      </w:r>
      <w:r w:rsidR="00D05D7A">
        <w:t>Create intermediate product costs in final cost centres</w:t>
      </w:r>
    </w:p>
    <w:p w14:paraId="68D63BF9" w14:textId="77777777" w:rsidR="00630A4B" w:rsidRDefault="00630A4B" w:rsidP="004738A8">
      <w:pPr>
        <w:pStyle w:val="Level3"/>
      </w:pPr>
      <w:r>
        <w:t>Two allocation processes are performed:</w:t>
      </w:r>
    </w:p>
    <w:p w14:paraId="68D63BFA" w14:textId="5D8148CC" w:rsidR="00630A4B" w:rsidRPr="00D46BB1" w:rsidRDefault="00225456" w:rsidP="004738A8">
      <w:pPr>
        <w:pStyle w:val="ListBullet"/>
      </w:pPr>
      <w:r>
        <w:t>w</w:t>
      </w:r>
      <w:r w:rsidR="00630A4B" w:rsidRPr="00D46BB1">
        <w:t>hen overh</w:t>
      </w:r>
      <w:r w:rsidR="00D95C0E">
        <w:t>ead costs are allocated to the production cost c</w:t>
      </w:r>
      <w:r w:rsidR="00630A4B" w:rsidRPr="00D46BB1">
        <w:t>entre (using an appropriate allocation statistic)</w:t>
      </w:r>
    </w:p>
    <w:p w14:paraId="68D63BFB" w14:textId="4AA97940" w:rsidR="00630A4B" w:rsidRPr="00D46BB1" w:rsidRDefault="00225456" w:rsidP="004738A8">
      <w:pPr>
        <w:pStyle w:val="ListBullet"/>
      </w:pPr>
      <w:r>
        <w:t>w</w:t>
      </w:r>
      <w:r w:rsidR="00D95C0E">
        <w:t>hen the production cost c</w:t>
      </w:r>
      <w:r w:rsidR="00630A4B" w:rsidRPr="00D46BB1">
        <w:t>entre costs (overhead and direct) are allocated to the intermediate products.</w:t>
      </w:r>
    </w:p>
    <w:p w14:paraId="68D63BFC" w14:textId="77777777" w:rsidR="00C27FB2" w:rsidRPr="00D45B1A" w:rsidRDefault="00C27FB2" w:rsidP="000A3393">
      <w:pPr>
        <w:pStyle w:val="Level3Heading"/>
      </w:pPr>
      <w:r w:rsidRPr="00D45B1A">
        <w:t>Step 7</w:t>
      </w:r>
      <w:r w:rsidR="00EB4353">
        <w:t>:</w:t>
      </w:r>
      <w:r w:rsidR="00EB4353" w:rsidRPr="00D45B1A">
        <w:t xml:space="preserve"> </w:t>
      </w:r>
      <w:r w:rsidR="00D05D7A">
        <w:t>Match intermediate products and their costs to patient activity</w:t>
      </w:r>
    </w:p>
    <w:p w14:paraId="68D63BFD" w14:textId="7033D502" w:rsidR="00C27FB2" w:rsidRPr="00D45B1A" w:rsidRDefault="00C27FB2" w:rsidP="004738A8">
      <w:pPr>
        <w:pStyle w:val="Level3"/>
        <w:rPr>
          <w:b/>
        </w:rPr>
      </w:pPr>
      <w:r w:rsidRPr="00D45B1A">
        <w:t xml:space="preserve">Intermediate products from the OR </w:t>
      </w:r>
      <w:r w:rsidR="00E33A9B">
        <w:t xml:space="preserve">or </w:t>
      </w:r>
      <w:r w:rsidRPr="00D45B1A">
        <w:t>SPS will be matched to patient activity according to defined matching criteria</w:t>
      </w:r>
      <w:r w:rsidR="00813A5B">
        <w:t xml:space="preserve"> in accordance with Standard 2.2</w:t>
      </w:r>
      <w:r w:rsidRPr="00D45B1A">
        <w:t>. For example, for inpatients, the dates between the admission and discharge date will be used to find OR or SPS intermediate products for matching for patient activity</w:t>
      </w:r>
      <w:r w:rsidR="00A9497E">
        <w:t>.</w:t>
      </w:r>
    </w:p>
    <w:p w14:paraId="68D63BFE" w14:textId="77777777" w:rsidR="00C27FB2" w:rsidRPr="00D45B1A" w:rsidRDefault="00C27FB2" w:rsidP="000A3393">
      <w:pPr>
        <w:pStyle w:val="Level3Heading"/>
      </w:pPr>
      <w:r w:rsidRPr="00D45B1A">
        <w:t>Step 8</w:t>
      </w:r>
      <w:r w:rsidR="00EB4353">
        <w:t>:</w:t>
      </w:r>
      <w:r w:rsidR="00EB4353" w:rsidRPr="00D45B1A">
        <w:t xml:space="preserve"> </w:t>
      </w:r>
      <w:r w:rsidR="008A6B15">
        <w:t>Report costs</w:t>
      </w:r>
    </w:p>
    <w:p w14:paraId="68D63BFF" w14:textId="77777777" w:rsidR="00C27FB2" w:rsidRPr="00D45B1A" w:rsidRDefault="00C27FB2" w:rsidP="004738A8">
      <w:pPr>
        <w:pStyle w:val="Level3"/>
      </w:pPr>
      <w:r w:rsidRPr="00D45B1A">
        <w:t xml:space="preserve">Costing practitioners should then perform the required steps to </w:t>
      </w:r>
      <w:r w:rsidR="00116978">
        <w:t xml:space="preserve">consolidate and report </w:t>
      </w:r>
      <w:r w:rsidRPr="00D45B1A">
        <w:t>costs at encounter level</w:t>
      </w:r>
      <w:r w:rsidRPr="00D45B1A">
        <w:rPr>
          <w:i/>
        </w:rPr>
        <w:t>.</w:t>
      </w:r>
    </w:p>
    <w:p w14:paraId="68D63C00" w14:textId="2FD769F8" w:rsidR="00C27FB2" w:rsidRPr="00D45B1A" w:rsidRDefault="00C27FB2" w:rsidP="000A3393">
      <w:pPr>
        <w:pStyle w:val="Level3Heading"/>
      </w:pPr>
      <w:r w:rsidRPr="00D45B1A">
        <w:t>Step</w:t>
      </w:r>
      <w:r w:rsidR="00EB4353">
        <w:t xml:space="preserve"> </w:t>
      </w:r>
      <w:r w:rsidRPr="00D45B1A">
        <w:t>9</w:t>
      </w:r>
      <w:r w:rsidR="00EB4353">
        <w:t>:</w:t>
      </w:r>
      <w:r w:rsidR="00EB4353" w:rsidRPr="00D45B1A">
        <w:t xml:space="preserve"> </w:t>
      </w:r>
      <w:r w:rsidR="00D05D7A">
        <w:t>Cost data review with</w:t>
      </w:r>
      <w:r w:rsidRPr="00D45B1A">
        <w:t xml:space="preserve"> </w:t>
      </w:r>
      <w:r w:rsidR="00E33A9B" w:rsidRPr="0068166A">
        <w:t>operating room</w:t>
      </w:r>
      <w:r w:rsidR="00E33A9B" w:rsidRPr="00D45B1A">
        <w:t xml:space="preserve"> or </w:t>
      </w:r>
      <w:r w:rsidR="00E33A9B" w:rsidRPr="0068166A">
        <w:t>special procedure suites</w:t>
      </w:r>
      <w:r w:rsidRPr="00D45B1A">
        <w:t xml:space="preserve"> </w:t>
      </w:r>
      <w:r w:rsidR="00E33A9B">
        <w:t>s</w:t>
      </w:r>
      <w:r w:rsidRPr="00D45B1A">
        <w:t xml:space="preserve">takeholders </w:t>
      </w:r>
    </w:p>
    <w:p w14:paraId="68D63C01" w14:textId="77777777" w:rsidR="00C27FB2" w:rsidRPr="00D45B1A" w:rsidRDefault="00C27FB2" w:rsidP="004738A8">
      <w:pPr>
        <w:pStyle w:val="Level3"/>
      </w:pPr>
      <w:r w:rsidRPr="00D45B1A">
        <w:t>Costing practitioners should meet with their relevant OR and SPS stakeholders to report on costs calculated.</w:t>
      </w:r>
    </w:p>
    <w:p w14:paraId="68D63C02" w14:textId="77777777" w:rsidR="00C27FB2" w:rsidRPr="00D45B1A" w:rsidRDefault="00C27FB2" w:rsidP="004738A8">
      <w:pPr>
        <w:pStyle w:val="Level3"/>
      </w:pPr>
      <w:r w:rsidRPr="00D45B1A">
        <w:t>Cost data should be reviewed for, amongst other checks, cost relativity per product and resource completeness per episode to determine if the cost data captures resources that have been provided at encounter level.</w:t>
      </w:r>
      <w:r w:rsidRPr="00D45B1A">
        <w:br w:type="page"/>
      </w:r>
    </w:p>
    <w:p w14:paraId="68D63C03" w14:textId="76090989" w:rsidR="00C27FB2" w:rsidRPr="00D45B1A" w:rsidRDefault="00C27FB2" w:rsidP="00D97D20">
      <w:pPr>
        <w:pStyle w:val="Heading2"/>
      </w:pPr>
      <w:bookmarkStart w:id="17" w:name="_Toc478631938"/>
      <w:bookmarkStart w:id="18" w:name="_Toc480492970"/>
      <w:bookmarkStart w:id="19" w:name="_Toc80778497"/>
      <w:r w:rsidRPr="00D45B1A">
        <w:lastRenderedPageBreak/>
        <w:t xml:space="preserve">Teaching and </w:t>
      </w:r>
      <w:r w:rsidR="00E867EF">
        <w:t>T</w:t>
      </w:r>
      <w:r w:rsidRPr="00D45B1A">
        <w:t>raining</w:t>
      </w:r>
      <w:bookmarkEnd w:id="17"/>
      <w:bookmarkEnd w:id="18"/>
      <w:bookmarkEnd w:id="19"/>
    </w:p>
    <w:p w14:paraId="68D63C04" w14:textId="77777777" w:rsidR="00C27FB2" w:rsidRPr="00D45B1A" w:rsidRDefault="00C27FB2" w:rsidP="00897CD3">
      <w:pPr>
        <w:pStyle w:val="Heading3"/>
      </w:pPr>
      <w:r w:rsidRPr="00D45B1A">
        <w:t>Scope</w:t>
      </w:r>
    </w:p>
    <w:p w14:paraId="68D63C05" w14:textId="18A59ADA" w:rsidR="00C27FB2" w:rsidRPr="00D45B1A" w:rsidRDefault="00C27FB2" w:rsidP="004738A8">
      <w:pPr>
        <w:pStyle w:val="Level3"/>
      </w:pPr>
      <w:r w:rsidRPr="00D45B1A">
        <w:t>Th</w:t>
      </w:r>
      <w:r w:rsidR="00373793">
        <w:t>is</w:t>
      </w:r>
      <w:r w:rsidR="001B41F4">
        <w:t xml:space="preserve"> guideline </w:t>
      </w:r>
      <w:r w:rsidR="00061CAC">
        <w:t>outline</w:t>
      </w:r>
      <w:r w:rsidR="00373793">
        <w:t>s</w:t>
      </w:r>
      <w:r w:rsidR="00061CAC">
        <w:t xml:space="preserve"> how </w:t>
      </w:r>
      <w:r w:rsidRPr="00D45B1A">
        <w:t xml:space="preserve">to identify expenses relating to direct and indirect </w:t>
      </w:r>
      <w:r w:rsidR="00E33A9B">
        <w:t>t</w:t>
      </w:r>
      <w:r w:rsidRPr="00D45B1A">
        <w:t xml:space="preserve">eaching and </w:t>
      </w:r>
      <w:r w:rsidR="00E33A9B">
        <w:t>t</w:t>
      </w:r>
      <w:r w:rsidRPr="00D45B1A">
        <w:t>raining activities.</w:t>
      </w:r>
    </w:p>
    <w:p w14:paraId="68D63C06" w14:textId="78C24F67" w:rsidR="00C27FB2" w:rsidRPr="00D45B1A" w:rsidRDefault="00C27FB2" w:rsidP="004738A8">
      <w:pPr>
        <w:pStyle w:val="Level3"/>
      </w:pPr>
      <w:r w:rsidRPr="00D45B1A">
        <w:t>T</w:t>
      </w:r>
      <w:r w:rsidR="00373793">
        <w:t>his</w:t>
      </w:r>
      <w:r w:rsidR="001B41F4">
        <w:t xml:space="preserve"> guideline </w:t>
      </w:r>
      <w:r w:rsidRPr="00D45B1A">
        <w:t xml:space="preserve">also </w:t>
      </w:r>
      <w:r w:rsidR="00061CAC">
        <w:t>outlines an approach</w:t>
      </w:r>
      <w:r w:rsidRPr="00D45B1A">
        <w:t xml:space="preserve"> to cost </w:t>
      </w:r>
      <w:r w:rsidR="00E33A9B">
        <w:t>t</w:t>
      </w:r>
      <w:r w:rsidRPr="00D45B1A">
        <w:t xml:space="preserve">eaching and </w:t>
      </w:r>
      <w:r w:rsidR="00E33A9B">
        <w:t>t</w:t>
      </w:r>
      <w:r w:rsidRPr="00D45B1A">
        <w:t>raining products.</w:t>
      </w:r>
    </w:p>
    <w:p w14:paraId="68D63C07" w14:textId="77777777" w:rsidR="00C27FB2" w:rsidRPr="00D45B1A" w:rsidRDefault="00C27FB2" w:rsidP="00897CD3">
      <w:pPr>
        <w:pStyle w:val="Heading3"/>
      </w:pPr>
      <w:r w:rsidRPr="00D45B1A">
        <w:t>Objective</w:t>
      </w:r>
    </w:p>
    <w:p w14:paraId="68D63C08" w14:textId="2FA7139B" w:rsidR="00C27FB2" w:rsidRPr="00D45B1A" w:rsidRDefault="00C27FB2" w:rsidP="004738A8">
      <w:pPr>
        <w:pStyle w:val="Level3"/>
      </w:pPr>
      <w:r w:rsidRPr="00D45B1A">
        <w:t xml:space="preserve">To ensure that </w:t>
      </w:r>
      <w:r w:rsidR="00E33A9B">
        <w:t>t</w:t>
      </w:r>
      <w:r w:rsidRPr="00D45B1A">
        <w:t xml:space="preserve">eaching and </w:t>
      </w:r>
      <w:r w:rsidR="00E33A9B">
        <w:t>t</w:t>
      </w:r>
      <w:r w:rsidRPr="00D45B1A">
        <w:t xml:space="preserve">raining related expenses are identified and classified into product categories that sufficiently differentiate them from other products (such as </w:t>
      </w:r>
      <w:r w:rsidR="00E33A9B">
        <w:t>r</w:t>
      </w:r>
      <w:r w:rsidRPr="00D45B1A">
        <w:t>esearch).</w:t>
      </w:r>
    </w:p>
    <w:p w14:paraId="68D63C09" w14:textId="4049CA46" w:rsidR="00C27FB2" w:rsidRPr="00D45B1A" w:rsidRDefault="00C27FB2" w:rsidP="004738A8">
      <w:pPr>
        <w:pStyle w:val="Level3"/>
      </w:pPr>
      <w:r w:rsidRPr="00D45B1A">
        <w:t xml:space="preserve">To ensure that products which relate to </w:t>
      </w:r>
      <w:r w:rsidR="00E33A9B">
        <w:t>t</w:t>
      </w:r>
      <w:r w:rsidRPr="00D45B1A">
        <w:t xml:space="preserve">eaching and </w:t>
      </w:r>
      <w:r w:rsidR="00E33A9B">
        <w:t>t</w:t>
      </w:r>
      <w:r w:rsidRPr="00D45B1A">
        <w:t>raining include those expenses and activities that have occurred within the period and that they are correctly identified and appropriately allocated to final products.</w:t>
      </w:r>
    </w:p>
    <w:p w14:paraId="68D63C0A" w14:textId="69E1AFD3" w:rsidR="00C27FB2" w:rsidRPr="00D45B1A" w:rsidRDefault="00B63007" w:rsidP="00897CD3">
      <w:pPr>
        <w:pStyle w:val="Heading3"/>
      </w:pPr>
      <w:r>
        <w:t xml:space="preserve">Costing </w:t>
      </w:r>
      <w:r w:rsidR="00373793">
        <w:t>G</w:t>
      </w:r>
      <w:r>
        <w:t>uideline</w:t>
      </w:r>
    </w:p>
    <w:p w14:paraId="68D63C0B" w14:textId="77777777" w:rsidR="00C27FB2" w:rsidRPr="00D45B1A" w:rsidRDefault="00336AB2" w:rsidP="00897BF9">
      <w:pPr>
        <w:pStyle w:val="Level3Heading"/>
        <w:rPr>
          <w:lang w:eastAsia="ja-JP"/>
        </w:rPr>
      </w:pPr>
      <w:r>
        <w:rPr>
          <w:lang w:eastAsia="ja-JP"/>
        </w:rPr>
        <w:t>Step 1</w:t>
      </w:r>
      <w:r w:rsidR="00EB4353">
        <w:rPr>
          <w:lang w:eastAsia="ja-JP"/>
        </w:rPr>
        <w:t>:</w:t>
      </w:r>
      <w:r>
        <w:rPr>
          <w:lang w:eastAsia="ja-JP"/>
        </w:rPr>
        <w:t xml:space="preserve"> </w:t>
      </w:r>
      <w:r w:rsidR="00C27FB2" w:rsidRPr="00D45B1A">
        <w:rPr>
          <w:lang w:eastAsia="ja-JP"/>
        </w:rPr>
        <w:t xml:space="preserve">Direct </w:t>
      </w:r>
      <w:r w:rsidR="004738A8" w:rsidRPr="00D45B1A">
        <w:t>teaching</w:t>
      </w:r>
      <w:r w:rsidR="004738A8" w:rsidRPr="00D45B1A">
        <w:rPr>
          <w:lang w:eastAsia="ja-JP"/>
        </w:rPr>
        <w:t xml:space="preserve"> </w:t>
      </w:r>
      <w:r w:rsidR="00C27FB2" w:rsidRPr="00D45B1A">
        <w:rPr>
          <w:lang w:eastAsia="ja-JP"/>
        </w:rPr>
        <w:t xml:space="preserve">and </w:t>
      </w:r>
      <w:r w:rsidR="002E2E7F">
        <w:rPr>
          <w:lang w:eastAsia="ja-JP"/>
        </w:rPr>
        <w:t>t</w:t>
      </w:r>
      <w:r w:rsidR="00C27FB2" w:rsidRPr="00D45B1A">
        <w:rPr>
          <w:lang w:eastAsia="ja-JP"/>
        </w:rPr>
        <w:t xml:space="preserve">raining </w:t>
      </w:r>
      <w:r w:rsidR="002E2E7F">
        <w:rPr>
          <w:lang w:eastAsia="ja-JP"/>
        </w:rPr>
        <w:t>s</w:t>
      </w:r>
      <w:r w:rsidR="00C27FB2" w:rsidRPr="00D45B1A">
        <w:rPr>
          <w:lang w:eastAsia="ja-JP"/>
        </w:rPr>
        <w:t>cope</w:t>
      </w:r>
    </w:p>
    <w:p w14:paraId="68D63C0C" w14:textId="10A34867" w:rsidR="00C27FB2" w:rsidRPr="00D45B1A" w:rsidRDefault="00C27FB2" w:rsidP="004738A8">
      <w:pPr>
        <w:pStyle w:val="Level3"/>
      </w:pPr>
      <w:r w:rsidRPr="00D45B1A">
        <w:t xml:space="preserve">Expenses that relate to </w:t>
      </w:r>
      <w:r w:rsidR="00E33A9B">
        <w:t>r</w:t>
      </w:r>
      <w:r w:rsidRPr="00D45B1A">
        <w:t xml:space="preserve">esearch activity are not to be included in the cost of </w:t>
      </w:r>
      <w:r w:rsidR="00E33A9B">
        <w:t>t</w:t>
      </w:r>
      <w:r w:rsidRPr="00D45B1A">
        <w:t xml:space="preserve">eaching and </w:t>
      </w:r>
      <w:r w:rsidR="00E33A9B">
        <w:t>t</w:t>
      </w:r>
      <w:r w:rsidRPr="00D45B1A">
        <w:t>raining products.</w:t>
      </w:r>
    </w:p>
    <w:p w14:paraId="68D63C0D" w14:textId="76F437AB" w:rsidR="00C27FB2" w:rsidRPr="00D45B1A" w:rsidRDefault="00C27FB2" w:rsidP="004738A8">
      <w:pPr>
        <w:pStyle w:val="Level3"/>
      </w:pPr>
      <w:r w:rsidRPr="00D45B1A">
        <w:t xml:space="preserve">Expenses that relate to embedded </w:t>
      </w:r>
      <w:r w:rsidR="00E33A9B">
        <w:t>t</w:t>
      </w:r>
      <w:r w:rsidRPr="00D45B1A">
        <w:t xml:space="preserve">eaching and </w:t>
      </w:r>
      <w:r w:rsidR="00E33A9B">
        <w:t>t</w:t>
      </w:r>
      <w:r w:rsidRPr="00D45B1A">
        <w:t xml:space="preserve">raining activities are not considered economically feasible to measure. Embedded activities and their associated expenses are considered part of patient care and included within patient products. </w:t>
      </w:r>
    </w:p>
    <w:p w14:paraId="68D63C0E" w14:textId="77777777" w:rsidR="00C27FB2" w:rsidRPr="00D45B1A" w:rsidRDefault="00C27FB2" w:rsidP="004738A8">
      <w:pPr>
        <w:pStyle w:val="Level3"/>
      </w:pPr>
      <w:r w:rsidRPr="00D45B1A">
        <w:t xml:space="preserve">Direct and indirect activities and their associated expenses should be costed as a non-patient product. Costing practitioners should be aware that the primary resource consumed in the delivery of these activities is staff time. </w:t>
      </w:r>
    </w:p>
    <w:p w14:paraId="68D63C0F" w14:textId="77777777" w:rsidR="00C27FB2" w:rsidRPr="00D45B1A" w:rsidRDefault="00336AB2" w:rsidP="00897BF9">
      <w:pPr>
        <w:pStyle w:val="Level3Heading"/>
      </w:pPr>
      <w:r>
        <w:t>Step 2</w:t>
      </w:r>
      <w:r w:rsidR="00EB4353">
        <w:t xml:space="preserve">: </w:t>
      </w:r>
      <w:r w:rsidR="00C27FB2" w:rsidRPr="00D45B1A">
        <w:t xml:space="preserve">Create a </w:t>
      </w:r>
      <w:r w:rsidR="002E2E7F">
        <w:t>d</w:t>
      </w:r>
      <w:r w:rsidR="00C27FB2" w:rsidRPr="00D45B1A">
        <w:t xml:space="preserve">irect and </w:t>
      </w:r>
      <w:r w:rsidR="002E2E7F">
        <w:t>o</w:t>
      </w:r>
      <w:r w:rsidR="002E2E7F" w:rsidRPr="00D45B1A">
        <w:t xml:space="preserve">verhead </w:t>
      </w:r>
      <w:r w:rsidR="004738A8" w:rsidRPr="00D45B1A">
        <w:t xml:space="preserve">teaching </w:t>
      </w:r>
      <w:r w:rsidR="00C27FB2" w:rsidRPr="00D45B1A">
        <w:t xml:space="preserve">and </w:t>
      </w:r>
      <w:r w:rsidR="002E2E7F">
        <w:t>t</w:t>
      </w:r>
      <w:r w:rsidR="002E2E7F" w:rsidRPr="00D45B1A">
        <w:t xml:space="preserve">raining </w:t>
      </w:r>
      <w:r w:rsidR="002E2E7F">
        <w:t>f</w:t>
      </w:r>
      <w:r w:rsidR="00C27FB2" w:rsidRPr="00D45B1A">
        <w:t>inal cost centre</w:t>
      </w:r>
    </w:p>
    <w:p w14:paraId="68D63C10" w14:textId="6F698ED4" w:rsidR="00C27FB2" w:rsidRPr="00D45B1A" w:rsidRDefault="00C27FB2" w:rsidP="004738A8">
      <w:pPr>
        <w:pStyle w:val="Level3"/>
      </w:pPr>
      <w:r w:rsidRPr="00D45B1A">
        <w:t xml:space="preserve">Through consultation, costing practitioners must identify expenses that relate to direct and indirect </w:t>
      </w:r>
      <w:r w:rsidR="00E33A9B">
        <w:t>t</w:t>
      </w:r>
      <w:r w:rsidRPr="00D45B1A">
        <w:t xml:space="preserve">eaching and </w:t>
      </w:r>
      <w:r w:rsidR="00E33A9B">
        <w:t>t</w:t>
      </w:r>
      <w:r w:rsidRPr="00D45B1A">
        <w:t xml:space="preserve">raining activities. </w:t>
      </w:r>
    </w:p>
    <w:p w14:paraId="68D63C11" w14:textId="70608EA5" w:rsidR="00C27FB2" w:rsidRPr="00D45B1A" w:rsidRDefault="00C27FB2" w:rsidP="004738A8">
      <w:pPr>
        <w:pStyle w:val="Level3"/>
      </w:pPr>
      <w:r w:rsidRPr="00D45B1A">
        <w:t xml:space="preserve">Expenses, for direct and indirect </w:t>
      </w:r>
      <w:r w:rsidR="00E33A9B">
        <w:t>t</w:t>
      </w:r>
      <w:r w:rsidRPr="00D45B1A">
        <w:t xml:space="preserve">eaching and </w:t>
      </w:r>
      <w:r w:rsidR="00E33A9B">
        <w:t>t</w:t>
      </w:r>
      <w:r w:rsidRPr="00D45B1A">
        <w:t xml:space="preserve">raining activities provided by the hospital, should be grouped to discreet final cost centres within the costing system. These areas will accumulate expenses for direct and indirect </w:t>
      </w:r>
      <w:r w:rsidR="00E33A9B">
        <w:t>t</w:t>
      </w:r>
      <w:r w:rsidRPr="00D45B1A">
        <w:t xml:space="preserve">eaching and </w:t>
      </w:r>
      <w:r w:rsidR="00E33A9B">
        <w:t>t</w:t>
      </w:r>
      <w:r w:rsidRPr="00D45B1A">
        <w:t xml:space="preserve">raining activities respectively, including overhead expenses from the hospital as appropriate. </w:t>
      </w:r>
    </w:p>
    <w:p w14:paraId="68D63C12" w14:textId="77777777" w:rsidR="00C27FB2" w:rsidRPr="00D45B1A" w:rsidRDefault="00336AB2" w:rsidP="00897BF9">
      <w:pPr>
        <w:pStyle w:val="Level3Heading"/>
      </w:pPr>
      <w:r>
        <w:t>Step 3</w:t>
      </w:r>
      <w:r w:rsidR="00EB4353">
        <w:t>:</w:t>
      </w:r>
      <w:r>
        <w:t xml:space="preserve"> </w:t>
      </w:r>
      <w:r w:rsidR="00C27FB2" w:rsidRPr="00D45B1A">
        <w:t>Identify direct and indirec</w:t>
      </w:r>
      <w:r w:rsidR="004738A8" w:rsidRPr="00D45B1A">
        <w:t>t teaching and training ac</w:t>
      </w:r>
      <w:r w:rsidR="00C27FB2" w:rsidRPr="00D45B1A">
        <w:t>tivities and associated expenses</w:t>
      </w:r>
    </w:p>
    <w:p w14:paraId="68D63C13" w14:textId="06F199D0" w:rsidR="00C27FB2" w:rsidRPr="00D45B1A" w:rsidRDefault="00C27FB2" w:rsidP="004738A8">
      <w:pPr>
        <w:pStyle w:val="Level3"/>
      </w:pPr>
      <w:r w:rsidRPr="00D45B1A">
        <w:t xml:space="preserve">Indirect </w:t>
      </w:r>
      <w:r w:rsidR="00E33A9B">
        <w:t>t</w:t>
      </w:r>
      <w:r w:rsidRPr="00D45B1A">
        <w:t xml:space="preserve">eaching </w:t>
      </w:r>
      <w:r w:rsidR="00E33A9B">
        <w:t>and t</w:t>
      </w:r>
      <w:r w:rsidRPr="00D45B1A">
        <w:t xml:space="preserve">raining activities and their associated expense can be identified after consultation with appropriate stakeholders, these may include: </w:t>
      </w:r>
    </w:p>
    <w:p w14:paraId="5E230614" w14:textId="7DA66B45" w:rsidR="001B41F4" w:rsidRPr="00D45B1A" w:rsidRDefault="001B41F4" w:rsidP="00A27C5B">
      <w:pPr>
        <w:pStyle w:val="ListBullet"/>
        <w:spacing w:after="120"/>
        <w:rPr>
          <w:lang w:eastAsia="ja-JP"/>
        </w:rPr>
      </w:pPr>
      <w:r w:rsidRPr="00D45B1A">
        <w:rPr>
          <w:lang w:eastAsia="ja-JP"/>
        </w:rPr>
        <w:t>allied hea</w:t>
      </w:r>
      <w:r>
        <w:rPr>
          <w:lang w:eastAsia="ja-JP"/>
        </w:rPr>
        <w:t>lth administration departments</w:t>
      </w:r>
    </w:p>
    <w:p w14:paraId="0B0166B0" w14:textId="746E246F" w:rsidR="001B41F4" w:rsidRDefault="001B41F4" w:rsidP="00A27C5B">
      <w:pPr>
        <w:pStyle w:val="ListBullet"/>
        <w:spacing w:after="120"/>
        <w:rPr>
          <w:lang w:eastAsia="ja-JP"/>
        </w:rPr>
      </w:pPr>
      <w:r w:rsidRPr="00D45B1A">
        <w:rPr>
          <w:lang w:eastAsia="ja-JP"/>
        </w:rPr>
        <w:t>nursing admin</w:t>
      </w:r>
      <w:r>
        <w:rPr>
          <w:lang w:eastAsia="ja-JP"/>
        </w:rPr>
        <w:t>istration</w:t>
      </w:r>
      <w:r w:rsidRPr="00D45B1A">
        <w:rPr>
          <w:lang w:eastAsia="ja-JP"/>
        </w:rPr>
        <w:t xml:space="preserve"> </w:t>
      </w:r>
    </w:p>
    <w:p w14:paraId="68D63C14" w14:textId="6F758804" w:rsidR="00C27FB2" w:rsidRPr="00D45B1A" w:rsidRDefault="00C27FB2" w:rsidP="00A27C5B">
      <w:pPr>
        <w:pStyle w:val="ListBullet"/>
        <w:spacing w:after="120"/>
        <w:rPr>
          <w:lang w:eastAsia="ja-JP"/>
        </w:rPr>
      </w:pPr>
      <w:r w:rsidRPr="00D45B1A">
        <w:rPr>
          <w:lang w:eastAsia="ja-JP"/>
        </w:rPr>
        <w:lastRenderedPageBreak/>
        <w:t>the managers of the medical administration areas (</w:t>
      </w:r>
      <w:r w:rsidR="00E33A9B">
        <w:rPr>
          <w:lang w:eastAsia="ja-JP"/>
        </w:rPr>
        <w:t>that is</w:t>
      </w:r>
      <w:r w:rsidR="00225456">
        <w:rPr>
          <w:lang w:eastAsia="ja-JP"/>
        </w:rPr>
        <w:t>, surgical, medical, obstetric)</w:t>
      </w:r>
      <w:r w:rsidR="001B41F4">
        <w:rPr>
          <w:lang w:eastAsia="ja-JP"/>
        </w:rPr>
        <w:t>.</w:t>
      </w:r>
    </w:p>
    <w:p w14:paraId="68D63C17" w14:textId="4D1D461C" w:rsidR="00C27FB2" w:rsidRPr="00D45B1A" w:rsidRDefault="00C27FB2" w:rsidP="004738A8">
      <w:pPr>
        <w:pStyle w:val="Level3"/>
      </w:pPr>
      <w:r w:rsidRPr="00D45B1A">
        <w:t xml:space="preserve">The goal of these meetings is to determine the proportion of time spent by these departments coordinating </w:t>
      </w:r>
      <w:r w:rsidR="00E33A9B">
        <w:t>t</w:t>
      </w:r>
      <w:r w:rsidRPr="00D45B1A">
        <w:t xml:space="preserve">eaching and </w:t>
      </w:r>
      <w:r w:rsidR="00E33A9B">
        <w:t>t</w:t>
      </w:r>
      <w:r w:rsidRPr="00D45B1A">
        <w:t>raining activities in the hospital.</w:t>
      </w:r>
    </w:p>
    <w:p w14:paraId="68D63C18" w14:textId="77777777" w:rsidR="00C27FB2" w:rsidRPr="00D45B1A" w:rsidRDefault="00C27FB2" w:rsidP="004738A8">
      <w:pPr>
        <w:pStyle w:val="Level3"/>
      </w:pPr>
      <w:r w:rsidRPr="00D45B1A">
        <w:t>The type of information that needs to be understood for costing purposes includes:</w:t>
      </w:r>
    </w:p>
    <w:p w14:paraId="23E2A54A" w14:textId="77178CD1" w:rsidR="001B41F4" w:rsidRDefault="001B41F4" w:rsidP="00A27C5B">
      <w:pPr>
        <w:pStyle w:val="ListBullet"/>
        <w:spacing w:after="120"/>
        <w:rPr>
          <w:lang w:eastAsia="ja-JP"/>
        </w:rPr>
      </w:pPr>
      <w:r w:rsidRPr="00D45B1A">
        <w:rPr>
          <w:lang w:eastAsia="ja-JP"/>
        </w:rPr>
        <w:t>supporting information from staff rosters or timetabling systems</w:t>
      </w:r>
    </w:p>
    <w:p w14:paraId="68D63C19" w14:textId="446FB3A8" w:rsidR="00C27FB2" w:rsidRPr="00D45B1A" w:rsidRDefault="00C27FB2" w:rsidP="00A27C5B">
      <w:pPr>
        <w:pStyle w:val="ListBullet"/>
        <w:spacing w:after="120"/>
        <w:rPr>
          <w:lang w:eastAsia="ja-JP"/>
        </w:rPr>
      </w:pPr>
      <w:r w:rsidRPr="00D45B1A">
        <w:rPr>
          <w:lang w:eastAsia="ja-JP"/>
        </w:rPr>
        <w:t xml:space="preserve">the proportion of time and </w:t>
      </w:r>
      <w:r w:rsidR="00E33A9B">
        <w:rPr>
          <w:lang w:eastAsia="ja-JP"/>
        </w:rPr>
        <w:t>full-time e</w:t>
      </w:r>
      <w:r w:rsidRPr="00D45B1A">
        <w:rPr>
          <w:lang w:eastAsia="ja-JP"/>
        </w:rPr>
        <w:t>quivalent spent coordinating pre-entry student placements, rotations, lectures, tutorials, workshops, educational program development, or negotiation with higher educatio</w:t>
      </w:r>
      <w:r w:rsidR="005F1B23">
        <w:rPr>
          <w:lang w:eastAsia="ja-JP"/>
        </w:rPr>
        <w:t>n providers</w:t>
      </w:r>
    </w:p>
    <w:p w14:paraId="68D63C1A" w14:textId="5A47F33D" w:rsidR="00C27FB2" w:rsidRPr="00D45B1A" w:rsidRDefault="00C27FB2" w:rsidP="00A27C5B">
      <w:pPr>
        <w:pStyle w:val="ListBullet"/>
        <w:spacing w:after="120"/>
        <w:rPr>
          <w:lang w:eastAsia="ja-JP"/>
        </w:rPr>
      </w:pPr>
      <w:r w:rsidRPr="00D45B1A">
        <w:rPr>
          <w:lang w:eastAsia="ja-JP"/>
        </w:rPr>
        <w:t>the proportion of non-salary expen</w:t>
      </w:r>
      <w:r w:rsidR="005F1B23">
        <w:rPr>
          <w:lang w:eastAsia="ja-JP"/>
        </w:rPr>
        <w:t>ses related to these activities</w:t>
      </w:r>
      <w:r w:rsidR="001B41F4">
        <w:rPr>
          <w:lang w:eastAsia="ja-JP"/>
        </w:rPr>
        <w:t>.</w:t>
      </w:r>
    </w:p>
    <w:p w14:paraId="68D63C1C" w14:textId="6926B32D" w:rsidR="00C27FB2" w:rsidRPr="00D45B1A" w:rsidRDefault="00C27FB2" w:rsidP="004738A8">
      <w:pPr>
        <w:pStyle w:val="Level3"/>
      </w:pPr>
      <w:r w:rsidRPr="00D45B1A">
        <w:t xml:space="preserve">To determine direct </w:t>
      </w:r>
      <w:r w:rsidR="00E33A9B">
        <w:t>t</w:t>
      </w:r>
      <w:r w:rsidRPr="00D45B1A">
        <w:t xml:space="preserve">eaching and </w:t>
      </w:r>
      <w:r w:rsidR="00E33A9B">
        <w:t>t</w:t>
      </w:r>
      <w:r w:rsidRPr="00D45B1A">
        <w:t>raining department</w:t>
      </w:r>
      <w:r w:rsidR="004B02C2">
        <w:t xml:space="preserve"> expenses,</w:t>
      </w:r>
      <w:r w:rsidRPr="00D45B1A">
        <w:t xml:space="preserve"> consultation should be done with the managers of junior doctors, clinical directorates, the </w:t>
      </w:r>
      <w:r w:rsidR="00E33A9B">
        <w:t>d</w:t>
      </w:r>
      <w:r w:rsidRPr="00D45B1A">
        <w:t xml:space="preserve">irector of </w:t>
      </w:r>
      <w:r w:rsidR="00E33A9B">
        <w:t>n</w:t>
      </w:r>
      <w:r w:rsidRPr="00D45B1A">
        <w:t xml:space="preserve">ursing and the </w:t>
      </w:r>
      <w:r w:rsidR="00E33A9B">
        <w:t>d</w:t>
      </w:r>
      <w:r w:rsidRPr="00D45B1A">
        <w:t xml:space="preserve">irector of </w:t>
      </w:r>
      <w:r w:rsidR="00E33A9B">
        <w:t>a</w:t>
      </w:r>
      <w:r w:rsidRPr="00D45B1A">
        <w:t xml:space="preserve">llied </w:t>
      </w:r>
      <w:r w:rsidR="00E33A9B">
        <w:t>h</w:t>
      </w:r>
      <w:r w:rsidRPr="00D45B1A">
        <w:t xml:space="preserve">ealth. Meeting with these stakeholders, the costing practitioner needs to determine the proportion of time staff spent on direct </w:t>
      </w:r>
      <w:r w:rsidR="00E33A9B">
        <w:t>t</w:t>
      </w:r>
      <w:r w:rsidRPr="00D45B1A">
        <w:t xml:space="preserve">eaching and </w:t>
      </w:r>
      <w:r w:rsidR="00E33A9B">
        <w:t>t</w:t>
      </w:r>
      <w:r w:rsidRPr="00D45B1A">
        <w:t>raining activities.</w:t>
      </w:r>
    </w:p>
    <w:p w14:paraId="68D63C1D" w14:textId="77777777" w:rsidR="00C27FB2" w:rsidRPr="00D45B1A" w:rsidRDefault="00C27FB2" w:rsidP="004738A8">
      <w:pPr>
        <w:pStyle w:val="Level3"/>
      </w:pPr>
      <w:r w:rsidRPr="00D45B1A">
        <w:t>Costing managers will need to seek the following information during these meetings:</w:t>
      </w:r>
    </w:p>
    <w:p w14:paraId="17CD75C3" w14:textId="77777777" w:rsidR="001B41F4" w:rsidRPr="00D45B1A" w:rsidRDefault="001B41F4" w:rsidP="00A27C5B">
      <w:pPr>
        <w:pStyle w:val="ListBullet"/>
        <w:spacing w:after="120"/>
        <w:rPr>
          <w:lang w:eastAsia="ja-JP"/>
        </w:rPr>
      </w:pPr>
      <w:r w:rsidRPr="00D45B1A">
        <w:rPr>
          <w:lang w:eastAsia="ja-JP"/>
        </w:rPr>
        <w:t>non-salary related expenses associated with the direct activitie</w:t>
      </w:r>
      <w:r>
        <w:rPr>
          <w:lang w:eastAsia="ja-JP"/>
        </w:rPr>
        <w:t>s</w:t>
      </w:r>
    </w:p>
    <w:p w14:paraId="6502BBB8" w14:textId="6DC0778F" w:rsidR="001B41F4" w:rsidRDefault="001B41F4" w:rsidP="00A27C5B">
      <w:pPr>
        <w:pStyle w:val="ListBullet"/>
        <w:spacing w:after="120"/>
        <w:rPr>
          <w:lang w:eastAsia="ja-JP"/>
        </w:rPr>
      </w:pPr>
      <w:r w:rsidRPr="00D45B1A">
        <w:rPr>
          <w:lang w:eastAsia="ja-JP"/>
        </w:rPr>
        <w:t>supporting information from staff</w:t>
      </w:r>
      <w:r>
        <w:rPr>
          <w:lang w:eastAsia="ja-JP"/>
        </w:rPr>
        <w:t xml:space="preserve"> rosters or timetabling systems</w:t>
      </w:r>
    </w:p>
    <w:p w14:paraId="68D63C1E" w14:textId="7965FB38" w:rsidR="00C27FB2" w:rsidRPr="00D45B1A" w:rsidRDefault="00C27FB2" w:rsidP="00A27C5B">
      <w:pPr>
        <w:pStyle w:val="ListBullet"/>
        <w:spacing w:after="120"/>
        <w:rPr>
          <w:lang w:eastAsia="ja-JP"/>
        </w:rPr>
      </w:pPr>
      <w:r w:rsidRPr="00D45B1A">
        <w:rPr>
          <w:lang w:eastAsia="ja-JP"/>
        </w:rPr>
        <w:t>the proportion of staff time spent attending lectures, tutorials, simulatio</w:t>
      </w:r>
      <w:r w:rsidR="00F86D34">
        <w:rPr>
          <w:lang w:eastAsia="ja-JP"/>
        </w:rPr>
        <w:t>ns, grand rounds, and workshops</w:t>
      </w:r>
      <w:r w:rsidR="001B41F4">
        <w:rPr>
          <w:lang w:eastAsia="ja-JP"/>
        </w:rPr>
        <w:t>.</w:t>
      </w:r>
    </w:p>
    <w:p w14:paraId="68D63C21" w14:textId="616B9842" w:rsidR="00C27FB2" w:rsidRPr="00D45B1A" w:rsidRDefault="00C27FB2" w:rsidP="004738A8">
      <w:pPr>
        <w:pStyle w:val="Level3"/>
      </w:pPr>
      <w:r w:rsidRPr="00D45B1A">
        <w:t xml:space="preserve">Identified expenses for direct and indirect </w:t>
      </w:r>
      <w:r w:rsidR="00E33A9B">
        <w:t>t</w:t>
      </w:r>
      <w:r w:rsidRPr="00D45B1A">
        <w:t xml:space="preserve">eaching and </w:t>
      </w:r>
      <w:r w:rsidR="00E33A9B">
        <w:t>t</w:t>
      </w:r>
      <w:r w:rsidRPr="00D45B1A">
        <w:t xml:space="preserve">raining activities need to be moved the </w:t>
      </w:r>
      <w:r w:rsidR="00E33A9B">
        <w:t>t</w:t>
      </w:r>
      <w:r w:rsidRPr="00D45B1A">
        <w:t xml:space="preserve">eaching and </w:t>
      </w:r>
      <w:r w:rsidR="00E33A9B">
        <w:t>t</w:t>
      </w:r>
      <w:r w:rsidRPr="00D45B1A">
        <w:t>ra</w:t>
      </w:r>
      <w:r w:rsidR="00E33A9B">
        <w:t>in</w:t>
      </w:r>
      <w:r w:rsidRPr="00D45B1A">
        <w:t>ing final cost centre, as indicated above.</w:t>
      </w:r>
    </w:p>
    <w:p w14:paraId="68D63C22" w14:textId="293A4D10" w:rsidR="00C27FB2" w:rsidRPr="00D45B1A" w:rsidRDefault="00C27FB2" w:rsidP="004738A8">
      <w:pPr>
        <w:pStyle w:val="Level3"/>
      </w:pPr>
      <w:r w:rsidRPr="00D45B1A">
        <w:t>It is important that information used as the basis for identifying these amounts are understood and signed off by the relevant manager</w:t>
      </w:r>
      <w:r w:rsidR="00E33A9B">
        <w:t>/</w:t>
      </w:r>
      <w:r w:rsidRPr="00D45B1A">
        <w:t>s who have responsibility for these activities.</w:t>
      </w:r>
    </w:p>
    <w:p w14:paraId="68D63C23" w14:textId="77777777" w:rsidR="00C27FB2" w:rsidRPr="00D45B1A" w:rsidRDefault="00336AB2" w:rsidP="00897BF9">
      <w:pPr>
        <w:pStyle w:val="Level3Heading"/>
      </w:pPr>
      <w:r>
        <w:t>Step 4</w:t>
      </w:r>
      <w:r w:rsidR="00EB4353">
        <w:t>:</w:t>
      </w:r>
      <w:r>
        <w:t xml:space="preserve"> </w:t>
      </w:r>
      <w:r w:rsidR="00C27FB2" w:rsidRPr="00D45B1A">
        <w:t>Overhead allocation to t</w:t>
      </w:r>
      <w:r w:rsidR="004738A8" w:rsidRPr="00D45B1A">
        <w:t xml:space="preserve">he teaching and </w:t>
      </w:r>
      <w:r w:rsidR="004738A8">
        <w:t>t</w:t>
      </w:r>
      <w:r w:rsidR="004738A8" w:rsidRPr="00D45B1A">
        <w:t xml:space="preserve">raining </w:t>
      </w:r>
      <w:r w:rsidR="004738A8">
        <w:t>f</w:t>
      </w:r>
      <w:r w:rsidR="004738A8" w:rsidRPr="00D45B1A">
        <w:t>inal cost centre and indirect teaching and training expenses</w:t>
      </w:r>
    </w:p>
    <w:p w14:paraId="68D63C24" w14:textId="1012C7AE" w:rsidR="00C27FB2" w:rsidRPr="00D45B1A" w:rsidRDefault="00C27FB2" w:rsidP="004738A8">
      <w:pPr>
        <w:pStyle w:val="Level3"/>
      </w:pPr>
      <w:r w:rsidRPr="00D45B1A">
        <w:t xml:space="preserve">Broadly, costing practitioners must ensure that hospital overheads are allocated appropriately to the </w:t>
      </w:r>
      <w:r w:rsidR="00E33A9B">
        <w:t>t</w:t>
      </w:r>
      <w:r w:rsidRPr="00D45B1A">
        <w:t xml:space="preserve">eaching </w:t>
      </w:r>
      <w:r w:rsidR="00E33A9B">
        <w:t>t</w:t>
      </w:r>
      <w:r w:rsidRPr="00D45B1A">
        <w:t xml:space="preserve">raining final cost centre. However, where a hospital has identifiable </w:t>
      </w:r>
      <w:r w:rsidR="00E33A9B">
        <w:t>t</w:t>
      </w:r>
      <w:r w:rsidRPr="00D45B1A">
        <w:t xml:space="preserve">eaching and </w:t>
      </w:r>
      <w:r w:rsidR="00E33A9B">
        <w:t>t</w:t>
      </w:r>
      <w:r w:rsidRPr="00D45B1A">
        <w:t xml:space="preserve">raining related overhead expenses, such as a </w:t>
      </w:r>
      <w:r w:rsidR="00E33A9B">
        <w:t>c</w:t>
      </w:r>
      <w:r w:rsidRPr="00D45B1A">
        <w:t xml:space="preserve">linical </w:t>
      </w:r>
      <w:r w:rsidR="00E33A9B">
        <w:t>t</w:t>
      </w:r>
      <w:r w:rsidRPr="00D45B1A">
        <w:t xml:space="preserve">raining </w:t>
      </w:r>
      <w:r w:rsidR="00E33A9B">
        <w:t>c</w:t>
      </w:r>
      <w:r w:rsidRPr="00D45B1A">
        <w:t xml:space="preserve">oordinator, these must be allocated solely to the </w:t>
      </w:r>
      <w:r w:rsidR="00E33A9B">
        <w:t>t</w:t>
      </w:r>
      <w:r w:rsidRPr="00D45B1A">
        <w:t xml:space="preserve">eaching and </w:t>
      </w:r>
      <w:r w:rsidR="00E33A9B">
        <w:t>t</w:t>
      </w:r>
      <w:r w:rsidRPr="00D45B1A">
        <w:t xml:space="preserve">raining final cost centre. </w:t>
      </w:r>
    </w:p>
    <w:p w14:paraId="68D63C25" w14:textId="7C46252B" w:rsidR="00C27FB2" w:rsidRPr="00D45B1A" w:rsidRDefault="00C27FB2" w:rsidP="004738A8">
      <w:pPr>
        <w:pStyle w:val="Level3"/>
      </w:pPr>
      <w:r w:rsidRPr="00D45B1A">
        <w:t xml:space="preserve">Where necessary, overhead statistics will need to be determined and applied to enable overhead expenses to flow correctly to the </w:t>
      </w:r>
      <w:r w:rsidR="00E33A9B">
        <w:t>t</w:t>
      </w:r>
      <w:r w:rsidRPr="00D45B1A">
        <w:t xml:space="preserve">eaching and </w:t>
      </w:r>
      <w:r w:rsidR="00E33A9B">
        <w:t>t</w:t>
      </w:r>
      <w:r w:rsidRPr="00D45B1A">
        <w:t xml:space="preserve">raining final cost centre. For example, if FTE is the statistic used to allocate </w:t>
      </w:r>
      <w:r w:rsidR="00E33A9B">
        <w:t>h</w:t>
      </w:r>
      <w:r w:rsidRPr="00D45B1A">
        <w:t xml:space="preserve">uman </w:t>
      </w:r>
      <w:r w:rsidR="00E33A9B">
        <w:t>r</w:t>
      </w:r>
      <w:r w:rsidRPr="00D45B1A">
        <w:t xml:space="preserve">esource and </w:t>
      </w:r>
      <w:r w:rsidR="00E33A9B">
        <w:t>p</w:t>
      </w:r>
      <w:r w:rsidRPr="00D45B1A">
        <w:t xml:space="preserve">ayroll service expenses within the costing system, a proportion of FTE will also need to be moved to the </w:t>
      </w:r>
      <w:r w:rsidR="00E33A9B">
        <w:t>t</w:t>
      </w:r>
      <w:r w:rsidRPr="00D45B1A">
        <w:t xml:space="preserve">eaching and </w:t>
      </w:r>
      <w:r w:rsidR="00E33A9B">
        <w:t>t</w:t>
      </w:r>
      <w:r w:rsidRPr="00D45B1A">
        <w:t xml:space="preserve">raining final cost centre to ensure that </w:t>
      </w:r>
      <w:r w:rsidR="00E33A9B">
        <w:t>human resources</w:t>
      </w:r>
      <w:r w:rsidRPr="00D45B1A">
        <w:t xml:space="preserve"> and </w:t>
      </w:r>
      <w:r w:rsidR="00E33A9B">
        <w:t>p</w:t>
      </w:r>
      <w:r w:rsidRPr="00D45B1A">
        <w:t>ayroll service expenses flow accordingly.</w:t>
      </w:r>
    </w:p>
    <w:p w14:paraId="68D63C26" w14:textId="35B32D23" w:rsidR="00C27FB2" w:rsidRPr="00D45B1A" w:rsidRDefault="00C27FB2" w:rsidP="004738A8">
      <w:pPr>
        <w:pStyle w:val="Level3"/>
      </w:pPr>
      <w:r w:rsidRPr="00D45B1A">
        <w:t xml:space="preserve">Teaching and </w:t>
      </w:r>
      <w:r w:rsidR="00E33A9B">
        <w:t>t</w:t>
      </w:r>
      <w:r w:rsidRPr="00D45B1A">
        <w:t xml:space="preserve">raining, expenses for indirect activities </w:t>
      </w:r>
      <w:r w:rsidR="00813A5B">
        <w:t xml:space="preserve">need to </w:t>
      </w:r>
      <w:r w:rsidRPr="00D45B1A">
        <w:t xml:space="preserve">be allocated to direct </w:t>
      </w:r>
      <w:r w:rsidR="00E33A9B">
        <w:t>t</w:t>
      </w:r>
      <w:r w:rsidRPr="00D45B1A">
        <w:t xml:space="preserve">eaching and </w:t>
      </w:r>
      <w:r w:rsidR="00E33A9B">
        <w:t>t</w:t>
      </w:r>
      <w:r w:rsidRPr="00D45B1A">
        <w:t xml:space="preserve">raining </w:t>
      </w:r>
      <w:r w:rsidR="00813A5B">
        <w:t xml:space="preserve">products </w:t>
      </w:r>
      <w:r w:rsidRPr="00D45B1A">
        <w:t xml:space="preserve">using appropriate </w:t>
      </w:r>
      <w:r w:rsidRPr="00D45B1A">
        <w:lastRenderedPageBreak/>
        <w:t>allocation methods. Although these are expense for indirect activities, they are to be categorised as overheads.</w:t>
      </w:r>
      <w:r w:rsidR="00B63007">
        <w:t xml:space="preserve"> </w:t>
      </w:r>
    </w:p>
    <w:p w14:paraId="68D63C27" w14:textId="77777777" w:rsidR="00C27FB2" w:rsidRPr="00D45B1A" w:rsidRDefault="00336AB2" w:rsidP="00897BF9">
      <w:pPr>
        <w:pStyle w:val="Level3Heading"/>
        <w:rPr>
          <w:lang w:val="en-US"/>
        </w:rPr>
      </w:pPr>
      <w:r>
        <w:rPr>
          <w:lang w:val="en-US"/>
        </w:rPr>
        <w:t>Step 5</w:t>
      </w:r>
      <w:r w:rsidR="00EB4353">
        <w:rPr>
          <w:lang w:val="en-US"/>
        </w:rPr>
        <w:t xml:space="preserve">: </w:t>
      </w:r>
      <w:r w:rsidR="00C27FB2" w:rsidRPr="00D45B1A">
        <w:rPr>
          <w:lang w:val="en-US"/>
        </w:rPr>
        <w:t xml:space="preserve">Final </w:t>
      </w:r>
      <w:r w:rsidR="004738A8" w:rsidRPr="00D45B1A">
        <w:rPr>
          <w:lang w:val="en-US"/>
        </w:rPr>
        <w:t xml:space="preserve">teaching and </w:t>
      </w:r>
      <w:r w:rsidR="004738A8">
        <w:rPr>
          <w:lang w:val="en-US"/>
        </w:rPr>
        <w:t>t</w:t>
      </w:r>
      <w:r w:rsidR="004738A8" w:rsidRPr="00D45B1A">
        <w:rPr>
          <w:lang w:val="en-US"/>
        </w:rPr>
        <w:t>ra</w:t>
      </w:r>
      <w:r w:rsidR="00C27FB2" w:rsidRPr="00D45B1A">
        <w:rPr>
          <w:lang w:val="en-US"/>
        </w:rPr>
        <w:t xml:space="preserve">ining </w:t>
      </w:r>
      <w:r w:rsidR="002E2E7F">
        <w:rPr>
          <w:lang w:val="en-US"/>
        </w:rPr>
        <w:t>p</w:t>
      </w:r>
      <w:r w:rsidR="00C27FB2" w:rsidRPr="00D45B1A">
        <w:rPr>
          <w:lang w:val="en-US"/>
        </w:rPr>
        <w:t>roduct</w:t>
      </w:r>
    </w:p>
    <w:p w14:paraId="68D63C28" w14:textId="2257C6DA" w:rsidR="00C27FB2" w:rsidRPr="00D45B1A" w:rsidRDefault="00C27FB2" w:rsidP="004738A8">
      <w:pPr>
        <w:pStyle w:val="Level3"/>
      </w:pPr>
      <w:r w:rsidRPr="00D45B1A">
        <w:t xml:space="preserve">Through consultation, the costing practitioner needs to identify the different outputs of </w:t>
      </w:r>
      <w:r w:rsidR="00E33A9B">
        <w:t>t</w:t>
      </w:r>
      <w:r w:rsidRPr="00D45B1A">
        <w:t xml:space="preserve">eaching and </w:t>
      </w:r>
      <w:r w:rsidR="00E33A9B">
        <w:t>t</w:t>
      </w:r>
      <w:r w:rsidRPr="00D45B1A">
        <w:t xml:space="preserve">raining to cost as final products. </w:t>
      </w:r>
    </w:p>
    <w:p w14:paraId="68D63C29" w14:textId="77777777" w:rsidR="00C27FB2" w:rsidRPr="00D45B1A" w:rsidRDefault="00C27FB2" w:rsidP="004738A8">
      <w:pPr>
        <w:pStyle w:val="Level3"/>
      </w:pPr>
      <w:r w:rsidRPr="00D45B1A">
        <w:t>Depending on the identified final products, the costing practitioner will also need to understand the cost drivers for activities that are delivered in producing these products. The type and level of detail about these products that is available to the costing practitioner will influence the costing methodology and final costed output.</w:t>
      </w:r>
    </w:p>
    <w:p w14:paraId="68D63C2A" w14:textId="1E5EF359" w:rsidR="00C27FB2" w:rsidRPr="00D45B1A" w:rsidRDefault="00C27FB2" w:rsidP="004738A8">
      <w:pPr>
        <w:pStyle w:val="Level3"/>
      </w:pPr>
      <w:r w:rsidRPr="00D45B1A">
        <w:t xml:space="preserve">A hospital may consider </w:t>
      </w:r>
      <w:r w:rsidR="00E33A9B">
        <w:t>t</w:t>
      </w:r>
      <w:r w:rsidRPr="00D45B1A">
        <w:t xml:space="preserve">eaching and </w:t>
      </w:r>
      <w:r w:rsidR="00E33A9B">
        <w:t>t</w:t>
      </w:r>
      <w:r w:rsidRPr="00D45B1A">
        <w:t>raining products to be hours of training received by the different student</w:t>
      </w:r>
      <w:r w:rsidR="00C76532">
        <w:t xml:space="preserve"> or </w:t>
      </w:r>
      <w:r w:rsidRPr="00D45B1A">
        <w:t xml:space="preserve">trainee specialty categories. This would require the costing practitioner to understand the nature of </w:t>
      </w:r>
      <w:r w:rsidR="00E33A9B">
        <w:t>t</w:t>
      </w:r>
      <w:r w:rsidRPr="00D45B1A">
        <w:t xml:space="preserve">eaching and </w:t>
      </w:r>
      <w:r w:rsidR="00E33A9B">
        <w:t>t</w:t>
      </w:r>
      <w:r w:rsidRPr="00D45B1A">
        <w:t>raining activities delivered to different cohort of student</w:t>
      </w:r>
      <w:r w:rsidR="00C76532">
        <w:t xml:space="preserve"> or </w:t>
      </w:r>
      <w:r w:rsidRPr="00D45B1A">
        <w:t xml:space="preserve">trainees. </w:t>
      </w:r>
    </w:p>
    <w:p w14:paraId="68D63C2B" w14:textId="6C93DAEC" w:rsidR="00C27FB2" w:rsidRPr="00D45B1A" w:rsidRDefault="00C27FB2" w:rsidP="004738A8">
      <w:pPr>
        <w:pStyle w:val="Level3"/>
      </w:pPr>
      <w:r w:rsidRPr="00D45B1A">
        <w:t xml:space="preserve">Ideally, final </w:t>
      </w:r>
      <w:r w:rsidR="00E33A9B">
        <w:t>t</w:t>
      </w:r>
      <w:r w:rsidRPr="00D45B1A">
        <w:t xml:space="preserve">eaching and </w:t>
      </w:r>
      <w:r w:rsidR="00E33A9B">
        <w:t>t</w:t>
      </w:r>
      <w:r w:rsidRPr="00D45B1A">
        <w:t>raining products would reflect the actual trainee</w:t>
      </w:r>
      <w:r w:rsidR="00E33A9B">
        <w:t xml:space="preserve"> or </w:t>
      </w:r>
      <w:r w:rsidRPr="00D45B1A">
        <w:t xml:space="preserve">student placement, where a placement has a start and end period. Preferably, the feeder data from information system about these products would include some or all of the details listed in Table 1. </w:t>
      </w:r>
      <w:r w:rsidR="00EB4353">
        <w:t>T</w:t>
      </w:r>
      <w:r w:rsidRPr="00D45B1A">
        <w:t xml:space="preserve">his table also suggest key cost drivers that influence resources needed to deliver </w:t>
      </w:r>
      <w:r w:rsidR="00E33A9B">
        <w:t>t</w:t>
      </w:r>
      <w:r w:rsidRPr="00D45B1A">
        <w:t xml:space="preserve">eaching and </w:t>
      </w:r>
      <w:r w:rsidR="00E33A9B">
        <w:t>t</w:t>
      </w:r>
      <w:r w:rsidRPr="00D45B1A">
        <w:t>raining to different students</w:t>
      </w:r>
      <w:r w:rsidR="001B41F4">
        <w:t xml:space="preserve"> or </w:t>
      </w:r>
      <w:r w:rsidRPr="00D45B1A">
        <w:t>trainees.</w:t>
      </w:r>
    </w:p>
    <w:p w14:paraId="68D63C2C" w14:textId="7F426F90" w:rsidR="00C27FB2" w:rsidRPr="004738A8" w:rsidRDefault="00C27FB2" w:rsidP="00607D90">
      <w:pPr>
        <w:ind w:left="2268"/>
        <w:rPr>
          <w:rFonts w:cs="Arial"/>
          <w:b/>
          <w:lang w:eastAsia="ja-JP"/>
        </w:rPr>
      </w:pPr>
      <w:r w:rsidRPr="004738A8">
        <w:rPr>
          <w:rFonts w:cs="Arial"/>
          <w:b/>
          <w:lang w:eastAsia="ja-JP"/>
        </w:rPr>
        <w:t xml:space="preserve">Table 1: </w:t>
      </w:r>
      <w:r w:rsidRPr="00A27C5B">
        <w:rPr>
          <w:rFonts w:cs="Arial"/>
          <w:lang w:eastAsia="ja-JP"/>
        </w:rPr>
        <w:t>Suggest data elements for costing trainee placements</w:t>
      </w:r>
    </w:p>
    <w:tbl>
      <w:tblPr>
        <w:tblW w:w="7371" w:type="dxa"/>
        <w:tblInd w:w="2376" w:type="dxa"/>
        <w:tblBorders>
          <w:top w:val="single" w:sz="4" w:space="0" w:color="auto"/>
          <w:bottom w:val="single" w:sz="4" w:space="0" w:color="auto"/>
          <w:insideH w:val="single" w:sz="4" w:space="0" w:color="auto"/>
        </w:tblBorders>
        <w:tblLook w:val="04A0" w:firstRow="1" w:lastRow="0" w:firstColumn="1" w:lastColumn="0" w:noHBand="0" w:noVBand="1"/>
      </w:tblPr>
      <w:tblGrid>
        <w:gridCol w:w="1465"/>
        <w:gridCol w:w="2362"/>
        <w:gridCol w:w="3544"/>
      </w:tblGrid>
      <w:tr w:rsidR="00C27FB2" w:rsidRPr="00D45B1A" w14:paraId="68D63C30" w14:textId="77777777" w:rsidTr="00607D90">
        <w:trPr>
          <w:trHeight w:val="510"/>
          <w:tblHeader/>
        </w:trPr>
        <w:tc>
          <w:tcPr>
            <w:tcW w:w="0" w:type="auto"/>
          </w:tcPr>
          <w:p w14:paraId="68D63C2D" w14:textId="77777777" w:rsidR="00C27FB2" w:rsidRPr="00D45B1A" w:rsidRDefault="00C27FB2" w:rsidP="00821DDB">
            <w:pPr>
              <w:rPr>
                <w:rFonts w:cs="Arial"/>
                <w:b/>
                <w:sz w:val="20"/>
                <w:szCs w:val="20"/>
                <w:lang w:eastAsia="ja-JP"/>
              </w:rPr>
            </w:pPr>
            <w:r w:rsidRPr="00D45B1A">
              <w:rPr>
                <w:rFonts w:cs="Arial"/>
                <w:b/>
                <w:sz w:val="20"/>
                <w:szCs w:val="20"/>
                <w:lang w:eastAsia="ja-JP"/>
              </w:rPr>
              <w:t>Data element</w:t>
            </w:r>
          </w:p>
        </w:tc>
        <w:tc>
          <w:tcPr>
            <w:tcW w:w="2362" w:type="dxa"/>
          </w:tcPr>
          <w:p w14:paraId="68D63C2E" w14:textId="77777777" w:rsidR="00C27FB2" w:rsidRPr="00D45B1A" w:rsidRDefault="00C27FB2" w:rsidP="00821DDB">
            <w:pPr>
              <w:rPr>
                <w:rFonts w:cs="Arial"/>
                <w:b/>
                <w:sz w:val="20"/>
                <w:szCs w:val="20"/>
                <w:lang w:eastAsia="ja-JP"/>
              </w:rPr>
            </w:pPr>
            <w:r w:rsidRPr="00D45B1A">
              <w:rPr>
                <w:rFonts w:cs="Arial"/>
                <w:b/>
                <w:sz w:val="20"/>
                <w:szCs w:val="20"/>
                <w:lang w:eastAsia="ja-JP"/>
              </w:rPr>
              <w:t>Possible values</w:t>
            </w:r>
          </w:p>
        </w:tc>
        <w:tc>
          <w:tcPr>
            <w:tcW w:w="3544" w:type="dxa"/>
          </w:tcPr>
          <w:p w14:paraId="68D63C2F" w14:textId="77777777" w:rsidR="00C27FB2" w:rsidRPr="00D45B1A" w:rsidRDefault="00C27FB2" w:rsidP="00821DDB">
            <w:pPr>
              <w:rPr>
                <w:rFonts w:cs="Arial"/>
                <w:b/>
                <w:sz w:val="20"/>
                <w:szCs w:val="20"/>
                <w:lang w:eastAsia="ja-JP"/>
              </w:rPr>
            </w:pPr>
            <w:r w:rsidRPr="00D45B1A">
              <w:rPr>
                <w:rFonts w:cs="Arial"/>
                <w:b/>
                <w:sz w:val="20"/>
                <w:szCs w:val="20"/>
                <w:lang w:eastAsia="ja-JP"/>
              </w:rPr>
              <w:t>Rationale</w:t>
            </w:r>
          </w:p>
        </w:tc>
      </w:tr>
      <w:tr w:rsidR="00C27FB2" w:rsidRPr="00D45B1A" w14:paraId="68D63C34" w14:textId="77777777" w:rsidTr="00607D90">
        <w:trPr>
          <w:trHeight w:val="510"/>
        </w:trPr>
        <w:tc>
          <w:tcPr>
            <w:tcW w:w="0" w:type="auto"/>
          </w:tcPr>
          <w:p w14:paraId="68D63C31" w14:textId="77777777" w:rsidR="00C27FB2" w:rsidRPr="00D45B1A" w:rsidRDefault="00C27FB2" w:rsidP="00821DDB">
            <w:pPr>
              <w:rPr>
                <w:rFonts w:cs="Arial"/>
                <w:sz w:val="20"/>
                <w:szCs w:val="20"/>
                <w:lang w:eastAsia="ja-JP"/>
              </w:rPr>
            </w:pPr>
            <w:r w:rsidRPr="00D45B1A">
              <w:rPr>
                <w:rFonts w:cs="Arial"/>
                <w:sz w:val="20"/>
                <w:szCs w:val="20"/>
                <w:lang w:eastAsia="ja-JP"/>
              </w:rPr>
              <w:t>Training start date</w:t>
            </w:r>
          </w:p>
        </w:tc>
        <w:tc>
          <w:tcPr>
            <w:tcW w:w="2362" w:type="dxa"/>
          </w:tcPr>
          <w:p w14:paraId="68D63C32" w14:textId="77777777" w:rsidR="00C27FB2" w:rsidRPr="00D45B1A" w:rsidRDefault="00C27FB2" w:rsidP="00821DDB">
            <w:pPr>
              <w:rPr>
                <w:rFonts w:cs="Arial"/>
                <w:sz w:val="20"/>
                <w:szCs w:val="20"/>
                <w:lang w:eastAsia="ja-JP"/>
              </w:rPr>
            </w:pPr>
            <w:r w:rsidRPr="00D45B1A">
              <w:rPr>
                <w:rFonts w:cs="Arial"/>
                <w:sz w:val="20"/>
                <w:szCs w:val="20"/>
                <w:lang w:eastAsia="ja-JP"/>
              </w:rPr>
              <w:t>Date</w:t>
            </w:r>
          </w:p>
        </w:tc>
        <w:tc>
          <w:tcPr>
            <w:tcW w:w="3544" w:type="dxa"/>
          </w:tcPr>
          <w:p w14:paraId="68D63C33" w14:textId="77777777" w:rsidR="00C27FB2" w:rsidRPr="00D45B1A" w:rsidRDefault="00C27FB2" w:rsidP="00821DDB">
            <w:pPr>
              <w:rPr>
                <w:rFonts w:cs="Arial"/>
                <w:sz w:val="20"/>
                <w:szCs w:val="20"/>
                <w:lang w:eastAsia="ja-JP"/>
              </w:rPr>
            </w:pPr>
            <w:r w:rsidRPr="00D45B1A">
              <w:rPr>
                <w:rFonts w:cs="Arial"/>
                <w:sz w:val="20"/>
                <w:szCs w:val="20"/>
                <w:lang w:eastAsia="ja-JP"/>
              </w:rPr>
              <w:t>Records the commencement of a placement or period of training.</w:t>
            </w:r>
          </w:p>
        </w:tc>
      </w:tr>
      <w:tr w:rsidR="00C27FB2" w:rsidRPr="00D45B1A" w14:paraId="68D63C38" w14:textId="77777777" w:rsidTr="00607D90">
        <w:trPr>
          <w:trHeight w:val="510"/>
        </w:trPr>
        <w:tc>
          <w:tcPr>
            <w:tcW w:w="0" w:type="auto"/>
          </w:tcPr>
          <w:p w14:paraId="68D63C35" w14:textId="77777777" w:rsidR="00C27FB2" w:rsidRPr="00D45B1A" w:rsidRDefault="00C27FB2" w:rsidP="00821DDB">
            <w:pPr>
              <w:rPr>
                <w:rFonts w:cs="Arial"/>
                <w:sz w:val="20"/>
                <w:szCs w:val="20"/>
                <w:lang w:eastAsia="ja-JP"/>
              </w:rPr>
            </w:pPr>
            <w:r w:rsidRPr="00D45B1A">
              <w:rPr>
                <w:rFonts w:cs="Arial"/>
                <w:sz w:val="20"/>
                <w:szCs w:val="20"/>
                <w:lang w:eastAsia="ja-JP"/>
              </w:rPr>
              <w:t>Training end date</w:t>
            </w:r>
          </w:p>
        </w:tc>
        <w:tc>
          <w:tcPr>
            <w:tcW w:w="2362" w:type="dxa"/>
          </w:tcPr>
          <w:p w14:paraId="68D63C36" w14:textId="77777777" w:rsidR="00C27FB2" w:rsidRPr="00D45B1A" w:rsidRDefault="00C27FB2" w:rsidP="00821DDB">
            <w:pPr>
              <w:rPr>
                <w:rFonts w:cs="Arial"/>
                <w:sz w:val="20"/>
                <w:szCs w:val="20"/>
                <w:lang w:eastAsia="ja-JP"/>
              </w:rPr>
            </w:pPr>
            <w:r w:rsidRPr="00D45B1A">
              <w:rPr>
                <w:rFonts w:cs="Arial"/>
                <w:sz w:val="20"/>
                <w:szCs w:val="20"/>
                <w:lang w:eastAsia="ja-JP"/>
              </w:rPr>
              <w:t>Date</w:t>
            </w:r>
          </w:p>
        </w:tc>
        <w:tc>
          <w:tcPr>
            <w:tcW w:w="3544" w:type="dxa"/>
          </w:tcPr>
          <w:p w14:paraId="68D63C37" w14:textId="77777777" w:rsidR="00C27FB2" w:rsidRPr="00D45B1A" w:rsidRDefault="00C27FB2" w:rsidP="00821DDB">
            <w:pPr>
              <w:rPr>
                <w:rFonts w:cs="Arial"/>
                <w:sz w:val="20"/>
                <w:szCs w:val="20"/>
                <w:lang w:eastAsia="ja-JP"/>
              </w:rPr>
            </w:pPr>
            <w:r w:rsidRPr="00D45B1A">
              <w:rPr>
                <w:rFonts w:cs="Arial"/>
                <w:sz w:val="20"/>
                <w:szCs w:val="20"/>
                <w:lang w:eastAsia="ja-JP"/>
              </w:rPr>
              <w:t>Records the end of a placement or period of training.</w:t>
            </w:r>
          </w:p>
        </w:tc>
      </w:tr>
      <w:tr w:rsidR="00C27FB2" w:rsidRPr="00D45B1A" w14:paraId="68D63C3C" w14:textId="77777777" w:rsidTr="00607D90">
        <w:trPr>
          <w:trHeight w:val="510"/>
        </w:trPr>
        <w:tc>
          <w:tcPr>
            <w:tcW w:w="0" w:type="auto"/>
          </w:tcPr>
          <w:p w14:paraId="68D63C39" w14:textId="77777777" w:rsidR="00C27FB2" w:rsidRPr="00D45B1A" w:rsidRDefault="00C27FB2" w:rsidP="00821DDB">
            <w:pPr>
              <w:rPr>
                <w:rFonts w:cs="Arial"/>
                <w:sz w:val="20"/>
                <w:szCs w:val="20"/>
                <w:lang w:eastAsia="ja-JP"/>
              </w:rPr>
            </w:pPr>
            <w:r w:rsidRPr="00D45B1A">
              <w:rPr>
                <w:rFonts w:cs="Arial"/>
                <w:sz w:val="20"/>
                <w:szCs w:val="20"/>
                <w:lang w:eastAsia="ja-JP"/>
              </w:rPr>
              <w:t>Full time equivalent value (FTE)</w:t>
            </w:r>
          </w:p>
        </w:tc>
        <w:tc>
          <w:tcPr>
            <w:tcW w:w="2362" w:type="dxa"/>
          </w:tcPr>
          <w:p w14:paraId="68D63C3A" w14:textId="32BEF3CE" w:rsidR="00C27FB2" w:rsidRPr="00D45B1A" w:rsidRDefault="00C27FB2" w:rsidP="00821DDB">
            <w:pPr>
              <w:rPr>
                <w:rFonts w:cs="Arial"/>
                <w:sz w:val="20"/>
                <w:szCs w:val="20"/>
                <w:lang w:eastAsia="ja-JP"/>
              </w:rPr>
            </w:pPr>
            <w:r w:rsidRPr="00D45B1A">
              <w:rPr>
                <w:rFonts w:cs="Arial"/>
                <w:sz w:val="20"/>
                <w:szCs w:val="20"/>
                <w:lang w:eastAsia="ja-JP"/>
              </w:rPr>
              <w:t>Numerical (</w:t>
            </w:r>
            <w:r w:rsidR="00E33A9B">
              <w:rPr>
                <w:rFonts w:cs="Arial"/>
                <w:sz w:val="20"/>
                <w:szCs w:val="20"/>
                <w:lang w:eastAsia="ja-JP"/>
              </w:rPr>
              <w:t>for example,</w:t>
            </w:r>
            <w:r w:rsidRPr="00D45B1A">
              <w:rPr>
                <w:rFonts w:cs="Arial"/>
                <w:sz w:val="20"/>
                <w:szCs w:val="20"/>
                <w:lang w:eastAsia="ja-JP"/>
              </w:rPr>
              <w:t xml:space="preserve"> 0.5)</w:t>
            </w:r>
          </w:p>
        </w:tc>
        <w:tc>
          <w:tcPr>
            <w:tcW w:w="3544" w:type="dxa"/>
          </w:tcPr>
          <w:p w14:paraId="68D63C3B" w14:textId="77777777" w:rsidR="00C27FB2" w:rsidRPr="00D45B1A" w:rsidRDefault="00C27FB2" w:rsidP="00821DDB">
            <w:pPr>
              <w:rPr>
                <w:rFonts w:cs="Arial"/>
                <w:sz w:val="20"/>
                <w:szCs w:val="20"/>
                <w:lang w:eastAsia="ja-JP"/>
              </w:rPr>
            </w:pPr>
            <w:r w:rsidRPr="00D45B1A">
              <w:rPr>
                <w:rFonts w:cs="Arial"/>
                <w:sz w:val="20"/>
                <w:szCs w:val="20"/>
                <w:lang w:eastAsia="ja-JP"/>
              </w:rPr>
              <w:t>Records the FTE of a trainee, as not all trainees will be full time trainees or employees.</w:t>
            </w:r>
          </w:p>
        </w:tc>
      </w:tr>
      <w:tr w:rsidR="00C27FB2" w:rsidRPr="00D45B1A" w14:paraId="68D63C42" w14:textId="77777777" w:rsidTr="00607D90">
        <w:trPr>
          <w:trHeight w:val="510"/>
        </w:trPr>
        <w:tc>
          <w:tcPr>
            <w:tcW w:w="0" w:type="auto"/>
          </w:tcPr>
          <w:p w14:paraId="68D63C3D" w14:textId="77777777" w:rsidR="00C27FB2" w:rsidRPr="00D45B1A" w:rsidRDefault="00C27FB2" w:rsidP="00821DDB">
            <w:pPr>
              <w:rPr>
                <w:rFonts w:cs="Arial"/>
                <w:sz w:val="20"/>
                <w:szCs w:val="20"/>
                <w:lang w:eastAsia="ja-JP"/>
              </w:rPr>
            </w:pPr>
            <w:r w:rsidRPr="00D45B1A">
              <w:rPr>
                <w:rFonts w:cs="Arial"/>
                <w:sz w:val="20"/>
                <w:szCs w:val="20"/>
                <w:lang w:eastAsia="ja-JP"/>
              </w:rPr>
              <w:t>Stage of training</w:t>
            </w:r>
          </w:p>
        </w:tc>
        <w:tc>
          <w:tcPr>
            <w:tcW w:w="2362" w:type="dxa"/>
          </w:tcPr>
          <w:p w14:paraId="68D63C3E" w14:textId="77777777" w:rsidR="00C27FB2" w:rsidRPr="00D45B1A" w:rsidRDefault="00C27FB2" w:rsidP="00821DDB">
            <w:pPr>
              <w:rPr>
                <w:rFonts w:cs="Arial"/>
                <w:sz w:val="20"/>
                <w:szCs w:val="20"/>
                <w:lang w:eastAsia="ja-JP"/>
              </w:rPr>
            </w:pPr>
            <w:r w:rsidRPr="00D45B1A">
              <w:rPr>
                <w:rFonts w:cs="Arial"/>
                <w:sz w:val="20"/>
                <w:szCs w:val="20"/>
                <w:lang w:eastAsia="ja-JP"/>
              </w:rPr>
              <w:t>Professional entry student</w:t>
            </w:r>
          </w:p>
          <w:p w14:paraId="68D63C3F" w14:textId="77777777" w:rsidR="00C27FB2" w:rsidRPr="00D45B1A" w:rsidRDefault="00C27FB2" w:rsidP="00821DDB">
            <w:pPr>
              <w:rPr>
                <w:rFonts w:cs="Arial"/>
                <w:sz w:val="20"/>
                <w:szCs w:val="20"/>
                <w:lang w:eastAsia="ja-JP"/>
              </w:rPr>
            </w:pPr>
            <w:r w:rsidRPr="00D45B1A">
              <w:rPr>
                <w:rFonts w:cs="Arial"/>
                <w:sz w:val="20"/>
                <w:szCs w:val="20"/>
                <w:lang w:eastAsia="ja-JP"/>
              </w:rPr>
              <w:t>New graduate</w:t>
            </w:r>
          </w:p>
          <w:p w14:paraId="68D63C40" w14:textId="629BEF7D" w:rsidR="00C27FB2" w:rsidRPr="00D45B1A" w:rsidRDefault="00C27FB2" w:rsidP="00821DDB">
            <w:pPr>
              <w:rPr>
                <w:rFonts w:cs="Arial"/>
                <w:sz w:val="20"/>
                <w:szCs w:val="20"/>
                <w:lang w:eastAsia="ja-JP"/>
              </w:rPr>
            </w:pPr>
            <w:r w:rsidRPr="00D45B1A">
              <w:rPr>
                <w:rFonts w:cs="Arial"/>
                <w:sz w:val="20"/>
                <w:szCs w:val="20"/>
                <w:lang w:eastAsia="ja-JP"/>
              </w:rPr>
              <w:t>Postgraduate</w:t>
            </w:r>
            <w:r w:rsidR="001B41F4">
              <w:rPr>
                <w:rFonts w:cs="Arial"/>
                <w:sz w:val="20"/>
                <w:szCs w:val="20"/>
                <w:lang w:eastAsia="ja-JP"/>
              </w:rPr>
              <w:t xml:space="preserve"> or </w:t>
            </w:r>
            <w:r w:rsidRPr="00D45B1A">
              <w:rPr>
                <w:rFonts w:cs="Arial"/>
                <w:sz w:val="20"/>
                <w:szCs w:val="20"/>
                <w:lang w:eastAsia="ja-JP"/>
              </w:rPr>
              <w:t>vocational</w:t>
            </w:r>
          </w:p>
        </w:tc>
        <w:tc>
          <w:tcPr>
            <w:tcW w:w="3544" w:type="dxa"/>
          </w:tcPr>
          <w:p w14:paraId="68D63C41" w14:textId="77777777" w:rsidR="00C27FB2" w:rsidRPr="00D45B1A" w:rsidRDefault="00C27FB2" w:rsidP="00821DDB">
            <w:pPr>
              <w:rPr>
                <w:rFonts w:cs="Arial"/>
                <w:sz w:val="20"/>
                <w:szCs w:val="20"/>
                <w:lang w:eastAsia="ja-JP"/>
              </w:rPr>
            </w:pPr>
            <w:r w:rsidRPr="00D45B1A">
              <w:rPr>
                <w:rFonts w:cs="Arial"/>
                <w:sz w:val="20"/>
                <w:szCs w:val="20"/>
                <w:lang w:eastAsia="ja-JP"/>
              </w:rPr>
              <w:t>Trainees have different resource requirements depending on their stage of training.</w:t>
            </w:r>
          </w:p>
        </w:tc>
      </w:tr>
      <w:tr w:rsidR="00C27FB2" w:rsidRPr="00D45B1A" w14:paraId="68D63C4A" w14:textId="77777777" w:rsidTr="00607D90">
        <w:trPr>
          <w:trHeight w:val="510"/>
        </w:trPr>
        <w:tc>
          <w:tcPr>
            <w:tcW w:w="0" w:type="auto"/>
          </w:tcPr>
          <w:p w14:paraId="68D63C43" w14:textId="77777777" w:rsidR="00C27FB2" w:rsidRPr="00D45B1A" w:rsidRDefault="00C27FB2" w:rsidP="00821DDB">
            <w:pPr>
              <w:rPr>
                <w:rFonts w:cs="Arial"/>
                <w:sz w:val="20"/>
                <w:szCs w:val="20"/>
                <w:lang w:eastAsia="ja-JP"/>
              </w:rPr>
            </w:pPr>
            <w:r w:rsidRPr="00D45B1A">
              <w:rPr>
                <w:rFonts w:cs="Arial"/>
                <w:sz w:val="20"/>
                <w:szCs w:val="20"/>
                <w:lang w:eastAsia="ja-JP"/>
              </w:rPr>
              <w:t>Profession</w:t>
            </w:r>
          </w:p>
        </w:tc>
        <w:tc>
          <w:tcPr>
            <w:tcW w:w="2362" w:type="dxa"/>
          </w:tcPr>
          <w:p w14:paraId="68D63C44" w14:textId="77777777" w:rsidR="00C27FB2" w:rsidRPr="00D45B1A" w:rsidRDefault="00C27FB2" w:rsidP="00821DDB">
            <w:pPr>
              <w:rPr>
                <w:rFonts w:cs="Arial"/>
                <w:sz w:val="20"/>
                <w:szCs w:val="20"/>
                <w:lang w:eastAsia="ja-JP"/>
              </w:rPr>
            </w:pPr>
            <w:r w:rsidRPr="00D45B1A">
              <w:rPr>
                <w:rFonts w:cs="Arial"/>
                <w:sz w:val="20"/>
                <w:szCs w:val="20"/>
                <w:lang w:eastAsia="ja-JP"/>
              </w:rPr>
              <w:t>Allied health</w:t>
            </w:r>
          </w:p>
          <w:p w14:paraId="68D63C45" w14:textId="77777777" w:rsidR="00C27FB2" w:rsidRPr="00D45B1A" w:rsidRDefault="00C27FB2" w:rsidP="00821DDB">
            <w:pPr>
              <w:rPr>
                <w:rFonts w:cs="Arial"/>
                <w:sz w:val="20"/>
                <w:szCs w:val="20"/>
                <w:lang w:eastAsia="ja-JP"/>
              </w:rPr>
            </w:pPr>
            <w:r w:rsidRPr="00D45B1A">
              <w:rPr>
                <w:rFonts w:cs="Arial"/>
                <w:sz w:val="20"/>
                <w:szCs w:val="20"/>
                <w:lang w:eastAsia="ja-JP"/>
              </w:rPr>
              <w:t>Dentistry</w:t>
            </w:r>
          </w:p>
          <w:p w14:paraId="68D63C46" w14:textId="77777777" w:rsidR="00C27FB2" w:rsidRPr="00D45B1A" w:rsidRDefault="00C27FB2" w:rsidP="00821DDB">
            <w:pPr>
              <w:rPr>
                <w:rFonts w:cs="Arial"/>
                <w:sz w:val="20"/>
                <w:szCs w:val="20"/>
                <w:lang w:eastAsia="ja-JP"/>
              </w:rPr>
            </w:pPr>
            <w:r w:rsidRPr="00D45B1A">
              <w:rPr>
                <w:rFonts w:cs="Arial"/>
                <w:sz w:val="20"/>
                <w:szCs w:val="20"/>
                <w:lang w:eastAsia="ja-JP"/>
              </w:rPr>
              <w:t>Medicine</w:t>
            </w:r>
          </w:p>
          <w:p w14:paraId="68D63C47" w14:textId="77777777" w:rsidR="00C27FB2" w:rsidRPr="00D45B1A" w:rsidRDefault="00C27FB2" w:rsidP="00821DDB">
            <w:pPr>
              <w:rPr>
                <w:rFonts w:cs="Arial"/>
                <w:sz w:val="20"/>
                <w:szCs w:val="20"/>
                <w:lang w:eastAsia="ja-JP"/>
              </w:rPr>
            </w:pPr>
            <w:r w:rsidRPr="00D45B1A">
              <w:rPr>
                <w:rFonts w:cs="Arial"/>
                <w:sz w:val="20"/>
                <w:szCs w:val="20"/>
                <w:lang w:eastAsia="ja-JP"/>
              </w:rPr>
              <w:t>Midwifery</w:t>
            </w:r>
          </w:p>
          <w:p w14:paraId="68D63C48" w14:textId="77777777" w:rsidR="00C27FB2" w:rsidRPr="00D45B1A" w:rsidRDefault="00C27FB2" w:rsidP="00821DDB">
            <w:pPr>
              <w:rPr>
                <w:rFonts w:cs="Arial"/>
                <w:sz w:val="20"/>
                <w:szCs w:val="20"/>
                <w:lang w:eastAsia="ja-JP"/>
              </w:rPr>
            </w:pPr>
            <w:r w:rsidRPr="00D45B1A">
              <w:rPr>
                <w:rFonts w:cs="Arial"/>
                <w:sz w:val="20"/>
                <w:szCs w:val="20"/>
                <w:lang w:eastAsia="ja-JP"/>
              </w:rPr>
              <w:t>Nursing</w:t>
            </w:r>
          </w:p>
        </w:tc>
        <w:tc>
          <w:tcPr>
            <w:tcW w:w="3544" w:type="dxa"/>
          </w:tcPr>
          <w:p w14:paraId="68D63C49" w14:textId="77777777" w:rsidR="00C27FB2" w:rsidRPr="00D45B1A" w:rsidRDefault="00C27FB2" w:rsidP="00821DDB">
            <w:pPr>
              <w:rPr>
                <w:rFonts w:cs="Arial"/>
                <w:sz w:val="20"/>
                <w:szCs w:val="20"/>
                <w:lang w:eastAsia="ja-JP"/>
              </w:rPr>
            </w:pPr>
            <w:r w:rsidRPr="00D45B1A">
              <w:rPr>
                <w:rFonts w:cs="Arial"/>
                <w:sz w:val="20"/>
                <w:szCs w:val="20"/>
                <w:lang w:eastAsia="ja-JP"/>
              </w:rPr>
              <w:t>Trainees have different resource requirements depending on their profession. Important for clinical credibility to differentiate between professions.</w:t>
            </w:r>
          </w:p>
        </w:tc>
      </w:tr>
      <w:tr w:rsidR="00C27FB2" w:rsidRPr="00D45B1A" w14:paraId="68D63C50" w14:textId="77777777" w:rsidTr="00607D90">
        <w:trPr>
          <w:trHeight w:val="510"/>
        </w:trPr>
        <w:tc>
          <w:tcPr>
            <w:tcW w:w="0" w:type="auto"/>
          </w:tcPr>
          <w:p w14:paraId="68D63C4B" w14:textId="77777777" w:rsidR="00C27FB2" w:rsidRPr="00D45B1A" w:rsidRDefault="00C27FB2" w:rsidP="00821DDB">
            <w:pPr>
              <w:rPr>
                <w:rFonts w:cs="Arial"/>
                <w:sz w:val="20"/>
                <w:szCs w:val="20"/>
                <w:lang w:eastAsia="ja-JP"/>
              </w:rPr>
            </w:pPr>
            <w:r w:rsidRPr="00D45B1A">
              <w:rPr>
                <w:rFonts w:cs="Arial"/>
                <w:sz w:val="20"/>
                <w:szCs w:val="20"/>
                <w:lang w:eastAsia="ja-JP"/>
              </w:rPr>
              <w:lastRenderedPageBreak/>
              <w:t>Specialty</w:t>
            </w:r>
          </w:p>
        </w:tc>
        <w:tc>
          <w:tcPr>
            <w:tcW w:w="2362" w:type="dxa"/>
          </w:tcPr>
          <w:p w14:paraId="68D63C4C" w14:textId="133F7D75" w:rsidR="00C27FB2" w:rsidRPr="00D45B1A" w:rsidRDefault="00C27FB2" w:rsidP="00821DDB">
            <w:pPr>
              <w:rPr>
                <w:rFonts w:cs="Arial"/>
                <w:sz w:val="20"/>
                <w:szCs w:val="20"/>
                <w:lang w:eastAsia="ja-JP"/>
              </w:rPr>
            </w:pPr>
            <w:r w:rsidRPr="00D45B1A">
              <w:rPr>
                <w:rFonts w:cs="Arial"/>
                <w:sz w:val="20"/>
                <w:szCs w:val="20"/>
                <w:lang w:eastAsia="ja-JP"/>
              </w:rPr>
              <w:t>Medical speciality (</w:t>
            </w:r>
            <w:r w:rsidR="00E33A9B">
              <w:rPr>
                <w:rFonts w:cs="Arial"/>
                <w:sz w:val="20"/>
                <w:szCs w:val="20"/>
                <w:lang w:eastAsia="ja-JP"/>
              </w:rPr>
              <w:t>for example,</w:t>
            </w:r>
            <w:r w:rsidRPr="00D45B1A">
              <w:rPr>
                <w:rFonts w:cs="Arial"/>
                <w:sz w:val="20"/>
                <w:szCs w:val="20"/>
                <w:lang w:eastAsia="ja-JP"/>
              </w:rPr>
              <w:t xml:space="preserve"> orthopaedic surgery, cardiology, paediatric medicine)</w:t>
            </w:r>
          </w:p>
          <w:p w14:paraId="68D63C4D" w14:textId="05BCAC54" w:rsidR="00C27FB2" w:rsidRPr="00D45B1A" w:rsidRDefault="00C27FB2" w:rsidP="00B413EC">
            <w:pPr>
              <w:rPr>
                <w:rFonts w:cs="Arial"/>
                <w:sz w:val="20"/>
                <w:szCs w:val="20"/>
                <w:lang w:eastAsia="ja-JP"/>
              </w:rPr>
            </w:pPr>
            <w:r w:rsidRPr="00D45B1A">
              <w:rPr>
                <w:rFonts w:cs="Arial"/>
                <w:sz w:val="20"/>
                <w:szCs w:val="20"/>
                <w:lang w:eastAsia="ja-JP"/>
              </w:rPr>
              <w:t>Allied health discipline (</w:t>
            </w:r>
            <w:r w:rsidR="00B413EC">
              <w:rPr>
                <w:rFonts w:cs="Arial"/>
                <w:sz w:val="20"/>
                <w:szCs w:val="20"/>
                <w:lang w:eastAsia="ja-JP"/>
              </w:rPr>
              <w:t>for example,</w:t>
            </w:r>
            <w:r w:rsidRPr="00D45B1A">
              <w:rPr>
                <w:rFonts w:cs="Arial"/>
                <w:sz w:val="20"/>
                <w:szCs w:val="20"/>
                <w:lang w:eastAsia="ja-JP"/>
              </w:rPr>
              <w:t xml:space="preserve"> physiotherapy, social work, psychology)</w:t>
            </w:r>
          </w:p>
        </w:tc>
        <w:tc>
          <w:tcPr>
            <w:tcW w:w="3544" w:type="dxa"/>
          </w:tcPr>
          <w:p w14:paraId="68D63C4E" w14:textId="77777777" w:rsidR="00C27FB2" w:rsidRPr="00D45B1A" w:rsidRDefault="00C27FB2" w:rsidP="00821DDB">
            <w:pPr>
              <w:rPr>
                <w:rFonts w:cs="Arial"/>
                <w:sz w:val="20"/>
                <w:szCs w:val="20"/>
                <w:lang w:eastAsia="ja-JP"/>
              </w:rPr>
            </w:pPr>
            <w:r w:rsidRPr="00D45B1A">
              <w:rPr>
                <w:rFonts w:cs="Arial"/>
                <w:sz w:val="20"/>
                <w:szCs w:val="20"/>
                <w:lang w:eastAsia="ja-JP"/>
              </w:rPr>
              <w:t xml:space="preserve">Trainees have different resource requirements depending on their specialty. </w:t>
            </w:r>
          </w:p>
          <w:p w14:paraId="68D63C4F" w14:textId="322BB62F" w:rsidR="00C27FB2" w:rsidRPr="00D45B1A" w:rsidRDefault="00C27FB2" w:rsidP="00821DDB">
            <w:pPr>
              <w:rPr>
                <w:rFonts w:cs="Arial"/>
                <w:sz w:val="20"/>
                <w:szCs w:val="20"/>
                <w:lang w:eastAsia="ja-JP"/>
              </w:rPr>
            </w:pPr>
            <w:r w:rsidRPr="00D45B1A">
              <w:rPr>
                <w:rFonts w:cs="Arial"/>
                <w:sz w:val="20"/>
                <w:szCs w:val="20"/>
                <w:lang w:eastAsia="ja-JP"/>
              </w:rPr>
              <w:t>Important for clinical credibility to differentiate between specialities</w:t>
            </w:r>
            <w:r w:rsidR="00B413EC">
              <w:rPr>
                <w:rFonts w:cs="Arial"/>
                <w:sz w:val="20"/>
                <w:szCs w:val="20"/>
                <w:lang w:eastAsia="ja-JP"/>
              </w:rPr>
              <w:t xml:space="preserve"> or </w:t>
            </w:r>
            <w:r w:rsidRPr="00D45B1A">
              <w:rPr>
                <w:rFonts w:cs="Arial"/>
                <w:sz w:val="20"/>
                <w:szCs w:val="20"/>
                <w:lang w:eastAsia="ja-JP"/>
              </w:rPr>
              <w:t>disciplines.</w:t>
            </w:r>
          </w:p>
        </w:tc>
      </w:tr>
      <w:tr w:rsidR="00C27FB2" w:rsidRPr="00D45B1A" w14:paraId="68D63C56" w14:textId="77777777" w:rsidTr="00607D90">
        <w:trPr>
          <w:trHeight w:val="510"/>
        </w:trPr>
        <w:tc>
          <w:tcPr>
            <w:tcW w:w="0" w:type="auto"/>
          </w:tcPr>
          <w:p w14:paraId="68D63C51" w14:textId="77777777" w:rsidR="00C27FB2" w:rsidRPr="00D45B1A" w:rsidRDefault="00C27FB2" w:rsidP="00821DDB">
            <w:pPr>
              <w:rPr>
                <w:rFonts w:cs="Arial"/>
                <w:sz w:val="20"/>
                <w:szCs w:val="20"/>
                <w:lang w:eastAsia="ja-JP"/>
              </w:rPr>
            </w:pPr>
            <w:r w:rsidRPr="00D45B1A">
              <w:rPr>
                <w:rFonts w:cs="Arial"/>
                <w:sz w:val="20"/>
                <w:szCs w:val="20"/>
                <w:lang w:eastAsia="ja-JP"/>
              </w:rPr>
              <w:t>Year of training</w:t>
            </w:r>
          </w:p>
        </w:tc>
        <w:tc>
          <w:tcPr>
            <w:tcW w:w="2362" w:type="dxa"/>
          </w:tcPr>
          <w:p w14:paraId="68D63C52" w14:textId="77777777" w:rsidR="00C27FB2" w:rsidRPr="00D45B1A" w:rsidRDefault="00C27FB2" w:rsidP="00821DDB">
            <w:pPr>
              <w:rPr>
                <w:rFonts w:cs="Arial"/>
                <w:sz w:val="20"/>
                <w:szCs w:val="20"/>
                <w:lang w:eastAsia="ja-JP"/>
              </w:rPr>
            </w:pPr>
            <w:r w:rsidRPr="00D45B1A">
              <w:rPr>
                <w:rFonts w:cs="Arial"/>
                <w:sz w:val="20"/>
                <w:szCs w:val="20"/>
                <w:lang w:eastAsia="ja-JP"/>
              </w:rPr>
              <w:t>Year 1</w:t>
            </w:r>
          </w:p>
          <w:p w14:paraId="68D63C53" w14:textId="04D512CA" w:rsidR="00C27FB2" w:rsidRPr="00D45B1A" w:rsidRDefault="00C27FB2" w:rsidP="00821DDB">
            <w:pPr>
              <w:rPr>
                <w:rFonts w:cs="Arial"/>
                <w:sz w:val="20"/>
                <w:szCs w:val="20"/>
                <w:lang w:eastAsia="ja-JP"/>
              </w:rPr>
            </w:pPr>
            <w:r w:rsidRPr="00D45B1A">
              <w:rPr>
                <w:rFonts w:cs="Arial"/>
                <w:sz w:val="20"/>
                <w:szCs w:val="20"/>
                <w:lang w:eastAsia="ja-JP"/>
              </w:rPr>
              <w:t>Year 2</w:t>
            </w:r>
          </w:p>
          <w:p w14:paraId="68D63C54" w14:textId="51F8EE3B" w:rsidR="00C27FB2" w:rsidRPr="00D45B1A" w:rsidRDefault="00C27FB2" w:rsidP="00821DDB">
            <w:pPr>
              <w:rPr>
                <w:rFonts w:cs="Arial"/>
                <w:sz w:val="20"/>
                <w:szCs w:val="20"/>
                <w:lang w:eastAsia="ja-JP"/>
              </w:rPr>
            </w:pPr>
            <w:r w:rsidRPr="00D45B1A">
              <w:rPr>
                <w:rFonts w:cs="Arial"/>
                <w:sz w:val="20"/>
                <w:szCs w:val="20"/>
                <w:lang w:eastAsia="ja-JP"/>
              </w:rPr>
              <w:t xml:space="preserve">Year 3 </w:t>
            </w:r>
            <w:r w:rsidR="00B413EC">
              <w:rPr>
                <w:rFonts w:cs="Arial"/>
                <w:sz w:val="20"/>
                <w:szCs w:val="20"/>
                <w:lang w:eastAsia="ja-JP"/>
              </w:rPr>
              <w:t>etc.</w:t>
            </w:r>
          </w:p>
        </w:tc>
        <w:tc>
          <w:tcPr>
            <w:tcW w:w="3544" w:type="dxa"/>
          </w:tcPr>
          <w:p w14:paraId="68D63C55" w14:textId="77777777" w:rsidR="00C27FB2" w:rsidRPr="00D45B1A" w:rsidRDefault="00C27FB2" w:rsidP="00821DDB">
            <w:pPr>
              <w:rPr>
                <w:rFonts w:cs="Arial"/>
                <w:sz w:val="20"/>
                <w:szCs w:val="20"/>
                <w:lang w:eastAsia="ja-JP"/>
              </w:rPr>
            </w:pPr>
            <w:r w:rsidRPr="00D45B1A">
              <w:rPr>
                <w:rFonts w:cs="Arial"/>
                <w:sz w:val="20"/>
                <w:szCs w:val="20"/>
                <w:lang w:eastAsia="ja-JP"/>
              </w:rPr>
              <w:t>Year of training may influence the type of training provided and its resources requirements.</w:t>
            </w:r>
          </w:p>
        </w:tc>
      </w:tr>
      <w:tr w:rsidR="00C27FB2" w:rsidRPr="00D45B1A" w14:paraId="68D63C5B" w14:textId="77777777" w:rsidTr="00607D90">
        <w:trPr>
          <w:trHeight w:val="510"/>
        </w:trPr>
        <w:tc>
          <w:tcPr>
            <w:tcW w:w="0" w:type="auto"/>
          </w:tcPr>
          <w:p w14:paraId="68D63C57" w14:textId="77777777" w:rsidR="00C27FB2" w:rsidRPr="00D45B1A" w:rsidRDefault="00C27FB2" w:rsidP="00821DDB">
            <w:pPr>
              <w:rPr>
                <w:rFonts w:cs="Arial"/>
                <w:sz w:val="20"/>
                <w:szCs w:val="20"/>
                <w:lang w:eastAsia="ja-JP"/>
              </w:rPr>
            </w:pPr>
            <w:r w:rsidRPr="00D45B1A">
              <w:rPr>
                <w:rFonts w:cs="Arial"/>
                <w:sz w:val="20"/>
                <w:szCs w:val="20"/>
                <w:lang w:eastAsia="ja-JP"/>
              </w:rPr>
              <w:t>Type of degree</w:t>
            </w:r>
          </w:p>
        </w:tc>
        <w:tc>
          <w:tcPr>
            <w:tcW w:w="2362" w:type="dxa"/>
          </w:tcPr>
          <w:p w14:paraId="68D63C58" w14:textId="77777777" w:rsidR="00C27FB2" w:rsidRPr="00D45B1A" w:rsidRDefault="00C27FB2" w:rsidP="00821DDB">
            <w:pPr>
              <w:rPr>
                <w:rFonts w:cs="Arial"/>
                <w:sz w:val="20"/>
                <w:szCs w:val="20"/>
                <w:lang w:eastAsia="ja-JP"/>
              </w:rPr>
            </w:pPr>
            <w:r w:rsidRPr="00D45B1A">
              <w:rPr>
                <w:rFonts w:cs="Arial"/>
                <w:sz w:val="20"/>
                <w:szCs w:val="20"/>
                <w:lang w:eastAsia="ja-JP"/>
              </w:rPr>
              <w:t>Undergraduate</w:t>
            </w:r>
          </w:p>
          <w:p w14:paraId="68D63C59" w14:textId="77777777" w:rsidR="00C27FB2" w:rsidRPr="00D45B1A" w:rsidRDefault="00C27FB2" w:rsidP="00821DDB">
            <w:pPr>
              <w:rPr>
                <w:rFonts w:cs="Arial"/>
                <w:sz w:val="20"/>
                <w:szCs w:val="20"/>
                <w:lang w:eastAsia="ja-JP"/>
              </w:rPr>
            </w:pPr>
            <w:r w:rsidRPr="00D45B1A">
              <w:rPr>
                <w:rFonts w:cs="Arial"/>
                <w:sz w:val="20"/>
                <w:szCs w:val="20"/>
                <w:lang w:eastAsia="ja-JP"/>
              </w:rPr>
              <w:t>Postgraduate</w:t>
            </w:r>
          </w:p>
        </w:tc>
        <w:tc>
          <w:tcPr>
            <w:tcW w:w="3544" w:type="dxa"/>
          </w:tcPr>
          <w:p w14:paraId="68D63C5A" w14:textId="77777777" w:rsidR="00C27FB2" w:rsidRPr="00D45B1A" w:rsidRDefault="00C27FB2" w:rsidP="00821DDB">
            <w:pPr>
              <w:rPr>
                <w:rFonts w:cs="Arial"/>
                <w:sz w:val="20"/>
                <w:szCs w:val="20"/>
                <w:lang w:eastAsia="ja-JP"/>
              </w:rPr>
            </w:pPr>
            <w:r w:rsidRPr="00D45B1A">
              <w:rPr>
                <w:rFonts w:cs="Arial"/>
                <w:sz w:val="20"/>
                <w:szCs w:val="20"/>
                <w:lang w:eastAsia="ja-JP"/>
              </w:rPr>
              <w:t xml:space="preserve">The type of training and its resources requirements will also be depended on the subject matter delivered. </w:t>
            </w:r>
          </w:p>
        </w:tc>
      </w:tr>
      <w:tr w:rsidR="00C27FB2" w:rsidRPr="00D45B1A" w14:paraId="68D63C60" w14:textId="77777777" w:rsidTr="00607D90">
        <w:trPr>
          <w:trHeight w:val="510"/>
        </w:trPr>
        <w:tc>
          <w:tcPr>
            <w:tcW w:w="0" w:type="auto"/>
          </w:tcPr>
          <w:p w14:paraId="68D63C5C" w14:textId="77777777" w:rsidR="00C27FB2" w:rsidRPr="00D45B1A" w:rsidRDefault="00C27FB2" w:rsidP="00821DDB">
            <w:pPr>
              <w:rPr>
                <w:rFonts w:cs="Arial"/>
                <w:sz w:val="20"/>
                <w:szCs w:val="20"/>
                <w:lang w:eastAsia="ja-JP"/>
              </w:rPr>
            </w:pPr>
            <w:r w:rsidRPr="00D45B1A">
              <w:rPr>
                <w:rFonts w:cs="Arial"/>
                <w:sz w:val="20"/>
                <w:szCs w:val="20"/>
                <w:lang w:eastAsia="ja-JP"/>
              </w:rPr>
              <w:t>International medical trainee</w:t>
            </w:r>
          </w:p>
        </w:tc>
        <w:tc>
          <w:tcPr>
            <w:tcW w:w="2362" w:type="dxa"/>
          </w:tcPr>
          <w:p w14:paraId="68D63C5D" w14:textId="77777777" w:rsidR="00C27FB2" w:rsidRPr="00D45B1A" w:rsidRDefault="00C27FB2" w:rsidP="00821DDB">
            <w:pPr>
              <w:rPr>
                <w:rFonts w:cs="Arial"/>
                <w:sz w:val="20"/>
                <w:szCs w:val="20"/>
                <w:lang w:eastAsia="ja-JP"/>
              </w:rPr>
            </w:pPr>
            <w:r w:rsidRPr="00D45B1A">
              <w:rPr>
                <w:rFonts w:cs="Arial"/>
                <w:sz w:val="20"/>
                <w:szCs w:val="20"/>
                <w:lang w:eastAsia="ja-JP"/>
              </w:rPr>
              <w:t>Yes</w:t>
            </w:r>
          </w:p>
          <w:p w14:paraId="68D63C5E" w14:textId="77777777" w:rsidR="00C27FB2" w:rsidRPr="00D45B1A" w:rsidRDefault="00C27FB2" w:rsidP="00821DDB">
            <w:pPr>
              <w:rPr>
                <w:rFonts w:cs="Arial"/>
                <w:sz w:val="20"/>
                <w:szCs w:val="20"/>
                <w:lang w:eastAsia="ja-JP"/>
              </w:rPr>
            </w:pPr>
            <w:r w:rsidRPr="00D45B1A">
              <w:rPr>
                <w:rFonts w:cs="Arial"/>
                <w:sz w:val="20"/>
                <w:szCs w:val="20"/>
                <w:lang w:eastAsia="ja-JP"/>
              </w:rPr>
              <w:t>No</w:t>
            </w:r>
          </w:p>
        </w:tc>
        <w:tc>
          <w:tcPr>
            <w:tcW w:w="3544" w:type="dxa"/>
          </w:tcPr>
          <w:p w14:paraId="68D63C5F" w14:textId="77777777" w:rsidR="00C27FB2" w:rsidRPr="00D45B1A" w:rsidRDefault="00C27FB2" w:rsidP="00821DDB">
            <w:pPr>
              <w:rPr>
                <w:rFonts w:cs="Arial"/>
                <w:sz w:val="20"/>
                <w:szCs w:val="20"/>
                <w:lang w:eastAsia="ja-JP"/>
              </w:rPr>
            </w:pPr>
            <w:r w:rsidRPr="00D45B1A">
              <w:rPr>
                <w:rFonts w:cs="Arial"/>
                <w:sz w:val="20"/>
                <w:szCs w:val="20"/>
                <w:lang w:eastAsia="ja-JP"/>
              </w:rPr>
              <w:t>International medical trainees may require additional resources.</w:t>
            </w:r>
          </w:p>
        </w:tc>
      </w:tr>
    </w:tbl>
    <w:p w14:paraId="68D63C61" w14:textId="77777777" w:rsidR="00C27FB2" w:rsidRPr="00D45B1A" w:rsidRDefault="00336AB2" w:rsidP="00897BF9">
      <w:pPr>
        <w:pStyle w:val="Level3Heading"/>
        <w:rPr>
          <w:lang w:val="en-US"/>
        </w:rPr>
      </w:pPr>
      <w:r>
        <w:rPr>
          <w:lang w:val="en-US"/>
        </w:rPr>
        <w:t>Step 6</w:t>
      </w:r>
      <w:r w:rsidR="00EB4353">
        <w:rPr>
          <w:lang w:val="en-US"/>
        </w:rPr>
        <w:t>:</w:t>
      </w:r>
      <w:r>
        <w:rPr>
          <w:lang w:val="en-US"/>
        </w:rPr>
        <w:t xml:space="preserve"> </w:t>
      </w:r>
      <w:r w:rsidR="00C27FB2" w:rsidRPr="00D45B1A">
        <w:rPr>
          <w:lang w:val="en-US"/>
        </w:rPr>
        <w:t xml:space="preserve">Matching expenses </w:t>
      </w:r>
      <w:r w:rsidR="004738A8" w:rsidRPr="00D45B1A">
        <w:rPr>
          <w:lang w:val="en-US"/>
        </w:rPr>
        <w:t xml:space="preserve">to teaching and </w:t>
      </w:r>
      <w:r w:rsidR="004738A8">
        <w:rPr>
          <w:lang w:val="en-US"/>
        </w:rPr>
        <w:t>t</w:t>
      </w:r>
      <w:r w:rsidR="004738A8" w:rsidRPr="00D45B1A">
        <w:rPr>
          <w:lang w:val="en-US"/>
        </w:rPr>
        <w:t>rainin</w:t>
      </w:r>
      <w:r w:rsidR="00C27FB2" w:rsidRPr="00D45B1A">
        <w:rPr>
          <w:lang w:val="en-US"/>
        </w:rPr>
        <w:t xml:space="preserve">g product </w:t>
      </w:r>
    </w:p>
    <w:p w14:paraId="68D63C62" w14:textId="4AE8A235" w:rsidR="00C27FB2" w:rsidRPr="00D45B1A" w:rsidRDefault="00C27FB2" w:rsidP="004738A8">
      <w:pPr>
        <w:pStyle w:val="Level3"/>
      </w:pPr>
      <w:r w:rsidRPr="00D45B1A">
        <w:t xml:space="preserve">Classifications to provide the </w:t>
      </w:r>
      <w:r w:rsidR="00B413EC">
        <w:t>‘</w:t>
      </w:r>
      <w:r w:rsidRPr="00D45B1A">
        <w:t>document</w:t>
      </w:r>
      <w:r w:rsidR="00B413EC">
        <w:t>’</w:t>
      </w:r>
      <w:r w:rsidRPr="00D45B1A">
        <w:t xml:space="preserve"> used to apply the</w:t>
      </w:r>
      <w:r w:rsidR="00B413EC">
        <w:t xml:space="preserve"> teaching, training and research </w:t>
      </w:r>
      <w:r w:rsidRPr="00D45B1A">
        <w:t>costing methodology.</w:t>
      </w:r>
    </w:p>
    <w:p w14:paraId="68D63C63" w14:textId="75D35D75" w:rsidR="00C27FB2" w:rsidRPr="00D45B1A" w:rsidRDefault="00C27FB2" w:rsidP="004738A8">
      <w:pPr>
        <w:pStyle w:val="Level3"/>
      </w:pPr>
      <w:r w:rsidRPr="00D45B1A">
        <w:t xml:space="preserve">Upon processing expenses through the costing system, the outputs will consist of direct and overhead costs only for the </w:t>
      </w:r>
      <w:r w:rsidR="00B413EC">
        <w:t>t</w:t>
      </w:r>
      <w:r w:rsidRPr="00D45B1A">
        <w:t xml:space="preserve">eaching and </w:t>
      </w:r>
      <w:r w:rsidR="00B413EC">
        <w:t>t</w:t>
      </w:r>
      <w:r w:rsidRPr="00D45B1A">
        <w:t>raining product.</w:t>
      </w:r>
    </w:p>
    <w:p w14:paraId="68D63C64" w14:textId="48B54677" w:rsidR="00C27FB2" w:rsidRPr="00D45B1A" w:rsidRDefault="00C27FB2" w:rsidP="004738A8">
      <w:pPr>
        <w:pStyle w:val="Level3"/>
      </w:pPr>
      <w:r w:rsidRPr="00D45B1A">
        <w:t xml:space="preserve">Costing </w:t>
      </w:r>
      <w:r w:rsidR="00B413EC">
        <w:t>p</w:t>
      </w:r>
      <w:r w:rsidRPr="00D45B1A">
        <w:t>ractitioners should ensure that any offsets or adjustments are specified as per Standard</w:t>
      </w:r>
      <w:r w:rsidR="00A817AC">
        <w:t xml:space="preserve"> </w:t>
      </w:r>
      <w:r w:rsidR="000C3350">
        <w:t xml:space="preserve">6.2 </w:t>
      </w:r>
      <w:r w:rsidRPr="00D45B1A">
        <w:t>– Reconciliation to Source Data.</w:t>
      </w:r>
    </w:p>
    <w:p w14:paraId="68D63C65" w14:textId="77777777" w:rsidR="00C27FB2" w:rsidRPr="00D45B1A" w:rsidRDefault="00C27FB2" w:rsidP="00C27FB2">
      <w:pPr>
        <w:rPr>
          <w:rFonts w:cs="Arial"/>
        </w:rPr>
      </w:pPr>
      <w:r w:rsidRPr="00D45B1A">
        <w:rPr>
          <w:rFonts w:cs="Arial"/>
        </w:rPr>
        <w:br w:type="page"/>
      </w:r>
    </w:p>
    <w:p w14:paraId="68D63C66" w14:textId="77777777" w:rsidR="00C27FB2" w:rsidRPr="00D45B1A" w:rsidRDefault="00C27FB2" w:rsidP="00D97D20">
      <w:pPr>
        <w:pStyle w:val="Heading2"/>
      </w:pPr>
      <w:bookmarkStart w:id="20" w:name="_Toc478631939"/>
      <w:bookmarkStart w:id="21" w:name="_Toc480492971"/>
      <w:bookmarkStart w:id="22" w:name="_Toc80778498"/>
      <w:r w:rsidRPr="00D45B1A">
        <w:lastRenderedPageBreak/>
        <w:t>Research</w:t>
      </w:r>
      <w:bookmarkEnd w:id="20"/>
      <w:bookmarkEnd w:id="21"/>
      <w:bookmarkEnd w:id="22"/>
    </w:p>
    <w:p w14:paraId="68D63C67" w14:textId="77777777" w:rsidR="00C27FB2" w:rsidRPr="00D45B1A" w:rsidRDefault="00C27FB2" w:rsidP="00897CD3">
      <w:pPr>
        <w:pStyle w:val="Heading3"/>
      </w:pPr>
      <w:r w:rsidRPr="00D45B1A">
        <w:t>Scope</w:t>
      </w:r>
    </w:p>
    <w:p w14:paraId="68D63C68" w14:textId="7131BEA8" w:rsidR="00C27FB2" w:rsidRDefault="00C27FB2" w:rsidP="004738A8">
      <w:pPr>
        <w:pStyle w:val="Level3"/>
      </w:pPr>
      <w:r w:rsidRPr="00D45B1A">
        <w:t>Th</w:t>
      </w:r>
      <w:r w:rsidR="00373793">
        <w:t>is</w:t>
      </w:r>
      <w:r w:rsidR="001B41F4">
        <w:t xml:space="preserve"> g</w:t>
      </w:r>
      <w:r w:rsidR="00B63007">
        <w:t>uideline</w:t>
      </w:r>
      <w:r w:rsidRPr="00D45B1A">
        <w:t xml:space="preserve"> </w:t>
      </w:r>
      <w:r w:rsidR="00061CAC">
        <w:t>outlines an approach</w:t>
      </w:r>
      <w:r w:rsidRPr="00D45B1A">
        <w:t xml:space="preserve"> for identifying the scope and source of expenses, activity and costing application</w:t>
      </w:r>
      <w:r w:rsidR="00EB2C4D">
        <w:t>,</w:t>
      </w:r>
      <w:r w:rsidRPr="00D45B1A">
        <w:t xml:space="preserve"> which relate to </w:t>
      </w:r>
      <w:r w:rsidR="00EB2C4D">
        <w:t>r</w:t>
      </w:r>
      <w:r w:rsidRPr="00D45B1A">
        <w:t>esearch.</w:t>
      </w:r>
    </w:p>
    <w:p w14:paraId="68D63C69" w14:textId="77777777" w:rsidR="00897BF9" w:rsidRPr="00D45B1A" w:rsidRDefault="00897BF9" w:rsidP="00897BF9">
      <w:pPr>
        <w:pStyle w:val="Level3Heading"/>
      </w:pPr>
      <w:r w:rsidRPr="00D45B1A">
        <w:t xml:space="preserve">Research </w:t>
      </w:r>
      <w:r w:rsidR="008A6B15">
        <w:t>s</w:t>
      </w:r>
      <w:r w:rsidRPr="00D45B1A">
        <w:t>cope</w:t>
      </w:r>
    </w:p>
    <w:p w14:paraId="68D63C6A" w14:textId="1C6C29F2" w:rsidR="00897BF9" w:rsidRPr="00D45B1A" w:rsidRDefault="00897BF9" w:rsidP="004738A8">
      <w:pPr>
        <w:pStyle w:val="Level3"/>
      </w:pPr>
      <w:r w:rsidRPr="00D45B1A">
        <w:t xml:space="preserve">In general terms, </w:t>
      </w:r>
      <w:r w:rsidR="00EB2C4D">
        <w:t>r</w:t>
      </w:r>
      <w:r w:rsidRPr="00D45B1A">
        <w:t xml:space="preserve">esearch activities are those where the primary aim is the advancement of knowledge through observation; data analysis and interpretation; or other techniques that do not involve the provision of patient care. </w:t>
      </w:r>
    </w:p>
    <w:p w14:paraId="68D63C6B" w14:textId="77777777" w:rsidR="00897BF9" w:rsidRPr="00D45B1A" w:rsidRDefault="00897BF9" w:rsidP="004738A8">
      <w:pPr>
        <w:pStyle w:val="Level3"/>
      </w:pPr>
      <w:r w:rsidRPr="00D45B1A">
        <w:t>Curriculum-based research projects are deemed as teaching and not research.</w:t>
      </w:r>
    </w:p>
    <w:p w14:paraId="68D63C6C" w14:textId="77777777" w:rsidR="00897BF9" w:rsidRPr="00D45B1A" w:rsidRDefault="00897BF9" w:rsidP="004738A8">
      <w:pPr>
        <w:pStyle w:val="Level3"/>
      </w:pPr>
      <w:r w:rsidRPr="00D45B1A">
        <w:t>Where research requires delivery of patient care such a clinical trial, these activities are part of patient products and not be allocated to the research product.</w:t>
      </w:r>
    </w:p>
    <w:p w14:paraId="68D63C6D" w14:textId="7C91E694" w:rsidR="00897BF9" w:rsidRPr="00D45B1A" w:rsidRDefault="00897BF9" w:rsidP="004738A8">
      <w:pPr>
        <w:pStyle w:val="Level3"/>
      </w:pPr>
      <w:r w:rsidRPr="00D45B1A">
        <w:t xml:space="preserve">Costing </w:t>
      </w:r>
      <w:r w:rsidR="00EB2C4D">
        <w:t>p</w:t>
      </w:r>
      <w:r w:rsidRPr="00D45B1A">
        <w:t>ractitioners must ensure research expense is aligned with the research product. The key to determining research expense is through discussions with relevant stakeholders throughout the hospital.</w:t>
      </w:r>
    </w:p>
    <w:p w14:paraId="68D63C6E" w14:textId="77777777" w:rsidR="00C27FB2" w:rsidRPr="00D45B1A" w:rsidRDefault="00C27FB2" w:rsidP="00897CD3">
      <w:pPr>
        <w:pStyle w:val="Heading3"/>
      </w:pPr>
      <w:r w:rsidRPr="00D45B1A">
        <w:t>Objective</w:t>
      </w:r>
    </w:p>
    <w:p w14:paraId="68D63C6F" w14:textId="4C14ACAB" w:rsidR="00C27FB2" w:rsidRPr="00D45B1A" w:rsidRDefault="00C27FB2" w:rsidP="004738A8">
      <w:pPr>
        <w:pStyle w:val="Level3"/>
      </w:pPr>
      <w:r w:rsidRPr="00D45B1A">
        <w:t xml:space="preserve">To ensure that research related costs are identified into products categories that sufficiently differentiate it from other products (such as </w:t>
      </w:r>
      <w:r w:rsidR="00EB2C4D">
        <w:t>t</w:t>
      </w:r>
      <w:r w:rsidRPr="00D45B1A">
        <w:t xml:space="preserve">eaching and </w:t>
      </w:r>
      <w:r w:rsidR="00EB2C4D">
        <w:t>t</w:t>
      </w:r>
      <w:r w:rsidRPr="00D45B1A">
        <w:t>raining).</w:t>
      </w:r>
    </w:p>
    <w:p w14:paraId="68D63C70" w14:textId="77777777" w:rsidR="00C27FB2" w:rsidRPr="00D45B1A" w:rsidRDefault="00C27FB2" w:rsidP="004738A8">
      <w:pPr>
        <w:pStyle w:val="Level3"/>
      </w:pPr>
      <w:r w:rsidRPr="00D45B1A">
        <w:t>To ensure that products that relate to research include those expenses and activities that have occurred within the period are correctly identified and appropriately costed to final products.</w:t>
      </w:r>
    </w:p>
    <w:p w14:paraId="68D63C71" w14:textId="503104DF" w:rsidR="00C27FB2" w:rsidRPr="00D45B1A" w:rsidRDefault="00B63007" w:rsidP="00897CD3">
      <w:pPr>
        <w:pStyle w:val="Heading3"/>
      </w:pPr>
      <w:r>
        <w:t xml:space="preserve">Costing </w:t>
      </w:r>
      <w:r w:rsidR="00373793">
        <w:t>G</w:t>
      </w:r>
      <w:r>
        <w:t>uideline</w:t>
      </w:r>
    </w:p>
    <w:p w14:paraId="68D63C72" w14:textId="0394B64F" w:rsidR="00C27FB2" w:rsidRPr="00D45B1A" w:rsidRDefault="00C27FB2" w:rsidP="00897BF9">
      <w:pPr>
        <w:pStyle w:val="Level3Heading"/>
      </w:pPr>
      <w:r w:rsidRPr="00D45B1A">
        <w:t>Step 1</w:t>
      </w:r>
      <w:r w:rsidR="00EB4353">
        <w:t xml:space="preserve">: </w:t>
      </w:r>
      <w:r w:rsidRPr="00D45B1A">
        <w:t xml:space="preserve">Create a </w:t>
      </w:r>
      <w:r w:rsidR="008A6B15">
        <w:t>d</w:t>
      </w:r>
      <w:r w:rsidRPr="00D45B1A">
        <w:t xml:space="preserve">irect and </w:t>
      </w:r>
      <w:r w:rsidR="008A6B15">
        <w:t>i</w:t>
      </w:r>
      <w:r w:rsidR="008A6B15" w:rsidRPr="00D45B1A">
        <w:t xml:space="preserve">ndirect </w:t>
      </w:r>
      <w:r w:rsidRPr="00D45B1A">
        <w:t>(</w:t>
      </w:r>
      <w:r w:rsidR="008A6B15">
        <w:t>o</w:t>
      </w:r>
      <w:r w:rsidR="008A6B15" w:rsidRPr="00D45B1A">
        <w:t>verhead</w:t>
      </w:r>
      <w:r w:rsidRPr="00D45B1A">
        <w:t xml:space="preserve">) </w:t>
      </w:r>
      <w:r w:rsidR="00EB2C4D">
        <w:t>r</w:t>
      </w:r>
      <w:r w:rsidR="008A6B15" w:rsidRPr="00D45B1A">
        <w:t xml:space="preserve">esearch </w:t>
      </w:r>
      <w:r w:rsidR="008A6B15">
        <w:t>f</w:t>
      </w:r>
      <w:r w:rsidR="008A6B15" w:rsidRPr="00D45B1A">
        <w:t xml:space="preserve">inal </w:t>
      </w:r>
      <w:r w:rsidRPr="00D45B1A">
        <w:t>cost centre</w:t>
      </w:r>
    </w:p>
    <w:p w14:paraId="68D63C73" w14:textId="7B229943" w:rsidR="00C27FB2" w:rsidRPr="00D45B1A" w:rsidRDefault="00C27FB2" w:rsidP="004738A8">
      <w:pPr>
        <w:pStyle w:val="Level3"/>
      </w:pPr>
      <w:r w:rsidRPr="00D45B1A">
        <w:t xml:space="preserve">Costing practitioners should establish a </w:t>
      </w:r>
      <w:r w:rsidR="00EB2C4D">
        <w:t>r</w:t>
      </w:r>
      <w:r w:rsidRPr="00D45B1A">
        <w:t xml:space="preserve">esearch direct and indirect final cost centre within the costing system to align expense which are </w:t>
      </w:r>
      <w:r w:rsidR="00604D6B">
        <w:t>in</w:t>
      </w:r>
      <w:r w:rsidRPr="00D45B1A">
        <w:t xml:space="preserve"> scope.</w:t>
      </w:r>
    </w:p>
    <w:p w14:paraId="68D63C74" w14:textId="795E91C1" w:rsidR="00C27FB2" w:rsidRPr="00D45B1A" w:rsidRDefault="00C27FB2" w:rsidP="00897BF9">
      <w:pPr>
        <w:pStyle w:val="Level3Heading"/>
      </w:pPr>
      <w:r w:rsidRPr="00D45B1A">
        <w:t>Step 2</w:t>
      </w:r>
      <w:r w:rsidR="00EB4353">
        <w:t xml:space="preserve">: </w:t>
      </w:r>
      <w:r w:rsidRPr="00D45B1A">
        <w:t xml:space="preserve">Align </w:t>
      </w:r>
      <w:r w:rsidR="008A6B15">
        <w:t>d</w:t>
      </w:r>
      <w:r w:rsidRPr="00D45B1A">
        <w:t xml:space="preserve">irect </w:t>
      </w:r>
      <w:r w:rsidR="008A6B15">
        <w:t>r</w:t>
      </w:r>
      <w:r w:rsidR="008A6B15" w:rsidRPr="00D45B1A">
        <w:t xml:space="preserve">esearch </w:t>
      </w:r>
      <w:r w:rsidR="008A6B15">
        <w:t>e</w:t>
      </w:r>
      <w:r w:rsidR="008A6B15" w:rsidRPr="00D45B1A">
        <w:t xml:space="preserve">xpense </w:t>
      </w:r>
      <w:r w:rsidRPr="00D45B1A">
        <w:t xml:space="preserve">to the </w:t>
      </w:r>
      <w:r w:rsidR="00EB2C4D">
        <w:t>r</w:t>
      </w:r>
      <w:r w:rsidR="008A6B15" w:rsidRPr="00D45B1A">
        <w:t xml:space="preserve">esearch </w:t>
      </w:r>
      <w:r w:rsidR="008A6B15">
        <w:t>f</w:t>
      </w:r>
      <w:r w:rsidR="008A6B15" w:rsidRPr="00D45B1A">
        <w:t>inal</w:t>
      </w:r>
      <w:r w:rsidRPr="00D45B1A">
        <w:t xml:space="preserve"> cost centre</w:t>
      </w:r>
    </w:p>
    <w:p w14:paraId="68D63C75" w14:textId="359D6A87" w:rsidR="00C27FB2" w:rsidRPr="00D45B1A" w:rsidRDefault="00C27FB2" w:rsidP="004738A8">
      <w:pPr>
        <w:pStyle w:val="Level3"/>
      </w:pPr>
      <w:r w:rsidRPr="00D45B1A">
        <w:t xml:space="preserve">Costing practitioners should meet with relevant stakeholders to determine research related cost centres and the proportion of staff </w:t>
      </w:r>
      <w:r w:rsidR="00EB2C4D">
        <w:t>full-t</w:t>
      </w:r>
      <w:r w:rsidRPr="00D45B1A">
        <w:t xml:space="preserve">ime </w:t>
      </w:r>
      <w:r w:rsidR="00EB2C4D">
        <w:t>e</w:t>
      </w:r>
      <w:r w:rsidRPr="00D45B1A">
        <w:t>quivalents located in other cost centres that support or undertake research activities.</w:t>
      </w:r>
    </w:p>
    <w:p w14:paraId="68D63C76" w14:textId="362133BB" w:rsidR="00C27FB2" w:rsidRPr="00D45B1A" w:rsidRDefault="00C27FB2" w:rsidP="004738A8">
      <w:pPr>
        <w:pStyle w:val="Level3"/>
      </w:pPr>
      <w:r w:rsidRPr="00D45B1A">
        <w:t xml:space="preserve">The relevant stakeholders include the </w:t>
      </w:r>
      <w:r w:rsidR="00EB2C4D">
        <w:t>f</w:t>
      </w:r>
      <w:r w:rsidRPr="00D45B1A">
        <w:t xml:space="preserve">inance </w:t>
      </w:r>
      <w:r w:rsidR="008A2B19">
        <w:t>d</w:t>
      </w:r>
      <w:r w:rsidRPr="00D45B1A">
        <w:t xml:space="preserve">epartment; </w:t>
      </w:r>
      <w:r w:rsidR="00EB2C4D">
        <w:t>r</w:t>
      </w:r>
      <w:r w:rsidRPr="00D45B1A">
        <w:t xml:space="preserve">esearch </w:t>
      </w:r>
      <w:r w:rsidR="00EB2C4D">
        <w:t>a</w:t>
      </w:r>
      <w:r w:rsidRPr="00D45B1A">
        <w:t>dministration (if available); and managers of clinical directorates (</w:t>
      </w:r>
      <w:r w:rsidR="00EB2C4D">
        <w:t>for example</w:t>
      </w:r>
      <w:r w:rsidRPr="00D45B1A">
        <w:t>, medical, nursing, and allied health). The purpose of these meetings is to determine the proportion of time spent by these areas supporting or undertaking research activities in the health service. These expenses will be primarily staff time related.</w:t>
      </w:r>
    </w:p>
    <w:p w14:paraId="68D63C77" w14:textId="77777777" w:rsidR="00C27FB2" w:rsidRPr="00D45B1A" w:rsidRDefault="00C27FB2" w:rsidP="004738A8">
      <w:pPr>
        <w:pStyle w:val="Level3"/>
      </w:pPr>
      <w:r w:rsidRPr="00D45B1A">
        <w:t>Costing practitioners need to seek the following information during these meetings:</w:t>
      </w:r>
    </w:p>
    <w:p w14:paraId="68D63C78" w14:textId="32CA4E7F" w:rsidR="00C27FB2" w:rsidRPr="00D45B1A" w:rsidRDefault="00C27FB2" w:rsidP="00A27C5B">
      <w:pPr>
        <w:pStyle w:val="ListBullet"/>
        <w:spacing w:after="120"/>
      </w:pPr>
      <w:r w:rsidRPr="00D45B1A">
        <w:lastRenderedPageBreak/>
        <w:t xml:space="preserve">the proportion of staff time or </w:t>
      </w:r>
      <w:r w:rsidR="00EB2C4D">
        <w:t>full-time equivalent</w:t>
      </w:r>
      <w:r w:rsidR="00EB2C4D" w:rsidRPr="00D45B1A">
        <w:t xml:space="preserve"> </w:t>
      </w:r>
      <w:r w:rsidR="00EB2C4D">
        <w:t xml:space="preserve">(FTE) </w:t>
      </w:r>
      <w:r w:rsidRPr="00D45B1A">
        <w:t>spent supporting or undertaking direct research a</w:t>
      </w:r>
      <w:r w:rsidR="005F1B23">
        <w:t>ctivities during rostered hours</w:t>
      </w:r>
    </w:p>
    <w:p w14:paraId="68D63C79" w14:textId="77777777" w:rsidR="00C27FB2" w:rsidRPr="00D45B1A" w:rsidRDefault="00C27FB2" w:rsidP="00A27C5B">
      <w:pPr>
        <w:pStyle w:val="ListBullet"/>
        <w:spacing w:after="120"/>
      </w:pPr>
      <w:r w:rsidRPr="00D45B1A">
        <w:t xml:space="preserve">supporting information from staff rosters or timetabling systems. </w:t>
      </w:r>
    </w:p>
    <w:p w14:paraId="68D63C7A" w14:textId="77777777" w:rsidR="00C27FB2" w:rsidRPr="00D45B1A" w:rsidRDefault="00C27FB2" w:rsidP="004738A8">
      <w:pPr>
        <w:pStyle w:val="Level3"/>
      </w:pPr>
      <w:r w:rsidRPr="00D45B1A">
        <w:t>Costing practitioners should consider the following departmental expenses that contribute to research activities:</w:t>
      </w:r>
    </w:p>
    <w:p w14:paraId="68D63C7B" w14:textId="7BB2BFAF" w:rsidR="00C27FB2" w:rsidRPr="00D45B1A" w:rsidRDefault="00EB2C4D" w:rsidP="00A27C5B">
      <w:pPr>
        <w:pStyle w:val="ListBullet"/>
        <w:spacing w:after="120"/>
      </w:pPr>
      <w:r>
        <w:t>t</w:t>
      </w:r>
      <w:r w:rsidR="00C27FB2" w:rsidRPr="00D45B1A">
        <w:t xml:space="preserve">ime spent by supporting hospital departments such as </w:t>
      </w:r>
      <w:r>
        <w:t>d</w:t>
      </w:r>
      <w:r w:rsidR="00C27FB2" w:rsidRPr="00D45B1A">
        <w:t xml:space="preserve">ecision </w:t>
      </w:r>
      <w:r>
        <w:t>s</w:t>
      </w:r>
      <w:r w:rsidR="00C27FB2" w:rsidRPr="00D45B1A">
        <w:t xml:space="preserve">upport or </w:t>
      </w:r>
      <w:r>
        <w:t>b</w:t>
      </w:r>
      <w:r w:rsidR="00C27FB2" w:rsidRPr="00D45B1A">
        <w:t xml:space="preserve">usiness </w:t>
      </w:r>
      <w:r>
        <w:t>i</w:t>
      </w:r>
      <w:r w:rsidR="00C27FB2" w:rsidRPr="00D45B1A">
        <w:t xml:space="preserve">ntelligence </w:t>
      </w:r>
      <w:r>
        <w:t>u</w:t>
      </w:r>
      <w:r w:rsidR="00C27FB2" w:rsidRPr="00D45B1A">
        <w:t>nits whom supply researchers with data for research purposes</w:t>
      </w:r>
    </w:p>
    <w:p w14:paraId="68D63C7C" w14:textId="65D1A467" w:rsidR="00C27FB2" w:rsidRPr="00D45B1A" w:rsidRDefault="00EB2C4D" w:rsidP="00A27C5B">
      <w:pPr>
        <w:pStyle w:val="ListBullet"/>
        <w:spacing w:after="120"/>
      </w:pPr>
      <w:r>
        <w:t>w</w:t>
      </w:r>
      <w:r w:rsidR="00C27FB2" w:rsidRPr="00D45B1A">
        <w:t>here relevant</w:t>
      </w:r>
      <w:r>
        <w:t xml:space="preserve">, </w:t>
      </w:r>
      <w:r w:rsidR="00C27FB2" w:rsidRPr="00D45B1A">
        <w:t>time also spent by hospital committees</w:t>
      </w:r>
      <w:r w:rsidR="00A221B9">
        <w:t>,</w:t>
      </w:r>
      <w:r w:rsidR="00C27FB2" w:rsidRPr="00D45B1A">
        <w:t xml:space="preserve"> which support research activities, such as </w:t>
      </w:r>
      <w:r>
        <w:t>p</w:t>
      </w:r>
      <w:r w:rsidR="00C27FB2" w:rsidRPr="00D45B1A">
        <w:t xml:space="preserve">rivacy and </w:t>
      </w:r>
      <w:r>
        <w:t>e</w:t>
      </w:r>
      <w:r w:rsidR="00C27FB2" w:rsidRPr="00D45B1A">
        <w:t xml:space="preserve">thics </w:t>
      </w:r>
      <w:r>
        <w:t>c</w:t>
      </w:r>
      <w:r w:rsidR="00C27FB2" w:rsidRPr="00D45B1A">
        <w:t>ommittees.</w:t>
      </w:r>
    </w:p>
    <w:p w14:paraId="68D63C7D" w14:textId="5E144C0F" w:rsidR="00C27FB2" w:rsidRPr="00D45B1A" w:rsidRDefault="00C27FB2" w:rsidP="004738A8">
      <w:pPr>
        <w:pStyle w:val="Level3"/>
      </w:pPr>
      <w:r w:rsidRPr="00D45B1A">
        <w:t xml:space="preserve">Costing practitioners will then obtain sign off from the relevant managers with regard to the proportion of expense to be moved to the </w:t>
      </w:r>
      <w:r w:rsidR="00EB2C4D">
        <w:t>r</w:t>
      </w:r>
      <w:r w:rsidRPr="00D45B1A">
        <w:t>esearch final cost centre.</w:t>
      </w:r>
    </w:p>
    <w:p w14:paraId="68D63C7E" w14:textId="4BB6C865" w:rsidR="00C27FB2" w:rsidRPr="00D45B1A" w:rsidRDefault="00C27FB2" w:rsidP="00897BF9">
      <w:pPr>
        <w:pStyle w:val="Level3Heading"/>
      </w:pPr>
      <w:r w:rsidRPr="00D45B1A">
        <w:t>Step 3</w:t>
      </w:r>
      <w:r w:rsidR="00EB4353">
        <w:t>:</w:t>
      </w:r>
      <w:r w:rsidR="00EB4353" w:rsidRPr="00D45B1A">
        <w:t xml:space="preserve"> </w:t>
      </w:r>
      <w:r w:rsidRPr="00D45B1A">
        <w:t xml:space="preserve">Move </w:t>
      </w:r>
      <w:r w:rsidR="008A6B15">
        <w:t>e</w:t>
      </w:r>
      <w:r w:rsidR="008A6B15" w:rsidRPr="00D45B1A">
        <w:t xml:space="preserve">xpenses </w:t>
      </w:r>
      <w:r w:rsidRPr="00D45B1A">
        <w:t xml:space="preserve">to the </w:t>
      </w:r>
      <w:r w:rsidR="00EB2C4D">
        <w:t>r</w:t>
      </w:r>
      <w:r w:rsidRPr="00D45B1A">
        <w:t xml:space="preserve">esearch </w:t>
      </w:r>
      <w:r w:rsidR="008A6B15">
        <w:t>f</w:t>
      </w:r>
      <w:r w:rsidR="008A6B15" w:rsidRPr="00D45B1A">
        <w:t>inal</w:t>
      </w:r>
      <w:r w:rsidRPr="00D45B1A">
        <w:t xml:space="preserve"> cost centre</w:t>
      </w:r>
    </w:p>
    <w:p w14:paraId="68D63C7F" w14:textId="3E32A894" w:rsidR="00C27FB2" w:rsidRPr="00D45B1A" w:rsidRDefault="00C27FB2" w:rsidP="004738A8">
      <w:pPr>
        <w:pStyle w:val="Level3"/>
      </w:pPr>
      <w:r w:rsidRPr="00D45B1A">
        <w:t xml:space="preserve">Costing practitioners should move identified direct cost centres to the Research final cost centre and use the proportions derived from stakeholder discussions to move staff expenses to the </w:t>
      </w:r>
      <w:r w:rsidR="00EB2C4D">
        <w:t>r</w:t>
      </w:r>
      <w:r w:rsidRPr="00D45B1A">
        <w:t>esearch final cost centre.</w:t>
      </w:r>
    </w:p>
    <w:p w14:paraId="68D63C80" w14:textId="387A0018" w:rsidR="00C27FB2" w:rsidRPr="00D45B1A" w:rsidRDefault="00C27FB2" w:rsidP="00897BF9">
      <w:pPr>
        <w:pStyle w:val="Level3Heading"/>
      </w:pPr>
      <w:r w:rsidRPr="00D45B1A">
        <w:t>Step 4</w:t>
      </w:r>
      <w:r w:rsidR="00EB4353">
        <w:t>:</w:t>
      </w:r>
      <w:r w:rsidR="00EB4353" w:rsidRPr="00D45B1A">
        <w:t xml:space="preserve"> </w:t>
      </w:r>
      <w:r w:rsidRPr="00D45B1A">
        <w:t xml:space="preserve">Align </w:t>
      </w:r>
      <w:r w:rsidR="008A6B15">
        <w:t>o</w:t>
      </w:r>
      <w:r w:rsidR="008A6B15" w:rsidRPr="00D45B1A">
        <w:t xml:space="preserve">verhead </w:t>
      </w:r>
      <w:r w:rsidR="008A6B15">
        <w:t>s</w:t>
      </w:r>
      <w:r w:rsidR="008A6B15" w:rsidRPr="00D45B1A">
        <w:t xml:space="preserve">tatistics </w:t>
      </w:r>
      <w:r w:rsidRPr="00D45B1A">
        <w:t xml:space="preserve">to the </w:t>
      </w:r>
      <w:r w:rsidR="00EB2C4D">
        <w:t>r</w:t>
      </w:r>
      <w:r w:rsidRPr="00D45B1A">
        <w:t xml:space="preserve">esearch </w:t>
      </w:r>
      <w:r w:rsidR="008A6B15">
        <w:t>f</w:t>
      </w:r>
      <w:r w:rsidR="008A6B15" w:rsidRPr="00D45B1A">
        <w:t>inal</w:t>
      </w:r>
      <w:r w:rsidRPr="00D45B1A">
        <w:t xml:space="preserve"> cost centre</w:t>
      </w:r>
    </w:p>
    <w:p w14:paraId="68D63C81" w14:textId="6EBE8CD4" w:rsidR="00C27FB2" w:rsidRPr="00D45B1A" w:rsidRDefault="00C27FB2" w:rsidP="004738A8">
      <w:pPr>
        <w:pStyle w:val="Level3"/>
      </w:pPr>
      <w:r w:rsidRPr="00D45B1A">
        <w:t xml:space="preserve">Where necessary, overhead statistics will need to be determined and applied within the costing system to enable overhead expenses to flow correctly to the </w:t>
      </w:r>
      <w:r w:rsidR="00EB2C4D">
        <w:t>r</w:t>
      </w:r>
      <w:r w:rsidRPr="00D45B1A">
        <w:t xml:space="preserve">esearch final cost centre. For example, if FTE is the statistic used to allocate </w:t>
      </w:r>
      <w:r w:rsidR="00EB2C4D">
        <w:t>h</w:t>
      </w:r>
      <w:r w:rsidRPr="00D45B1A">
        <w:t xml:space="preserve">uman </w:t>
      </w:r>
      <w:r w:rsidR="00EB2C4D">
        <w:t>r</w:t>
      </w:r>
      <w:r w:rsidRPr="00D45B1A">
        <w:t xml:space="preserve">esource and </w:t>
      </w:r>
      <w:r w:rsidR="00EB2C4D">
        <w:t>p</w:t>
      </w:r>
      <w:r w:rsidRPr="00D45B1A">
        <w:t xml:space="preserve">ayroll service expenses within the costing system, a proportion of FTE will also need to be moved to the </w:t>
      </w:r>
      <w:r w:rsidR="00EB2C4D">
        <w:t>r</w:t>
      </w:r>
      <w:r w:rsidRPr="00D45B1A">
        <w:t xml:space="preserve">esearch final cost centre to ensure that </w:t>
      </w:r>
      <w:r w:rsidR="00EB2C4D">
        <w:t>h</w:t>
      </w:r>
      <w:r w:rsidRPr="00D45B1A">
        <w:t xml:space="preserve">uman </w:t>
      </w:r>
      <w:r w:rsidR="00EB2C4D">
        <w:t>r</w:t>
      </w:r>
      <w:r w:rsidRPr="00D45B1A">
        <w:t xml:space="preserve">esource and </w:t>
      </w:r>
      <w:r w:rsidR="00EB2C4D">
        <w:t>p</w:t>
      </w:r>
      <w:r w:rsidRPr="00D45B1A">
        <w:t>ayroll service expenses flow accordingly.</w:t>
      </w:r>
    </w:p>
    <w:p w14:paraId="68D63C82" w14:textId="1F2D84D3" w:rsidR="00C27FB2" w:rsidRPr="00D45B1A" w:rsidRDefault="00C27FB2" w:rsidP="00897BF9">
      <w:pPr>
        <w:pStyle w:val="Level3Heading"/>
        <w:rPr>
          <w:lang w:val="en-US"/>
        </w:rPr>
      </w:pPr>
      <w:r w:rsidRPr="00D45B1A">
        <w:rPr>
          <w:lang w:val="en-US"/>
        </w:rPr>
        <w:t>Step 5</w:t>
      </w:r>
      <w:r w:rsidR="00EB4353">
        <w:rPr>
          <w:lang w:val="en-US"/>
        </w:rPr>
        <w:t>:</w:t>
      </w:r>
      <w:r w:rsidR="00EB4353" w:rsidRPr="00D45B1A">
        <w:rPr>
          <w:lang w:val="en-US"/>
        </w:rPr>
        <w:t xml:space="preserve"> </w:t>
      </w:r>
      <w:r w:rsidRPr="00D45B1A">
        <w:rPr>
          <w:lang w:val="en-US"/>
        </w:rPr>
        <w:t xml:space="preserve">Allocate </w:t>
      </w:r>
      <w:r w:rsidR="008A6B15">
        <w:t>o</w:t>
      </w:r>
      <w:r w:rsidR="008A6B15" w:rsidRPr="00D45B1A">
        <w:t>verheads</w:t>
      </w:r>
      <w:r w:rsidR="008A6B15" w:rsidRPr="00D45B1A">
        <w:rPr>
          <w:lang w:val="en-US"/>
        </w:rPr>
        <w:t xml:space="preserve"> </w:t>
      </w:r>
      <w:r w:rsidRPr="00D45B1A">
        <w:rPr>
          <w:lang w:val="en-US"/>
        </w:rPr>
        <w:t xml:space="preserve">to the </w:t>
      </w:r>
      <w:r w:rsidR="00EB2C4D">
        <w:rPr>
          <w:lang w:val="en-US"/>
        </w:rPr>
        <w:t>r</w:t>
      </w:r>
      <w:r w:rsidRPr="00D45B1A">
        <w:rPr>
          <w:lang w:val="en-US"/>
        </w:rPr>
        <w:t xml:space="preserve">esearch </w:t>
      </w:r>
      <w:r w:rsidR="008A6B15">
        <w:rPr>
          <w:lang w:val="en-US"/>
        </w:rPr>
        <w:t>f</w:t>
      </w:r>
      <w:r w:rsidR="008A6B15" w:rsidRPr="00D45B1A">
        <w:rPr>
          <w:lang w:val="en-US"/>
        </w:rPr>
        <w:t>inal</w:t>
      </w:r>
      <w:r w:rsidRPr="00D45B1A">
        <w:rPr>
          <w:lang w:val="en-US"/>
        </w:rPr>
        <w:t xml:space="preserve"> cost centre</w:t>
      </w:r>
    </w:p>
    <w:p w14:paraId="68D63C83" w14:textId="23539C92" w:rsidR="00C27FB2" w:rsidRPr="00D45B1A" w:rsidRDefault="00C27FB2" w:rsidP="004738A8">
      <w:pPr>
        <w:pStyle w:val="Level3"/>
        <w:rPr>
          <w:lang w:val="en-US"/>
        </w:rPr>
      </w:pPr>
      <w:r w:rsidRPr="00D45B1A">
        <w:t xml:space="preserve">Broadly, costing practitioners must ensure that hospital overheads are allocated appropriately to the </w:t>
      </w:r>
      <w:r w:rsidR="00EB2C4D">
        <w:t>r</w:t>
      </w:r>
      <w:r w:rsidRPr="00D45B1A">
        <w:t>esearch final cost centre.</w:t>
      </w:r>
      <w:r w:rsidRPr="00D45B1A">
        <w:rPr>
          <w:lang w:val="en-US"/>
        </w:rPr>
        <w:t xml:space="preserve"> However, where a hospital has identifiable research related overhead expenses, such as </w:t>
      </w:r>
      <w:r w:rsidR="00EB2C4D">
        <w:rPr>
          <w:lang w:val="en-US"/>
        </w:rPr>
        <w:t>r</w:t>
      </w:r>
      <w:r w:rsidRPr="00D45B1A">
        <w:rPr>
          <w:lang w:val="en-US"/>
        </w:rPr>
        <w:t xml:space="preserve">esearch </w:t>
      </w:r>
      <w:r w:rsidR="00EB2C4D">
        <w:rPr>
          <w:lang w:val="en-US"/>
        </w:rPr>
        <w:t>a</w:t>
      </w:r>
      <w:r w:rsidRPr="00D45B1A">
        <w:rPr>
          <w:lang w:val="en-US"/>
        </w:rPr>
        <w:t xml:space="preserve">dministration, these must be allocated solely to the </w:t>
      </w:r>
      <w:r w:rsidR="00EB2C4D">
        <w:rPr>
          <w:lang w:val="en-US"/>
        </w:rPr>
        <w:t>r</w:t>
      </w:r>
      <w:r w:rsidRPr="00D45B1A">
        <w:rPr>
          <w:lang w:val="en-US"/>
        </w:rPr>
        <w:t>esearch final cost centre.</w:t>
      </w:r>
    </w:p>
    <w:p w14:paraId="68D63C84" w14:textId="77777777" w:rsidR="00C27FB2" w:rsidRPr="00D45B1A" w:rsidRDefault="00C27FB2" w:rsidP="00897BF9">
      <w:pPr>
        <w:pStyle w:val="Level3Heading"/>
        <w:rPr>
          <w:lang w:val="en-US"/>
        </w:rPr>
      </w:pPr>
      <w:r w:rsidRPr="00D45B1A">
        <w:rPr>
          <w:lang w:val="en-US"/>
        </w:rPr>
        <w:t>Step 6</w:t>
      </w:r>
      <w:r w:rsidR="00EB4353">
        <w:rPr>
          <w:lang w:val="en-US"/>
        </w:rPr>
        <w:t>:</w:t>
      </w:r>
      <w:r w:rsidR="00EB4353" w:rsidRPr="00D45B1A">
        <w:rPr>
          <w:lang w:val="en-US"/>
        </w:rPr>
        <w:t xml:space="preserve"> </w:t>
      </w:r>
      <w:r w:rsidRPr="00D45B1A">
        <w:rPr>
          <w:lang w:val="en-US"/>
        </w:rPr>
        <w:t xml:space="preserve">Final </w:t>
      </w:r>
      <w:r w:rsidR="008A6B15">
        <w:rPr>
          <w:lang w:val="en-US"/>
        </w:rPr>
        <w:t>r</w:t>
      </w:r>
      <w:r w:rsidR="008A6B15" w:rsidRPr="00D45B1A">
        <w:rPr>
          <w:lang w:val="en-US"/>
        </w:rPr>
        <w:t xml:space="preserve">esearch </w:t>
      </w:r>
      <w:r w:rsidR="008A6B15">
        <w:t>c</w:t>
      </w:r>
      <w:r w:rsidR="008A6B15" w:rsidRPr="00D45B1A">
        <w:t>osted</w:t>
      </w:r>
      <w:r w:rsidR="008A6B15" w:rsidRPr="00D45B1A">
        <w:rPr>
          <w:lang w:val="en-US"/>
        </w:rPr>
        <w:t xml:space="preserve"> </w:t>
      </w:r>
      <w:r w:rsidR="008A6B15">
        <w:rPr>
          <w:lang w:val="en-US"/>
        </w:rPr>
        <w:t>p</w:t>
      </w:r>
      <w:r w:rsidR="008A6B15" w:rsidRPr="00D45B1A">
        <w:rPr>
          <w:lang w:val="en-US"/>
        </w:rPr>
        <w:t>roduct</w:t>
      </w:r>
    </w:p>
    <w:p w14:paraId="68D63C85" w14:textId="59AA484E" w:rsidR="00C27FB2" w:rsidRPr="00D45B1A" w:rsidRDefault="00C27FB2" w:rsidP="004738A8">
      <w:pPr>
        <w:pStyle w:val="Level3"/>
      </w:pPr>
      <w:r w:rsidRPr="00D45B1A">
        <w:t xml:space="preserve">When cost data is processed through the costing system, the outputs will consist of direct and overhead only for the </w:t>
      </w:r>
      <w:r w:rsidR="00EB2C4D">
        <w:t>r</w:t>
      </w:r>
      <w:r w:rsidRPr="00D45B1A">
        <w:t>esearch product.</w:t>
      </w:r>
    </w:p>
    <w:p w14:paraId="68D63C86" w14:textId="02D14085" w:rsidR="00C27FB2" w:rsidRPr="00D45B1A" w:rsidRDefault="00C27FB2" w:rsidP="004738A8">
      <w:pPr>
        <w:pStyle w:val="Level3"/>
      </w:pPr>
      <w:r w:rsidRPr="00D45B1A">
        <w:t xml:space="preserve">Costing practitioners should ensure that any offsets or adjustments are specified as per Standard </w:t>
      </w:r>
      <w:r w:rsidR="009A6578">
        <w:t>6.2</w:t>
      </w:r>
      <w:r w:rsidRPr="00D45B1A">
        <w:t xml:space="preserve"> – Reconciliation to Source Data.</w:t>
      </w:r>
    </w:p>
    <w:p w14:paraId="68D63C87" w14:textId="77777777" w:rsidR="00C27FB2" w:rsidRPr="00D45B1A" w:rsidRDefault="00C27FB2" w:rsidP="00C27FB2">
      <w:pPr>
        <w:rPr>
          <w:rFonts w:cs="Arial"/>
        </w:rPr>
      </w:pPr>
      <w:r w:rsidRPr="00D45B1A">
        <w:rPr>
          <w:rFonts w:cs="Arial"/>
        </w:rPr>
        <w:br w:type="page"/>
      </w:r>
    </w:p>
    <w:p w14:paraId="68D63C88" w14:textId="74A4CC2C" w:rsidR="00C27FB2" w:rsidRPr="00D45B1A" w:rsidRDefault="00C27FB2" w:rsidP="00D97D20">
      <w:pPr>
        <w:pStyle w:val="Heading2"/>
      </w:pPr>
      <w:bookmarkStart w:id="23" w:name="_Toc478631940"/>
      <w:bookmarkStart w:id="24" w:name="_Toc480492972"/>
      <w:bookmarkStart w:id="25" w:name="_Toc80778499"/>
      <w:r w:rsidRPr="00D45B1A">
        <w:lastRenderedPageBreak/>
        <w:t xml:space="preserve">Blood </w:t>
      </w:r>
      <w:bookmarkEnd w:id="23"/>
      <w:bookmarkEnd w:id="24"/>
      <w:r w:rsidR="00E867EF">
        <w:t>P</w:t>
      </w:r>
      <w:r w:rsidR="008A6B15" w:rsidRPr="00D45B1A">
        <w:t>roducts</w:t>
      </w:r>
      <w:bookmarkEnd w:id="25"/>
    </w:p>
    <w:p w14:paraId="68D63C89" w14:textId="77777777" w:rsidR="00C27FB2" w:rsidRPr="00D45B1A" w:rsidRDefault="00C27FB2" w:rsidP="00897CD3">
      <w:pPr>
        <w:pStyle w:val="Heading3"/>
      </w:pPr>
      <w:r w:rsidRPr="00D45B1A">
        <w:t>Scope</w:t>
      </w:r>
    </w:p>
    <w:p w14:paraId="68D63C8A" w14:textId="097146E3" w:rsidR="00C27FB2" w:rsidRPr="00D45B1A" w:rsidRDefault="00C27FB2" w:rsidP="004738A8">
      <w:pPr>
        <w:pStyle w:val="Level3"/>
      </w:pPr>
      <w:r w:rsidRPr="00D45B1A">
        <w:t>Th</w:t>
      </w:r>
      <w:r w:rsidR="00373793">
        <w:t>is g</w:t>
      </w:r>
      <w:r w:rsidR="001B41F4">
        <w:t>uideline</w:t>
      </w:r>
      <w:r w:rsidRPr="00D45B1A">
        <w:t xml:space="preserve"> </w:t>
      </w:r>
      <w:r w:rsidR="00061CAC">
        <w:t>outline an</w:t>
      </w:r>
      <w:r w:rsidRPr="00D45B1A">
        <w:t xml:space="preserve"> approach to cost activity with rega</w:t>
      </w:r>
      <w:r w:rsidR="0079239A">
        <w:t xml:space="preserve">rd to the consumption of </w:t>
      </w:r>
      <w:r w:rsidR="00EB2C4D">
        <w:t>b</w:t>
      </w:r>
      <w:r w:rsidR="0079239A">
        <w:t>lood p</w:t>
      </w:r>
      <w:r w:rsidRPr="00D45B1A">
        <w:t>roducts.</w:t>
      </w:r>
    </w:p>
    <w:p w14:paraId="68D63C8B" w14:textId="2ECDD056" w:rsidR="00C27FB2" w:rsidRDefault="00C27FB2" w:rsidP="004738A8">
      <w:pPr>
        <w:pStyle w:val="Level3"/>
      </w:pPr>
      <w:r w:rsidRPr="00D45B1A">
        <w:t>Th</w:t>
      </w:r>
      <w:r w:rsidR="00373793">
        <w:t>is</w:t>
      </w:r>
      <w:r w:rsidR="001B41F4">
        <w:t xml:space="preserve"> g</w:t>
      </w:r>
      <w:r w:rsidR="00B63007">
        <w:t>uideline</w:t>
      </w:r>
      <w:r w:rsidRPr="00D45B1A">
        <w:t xml:space="preserve"> also provides practical steps and examples to guide staff on the patient costing process for this activity.</w:t>
      </w:r>
    </w:p>
    <w:p w14:paraId="68D63C8C" w14:textId="77777777" w:rsidR="00897BF9" w:rsidRPr="00D45B1A" w:rsidRDefault="00897BF9" w:rsidP="00897BF9">
      <w:pPr>
        <w:pStyle w:val="Level3Heading"/>
      </w:pPr>
      <w:r w:rsidRPr="00D45B1A">
        <w:t xml:space="preserve">Blood </w:t>
      </w:r>
      <w:r w:rsidR="008A6B15">
        <w:t>p</w:t>
      </w:r>
      <w:r w:rsidR="008A6B15" w:rsidRPr="00D45B1A">
        <w:t xml:space="preserve">roduct </w:t>
      </w:r>
      <w:r w:rsidR="008A6B15">
        <w:t>s</w:t>
      </w:r>
      <w:r w:rsidRPr="00D45B1A">
        <w:t>cope</w:t>
      </w:r>
    </w:p>
    <w:p w14:paraId="68D63C8D" w14:textId="23A09E58" w:rsidR="00897BF9" w:rsidRPr="00D45B1A" w:rsidRDefault="00897BF9" w:rsidP="004738A8">
      <w:pPr>
        <w:pStyle w:val="Level3"/>
      </w:pPr>
      <w:r w:rsidRPr="00D45B1A">
        <w:t xml:space="preserve">Blood product expenses are those that can generally be found in pathology and pharmacy departments. Expenses for </w:t>
      </w:r>
      <w:r w:rsidR="00EB2C4D">
        <w:t>b</w:t>
      </w:r>
      <w:r w:rsidRPr="00D45B1A">
        <w:t>lood products may not be found on the h</w:t>
      </w:r>
      <w:r w:rsidR="00360078">
        <w:t>ospital general ledger, as the j</w:t>
      </w:r>
      <w:r w:rsidRPr="00D45B1A">
        <w:t xml:space="preserve">urisdiction may purchase </w:t>
      </w:r>
      <w:r w:rsidR="00EB2C4D">
        <w:t>b</w:t>
      </w:r>
      <w:r w:rsidRPr="00D45B1A">
        <w:t>lood products on behalf of the hospital. Blood products form a component of the cost of production and should be patient level costed.</w:t>
      </w:r>
    </w:p>
    <w:p w14:paraId="68D63C8E" w14:textId="77777777" w:rsidR="00C27FB2" w:rsidRPr="00D45B1A" w:rsidRDefault="00C27FB2" w:rsidP="00897CD3">
      <w:pPr>
        <w:pStyle w:val="Heading3"/>
      </w:pPr>
      <w:r w:rsidRPr="00D45B1A">
        <w:t>Objective</w:t>
      </w:r>
    </w:p>
    <w:p w14:paraId="68D63C8F" w14:textId="545A4D49" w:rsidR="00C27FB2" w:rsidRPr="00D45B1A" w:rsidRDefault="00C27FB2" w:rsidP="004738A8">
      <w:pPr>
        <w:pStyle w:val="Level3"/>
      </w:pPr>
      <w:r w:rsidRPr="00D45B1A">
        <w:t>The objective of t</w:t>
      </w:r>
      <w:r w:rsidR="00373793">
        <w:t>his</w:t>
      </w:r>
      <w:r w:rsidR="009C4351">
        <w:t xml:space="preserve"> g</w:t>
      </w:r>
      <w:r w:rsidR="00B63007">
        <w:t>uidelin</w:t>
      </w:r>
      <w:r w:rsidR="00EB2C4D">
        <w:t>e</w:t>
      </w:r>
      <w:r w:rsidRPr="00D45B1A">
        <w:t xml:space="preserve"> is to guide costing practitioners of the end to end steps req</w:t>
      </w:r>
      <w:r w:rsidR="0079239A">
        <w:t xml:space="preserve">uired to ensure that all </w:t>
      </w:r>
      <w:r w:rsidR="00EB2C4D">
        <w:t>b</w:t>
      </w:r>
      <w:r w:rsidR="0079239A">
        <w:t>lood p</w:t>
      </w:r>
      <w:r w:rsidRPr="00D45B1A">
        <w:t>roduct consumption and expenses which contribute to the day</w:t>
      </w:r>
      <w:r w:rsidR="00EB2C4D">
        <w:t>-</w:t>
      </w:r>
      <w:r w:rsidRPr="00D45B1A">
        <w:t>to</w:t>
      </w:r>
      <w:r w:rsidR="00EB2C4D">
        <w:t>-</w:t>
      </w:r>
      <w:r w:rsidRPr="00D45B1A">
        <w:t>day productio</w:t>
      </w:r>
      <w:r w:rsidR="0079239A">
        <w:t xml:space="preserve">n of final </w:t>
      </w:r>
      <w:r w:rsidR="00EB2C4D">
        <w:t>b</w:t>
      </w:r>
      <w:r w:rsidR="0079239A">
        <w:t>lood p</w:t>
      </w:r>
      <w:r w:rsidRPr="00D45B1A">
        <w:t>roducts are included in the patient costing process to determine the full cost of production.</w:t>
      </w:r>
    </w:p>
    <w:p w14:paraId="68D63C90" w14:textId="2753CAB4" w:rsidR="00C27FB2" w:rsidRPr="00D45B1A" w:rsidRDefault="00B63007" w:rsidP="00897CD3">
      <w:pPr>
        <w:pStyle w:val="Heading3"/>
      </w:pPr>
      <w:r>
        <w:t xml:space="preserve">Costing </w:t>
      </w:r>
      <w:r w:rsidR="00373793">
        <w:t>G</w:t>
      </w:r>
      <w:r>
        <w:t>uideline</w:t>
      </w:r>
    </w:p>
    <w:p w14:paraId="68D63C91" w14:textId="77777777" w:rsidR="00C27FB2" w:rsidRPr="00D45B1A" w:rsidRDefault="00C27FB2" w:rsidP="00897BF9">
      <w:pPr>
        <w:pStyle w:val="Level3Heading"/>
      </w:pPr>
      <w:r w:rsidRPr="00D45B1A">
        <w:t>Step 1</w:t>
      </w:r>
      <w:r w:rsidR="00EB4353">
        <w:t>:</w:t>
      </w:r>
      <w:r w:rsidR="00EB4353" w:rsidRPr="00D45B1A">
        <w:t xml:space="preserve"> </w:t>
      </w:r>
      <w:r w:rsidRPr="00D45B1A">
        <w:t xml:space="preserve">Stakeholder </w:t>
      </w:r>
      <w:r w:rsidR="008A6B15">
        <w:t>i</w:t>
      </w:r>
      <w:r w:rsidRPr="00D45B1A">
        <w:t xml:space="preserve">dentification and </w:t>
      </w:r>
      <w:r w:rsidR="008A6B15">
        <w:t>s</w:t>
      </w:r>
      <w:r w:rsidR="008A6B15" w:rsidRPr="00D45B1A">
        <w:t xml:space="preserve">ervice </w:t>
      </w:r>
      <w:r w:rsidR="008A6B15">
        <w:t>s</w:t>
      </w:r>
      <w:r w:rsidR="008A6B15" w:rsidRPr="00D45B1A">
        <w:t xml:space="preserve">cale </w:t>
      </w:r>
      <w:r w:rsidRPr="00D45B1A">
        <w:t xml:space="preserve">and </w:t>
      </w:r>
      <w:r w:rsidR="008A6B15">
        <w:t>s</w:t>
      </w:r>
      <w:r w:rsidR="008A6B15" w:rsidRPr="00D45B1A">
        <w:t>cope</w:t>
      </w:r>
    </w:p>
    <w:p w14:paraId="68D63C92" w14:textId="237AA045" w:rsidR="00C27FB2" w:rsidRPr="00D45B1A" w:rsidRDefault="00C27FB2" w:rsidP="004738A8">
      <w:pPr>
        <w:pStyle w:val="Level3"/>
      </w:pPr>
      <w:r w:rsidRPr="00D45B1A">
        <w:t xml:space="preserve">Costing practitioners should </w:t>
      </w:r>
      <w:r w:rsidR="00360078">
        <w:t>first seek guidance from their j</w:t>
      </w:r>
      <w:r w:rsidRPr="00D45B1A">
        <w:t xml:space="preserve">urisdiction to ascertain if any local rules apply within their jurisdiction with regard to the costing of </w:t>
      </w:r>
      <w:r w:rsidR="00EB2C4D">
        <w:t>b</w:t>
      </w:r>
      <w:r w:rsidRPr="00D45B1A">
        <w:t xml:space="preserve">lood </w:t>
      </w:r>
      <w:r w:rsidR="0079239A">
        <w:t>p</w:t>
      </w:r>
      <w:r w:rsidRPr="00D45B1A">
        <w:t xml:space="preserve">roducts. Some jurisdictions will hold expenses related to </w:t>
      </w:r>
      <w:r w:rsidR="00EB2C4D">
        <w:t>b</w:t>
      </w:r>
      <w:r w:rsidRPr="00D45B1A">
        <w:t xml:space="preserve">lood </w:t>
      </w:r>
      <w:r w:rsidR="0079239A">
        <w:t>p</w:t>
      </w:r>
      <w:r w:rsidRPr="00D45B1A">
        <w:t>roducts centrally, while for others, this expense will devolve to the health service. These local circumstances may dictate how hea</w:t>
      </w:r>
      <w:r w:rsidR="0079239A">
        <w:t xml:space="preserve">lth services are to cost </w:t>
      </w:r>
      <w:r w:rsidR="00EB2C4D">
        <w:t>b</w:t>
      </w:r>
      <w:r w:rsidR="0079239A">
        <w:t>lood p</w:t>
      </w:r>
      <w:r w:rsidRPr="00D45B1A">
        <w:t>roducts.</w:t>
      </w:r>
    </w:p>
    <w:p w14:paraId="68D63C93" w14:textId="1318CA6B" w:rsidR="00C27FB2" w:rsidRPr="00D45B1A" w:rsidRDefault="00C27FB2" w:rsidP="004738A8">
      <w:pPr>
        <w:pStyle w:val="Level3"/>
      </w:pPr>
      <w:r w:rsidRPr="00D45B1A">
        <w:t xml:space="preserve">Costing practitioners should meet with the appropriate stakeholders within the health service to identify both the expense and activity related to </w:t>
      </w:r>
      <w:r w:rsidR="00EB2C4D">
        <w:t>b</w:t>
      </w:r>
      <w:r w:rsidRPr="00D45B1A">
        <w:t xml:space="preserve">lood </w:t>
      </w:r>
      <w:r w:rsidR="0079239A">
        <w:t>p</w:t>
      </w:r>
      <w:r w:rsidRPr="00D45B1A">
        <w:t xml:space="preserve">roducts. Blood </w:t>
      </w:r>
      <w:r w:rsidR="0079239A">
        <w:t>p</w:t>
      </w:r>
      <w:r w:rsidRPr="00D45B1A">
        <w:t>roducts may have its own cost centre, or this expense may reside within the pathology cost centre/s of the health service (or el</w:t>
      </w:r>
      <w:r w:rsidR="0079239A">
        <w:t xml:space="preserve">sewhere). The manager of </w:t>
      </w:r>
      <w:r w:rsidR="00EB2C4D">
        <w:t>b</w:t>
      </w:r>
      <w:r w:rsidR="0079239A">
        <w:t>lood p</w:t>
      </w:r>
      <w:r w:rsidRPr="00D45B1A">
        <w:t xml:space="preserve">roducts within the hospital may be found within the organisation chart, or alternatively, the </w:t>
      </w:r>
      <w:r w:rsidR="00EB2C4D">
        <w:t>p</w:t>
      </w:r>
      <w:r w:rsidRPr="00D45B1A">
        <w:t xml:space="preserve">athology or </w:t>
      </w:r>
      <w:r w:rsidR="00EB2C4D">
        <w:t>f</w:t>
      </w:r>
      <w:r w:rsidRPr="00D45B1A">
        <w:t xml:space="preserve">inance </w:t>
      </w:r>
      <w:r w:rsidR="008A2B19">
        <w:t>d</w:t>
      </w:r>
      <w:r w:rsidRPr="00D45B1A">
        <w:t>epartment should be able to assist with providing the contact details for these staff.</w:t>
      </w:r>
    </w:p>
    <w:p w14:paraId="68D63C94" w14:textId="3B426525" w:rsidR="00C27FB2" w:rsidRPr="00D45B1A" w:rsidRDefault="00C27FB2" w:rsidP="004738A8">
      <w:pPr>
        <w:pStyle w:val="Level3"/>
      </w:pPr>
      <w:r w:rsidRPr="00D45B1A">
        <w:t xml:space="preserve">The agenda of this meeting should include an overview of the processes </w:t>
      </w:r>
      <w:r w:rsidR="0079239A">
        <w:t xml:space="preserve">involved in distributing </w:t>
      </w:r>
      <w:r w:rsidR="00EB2C4D">
        <w:t>b</w:t>
      </w:r>
      <w:r w:rsidR="0079239A">
        <w:t>lood p</w:t>
      </w:r>
      <w:r w:rsidRPr="00D45B1A">
        <w:t xml:space="preserve">roducts to patients. This meeting should seek to elicit information regarding the feeder data available to include in the costing system. Hospitals must keep information regarding the distribution of </w:t>
      </w:r>
      <w:r w:rsidR="00EB2C4D">
        <w:t>b</w:t>
      </w:r>
      <w:r w:rsidRPr="00D45B1A">
        <w:t xml:space="preserve">lood </w:t>
      </w:r>
      <w:r w:rsidR="0079239A">
        <w:t>p</w:t>
      </w:r>
      <w:r w:rsidRPr="00D45B1A">
        <w:t xml:space="preserve">roducts to patients, as there are rigorous safety and quality processes required to ensure the </w:t>
      </w:r>
      <w:r w:rsidR="00EB2C4D">
        <w:t>b</w:t>
      </w:r>
      <w:r w:rsidRPr="00D45B1A">
        <w:t xml:space="preserve">lood </w:t>
      </w:r>
      <w:r w:rsidR="0079239A">
        <w:t>p</w:t>
      </w:r>
      <w:r w:rsidRPr="00D45B1A">
        <w:t xml:space="preserve">roducts provided match the patient’s blood type. Where electronic feeder data is unavailable, </w:t>
      </w:r>
      <w:r w:rsidR="00EB2C4D">
        <w:t>b</w:t>
      </w:r>
      <w:r w:rsidRPr="00D45B1A">
        <w:t>lood product consumption will be present in the ICD</w:t>
      </w:r>
      <w:r w:rsidR="00EB2C4D">
        <w:t>-</w:t>
      </w:r>
      <w:r w:rsidRPr="00D45B1A">
        <w:t xml:space="preserve">10-AM coding, which forms part of the inpatient episodic dataset. </w:t>
      </w:r>
    </w:p>
    <w:p w14:paraId="68D63C95" w14:textId="13B88B59" w:rsidR="00C27FB2" w:rsidRPr="00D45B1A" w:rsidRDefault="00C27FB2" w:rsidP="004738A8">
      <w:pPr>
        <w:pStyle w:val="Level3"/>
      </w:pPr>
      <w:r w:rsidRPr="00D45B1A">
        <w:t xml:space="preserve">This meeting should also seek information regarding the labour related expense that is associated with the distribution of </w:t>
      </w:r>
      <w:r w:rsidR="00EB2C4D">
        <w:t>b</w:t>
      </w:r>
      <w:r w:rsidRPr="00D45B1A">
        <w:t xml:space="preserve">lood </w:t>
      </w:r>
      <w:r w:rsidR="0079239A">
        <w:t>p</w:t>
      </w:r>
      <w:r w:rsidRPr="00D45B1A">
        <w:t xml:space="preserve">roducts and the </w:t>
      </w:r>
      <w:r w:rsidRPr="00D45B1A">
        <w:lastRenderedPageBreak/>
        <w:t xml:space="preserve">cost of the </w:t>
      </w:r>
      <w:r w:rsidR="00EB2C4D">
        <w:t>b</w:t>
      </w:r>
      <w:r w:rsidRPr="00D45B1A">
        <w:t xml:space="preserve">lood </w:t>
      </w:r>
      <w:r w:rsidR="0079239A">
        <w:t>p</w:t>
      </w:r>
      <w:r w:rsidRPr="00D45B1A">
        <w:t xml:space="preserve">roducts themselves where health services are responsible for this expense. </w:t>
      </w:r>
    </w:p>
    <w:p w14:paraId="68D63C96" w14:textId="77777777" w:rsidR="00C27FB2" w:rsidRPr="00D45B1A" w:rsidRDefault="00C27FB2" w:rsidP="00897BF9">
      <w:pPr>
        <w:pStyle w:val="Level3Heading"/>
      </w:pPr>
      <w:r w:rsidRPr="00D45B1A">
        <w:t>Step 2</w:t>
      </w:r>
      <w:r w:rsidR="00EB4353">
        <w:t>:</w:t>
      </w:r>
      <w:r w:rsidR="00EB4353" w:rsidRPr="00D45B1A">
        <w:t xml:space="preserve"> </w:t>
      </w:r>
      <w:r w:rsidRPr="00D45B1A">
        <w:t xml:space="preserve">Align </w:t>
      </w:r>
      <w:r w:rsidR="008A6B15">
        <w:t>e</w:t>
      </w:r>
      <w:r w:rsidR="008A6B15" w:rsidRPr="00D45B1A">
        <w:t xml:space="preserve">xpense </w:t>
      </w:r>
      <w:r w:rsidRPr="00D45B1A">
        <w:t xml:space="preserve">to the </w:t>
      </w:r>
      <w:r w:rsidR="004738A8" w:rsidRPr="00D45B1A">
        <w:t xml:space="preserve">blood </w:t>
      </w:r>
      <w:r w:rsidR="008A6B15">
        <w:t>p</w:t>
      </w:r>
      <w:r w:rsidR="008A6B15" w:rsidRPr="00D45B1A">
        <w:t xml:space="preserve">roducts </w:t>
      </w:r>
      <w:r w:rsidR="008A6B15">
        <w:t>s</w:t>
      </w:r>
      <w:r w:rsidR="008A6B15" w:rsidRPr="00D45B1A">
        <w:t xml:space="preserve">ervice </w:t>
      </w:r>
      <w:r w:rsidR="008A6B15">
        <w:t>d</w:t>
      </w:r>
      <w:r w:rsidR="008A6B15" w:rsidRPr="00D45B1A">
        <w:t xml:space="preserve">epartment </w:t>
      </w:r>
      <w:r w:rsidRPr="00D45B1A">
        <w:t xml:space="preserve">and </w:t>
      </w:r>
      <w:r w:rsidR="008A6B15">
        <w:t>d</w:t>
      </w:r>
      <w:r w:rsidR="008A6B15" w:rsidRPr="00D45B1A">
        <w:t xml:space="preserve">efine </w:t>
      </w:r>
      <w:r w:rsidR="008A6B15">
        <w:t>o</w:t>
      </w:r>
      <w:r w:rsidR="008A6B15" w:rsidRPr="00D45B1A">
        <w:t xml:space="preserve">verhead </w:t>
      </w:r>
      <w:r w:rsidRPr="00D45B1A">
        <w:t xml:space="preserve">and </w:t>
      </w:r>
      <w:r w:rsidR="008A6B15">
        <w:t>d</w:t>
      </w:r>
      <w:r w:rsidR="008A6B15" w:rsidRPr="00D45B1A">
        <w:t xml:space="preserve">irect </w:t>
      </w:r>
      <w:r w:rsidR="008A6B15">
        <w:t>e</w:t>
      </w:r>
      <w:r w:rsidR="008A6B15" w:rsidRPr="00D45B1A">
        <w:t>xpenses</w:t>
      </w:r>
      <w:r w:rsidRPr="00D45B1A">
        <w:t xml:space="preserve">, including </w:t>
      </w:r>
      <w:r w:rsidR="008A6B15">
        <w:t>o</w:t>
      </w:r>
      <w:r w:rsidR="008A6B15" w:rsidRPr="00D45B1A">
        <w:t xml:space="preserve">verhead </w:t>
      </w:r>
      <w:r w:rsidR="008A6B15">
        <w:t>a</w:t>
      </w:r>
      <w:r w:rsidR="008A6B15" w:rsidRPr="00D45B1A">
        <w:t xml:space="preserve">llocation </w:t>
      </w:r>
      <w:r w:rsidR="008A6B15">
        <w:t>m</w:t>
      </w:r>
      <w:r w:rsidR="008A6B15" w:rsidRPr="00D45B1A">
        <w:t>ethods</w:t>
      </w:r>
      <w:r w:rsidRPr="00D45B1A">
        <w:t xml:space="preserve"> </w:t>
      </w:r>
    </w:p>
    <w:p w14:paraId="68D63C97" w14:textId="35A78497" w:rsidR="00C27FB2" w:rsidRPr="00D45B1A" w:rsidRDefault="00C27FB2" w:rsidP="004738A8">
      <w:pPr>
        <w:pStyle w:val="Level3"/>
      </w:pPr>
      <w:r w:rsidRPr="00D45B1A">
        <w:t xml:space="preserve">Costing practitioners should work with </w:t>
      </w:r>
      <w:r w:rsidR="00EB2C4D">
        <w:t>b</w:t>
      </w:r>
      <w:r w:rsidRPr="00D45B1A">
        <w:t xml:space="preserve">lood </w:t>
      </w:r>
      <w:r w:rsidR="0079239A">
        <w:t>p</w:t>
      </w:r>
      <w:r w:rsidRPr="00D45B1A">
        <w:t xml:space="preserve">roducts stakeholders to define the expense within the </w:t>
      </w:r>
      <w:r w:rsidR="00EB2C4D">
        <w:t>b</w:t>
      </w:r>
      <w:r w:rsidRPr="00D45B1A">
        <w:t xml:space="preserve">lood </w:t>
      </w:r>
      <w:r w:rsidR="0079239A">
        <w:t>p</w:t>
      </w:r>
      <w:r w:rsidR="008A2B19">
        <w:t>roducts d</w:t>
      </w:r>
      <w:r w:rsidRPr="00D45B1A">
        <w:t xml:space="preserve">epartment that relates to final products. This includes obtaining agreement on the cost centre/s to map the </w:t>
      </w:r>
      <w:r w:rsidR="00EB2C4D">
        <w:t>b</w:t>
      </w:r>
      <w:r w:rsidRPr="00D45B1A">
        <w:t xml:space="preserve">lood </w:t>
      </w:r>
      <w:r w:rsidR="0079239A">
        <w:t>p</w:t>
      </w:r>
      <w:r w:rsidRPr="00D45B1A">
        <w:t xml:space="preserve">roducts </w:t>
      </w:r>
      <w:r w:rsidR="0079239A">
        <w:t>d</w:t>
      </w:r>
      <w:r w:rsidRPr="00D45B1A">
        <w:t>epartment for costing purposes in the costing software.</w:t>
      </w:r>
    </w:p>
    <w:p w14:paraId="68D63C98" w14:textId="01447551" w:rsidR="00C27FB2" w:rsidRPr="00D45B1A" w:rsidRDefault="00C27FB2" w:rsidP="004738A8">
      <w:pPr>
        <w:pStyle w:val="Level3"/>
      </w:pPr>
      <w:r w:rsidRPr="00D45B1A">
        <w:t xml:space="preserve">Where jurisdictional </w:t>
      </w:r>
      <w:r w:rsidR="00EB2C4D">
        <w:t>h</w:t>
      </w:r>
      <w:r w:rsidRPr="00D45B1A">
        <w:t xml:space="preserve">ealth </w:t>
      </w:r>
      <w:r w:rsidR="00EB2C4D">
        <w:t>d</w:t>
      </w:r>
      <w:r w:rsidRPr="00D45B1A">
        <w:t xml:space="preserve">epartments hold these expenses centrally, the expense will be required at hospital level for inclusion in the costing process. This expense will need to be added to the cost ledger before the general ledger is imported into the costing system as the cost ledger. </w:t>
      </w:r>
    </w:p>
    <w:p w14:paraId="68D63C99" w14:textId="761CE2EC" w:rsidR="00C27FB2" w:rsidRPr="00D45B1A" w:rsidRDefault="0079239A" w:rsidP="004738A8">
      <w:pPr>
        <w:pStyle w:val="Level3"/>
      </w:pPr>
      <w:r w:rsidRPr="00927F40">
        <w:t xml:space="preserve">Align </w:t>
      </w:r>
      <w:r w:rsidR="00EB2C4D">
        <w:t>e</w:t>
      </w:r>
      <w:r w:rsidRPr="00927F40">
        <w:t>xpense to f</w:t>
      </w:r>
      <w:r w:rsidR="00C27FB2" w:rsidRPr="00927F40">
        <w:t>inal cost centres</w:t>
      </w:r>
      <w:r w:rsidR="00C27FB2" w:rsidRPr="00D45B1A">
        <w:rPr>
          <w:i/>
        </w:rPr>
        <w:t xml:space="preserve"> – </w:t>
      </w:r>
      <w:r w:rsidR="00EB2C4D">
        <w:t>w</w:t>
      </w:r>
      <w:r w:rsidR="00C27FB2" w:rsidRPr="00D45B1A">
        <w:t xml:space="preserve">here the general ledger has consolidated expenses for </w:t>
      </w:r>
      <w:r w:rsidR="00EB2C4D">
        <w:t>b</w:t>
      </w:r>
      <w:r w:rsidR="00C27FB2" w:rsidRPr="00D45B1A">
        <w:t xml:space="preserve">lood </w:t>
      </w:r>
      <w:r>
        <w:t>p</w:t>
      </w:r>
      <w:r w:rsidR="00C27FB2" w:rsidRPr="00D45B1A">
        <w:t>roducts (</w:t>
      </w:r>
      <w:r w:rsidR="00EB2C4D">
        <w:t>that is</w:t>
      </w:r>
      <w:r w:rsidR="00C27FB2" w:rsidRPr="00D45B1A">
        <w:t xml:space="preserve">, labour and consumables) within a separate cost centre (for example, </w:t>
      </w:r>
      <w:r w:rsidR="00EB2C4D">
        <w:t>p</w:t>
      </w:r>
      <w:r w:rsidR="00C27FB2" w:rsidRPr="00D45B1A">
        <w:t xml:space="preserve">athology), costing practitioners should also work with the </w:t>
      </w:r>
      <w:r w:rsidR="00EB2C4D">
        <w:t>b</w:t>
      </w:r>
      <w:r w:rsidR="00C27FB2" w:rsidRPr="00D45B1A">
        <w:t xml:space="preserve">lood </w:t>
      </w:r>
      <w:r>
        <w:t>p</w:t>
      </w:r>
      <w:r w:rsidR="00C27FB2" w:rsidRPr="00D45B1A">
        <w:t xml:space="preserve">roducts stakeholders to define and agree on the methods and assumptions to be used (for example, staff rosters, timesheets or other relevant data) to transfer expense to the </w:t>
      </w:r>
      <w:r w:rsidR="00EB2C4D">
        <w:t>b</w:t>
      </w:r>
      <w:r w:rsidR="00C27FB2" w:rsidRPr="00D45B1A">
        <w:t xml:space="preserve">lood </w:t>
      </w:r>
      <w:r w:rsidR="00EB2C4D">
        <w:t>p</w:t>
      </w:r>
      <w:r w:rsidR="00C27FB2" w:rsidRPr="00D45B1A">
        <w:t>roduct related cost centre.</w:t>
      </w:r>
    </w:p>
    <w:p w14:paraId="68D63C9A" w14:textId="4D3A7DEE" w:rsidR="00C27FB2" w:rsidRPr="00D45B1A" w:rsidRDefault="00C27FB2" w:rsidP="004738A8">
      <w:pPr>
        <w:pStyle w:val="Level3"/>
      </w:pPr>
      <w:r w:rsidRPr="00D45B1A">
        <w:t xml:space="preserve">Costing practitioners should then (within the patient costing system) use stakeholder insights to move expenses appropriately to the </w:t>
      </w:r>
      <w:r w:rsidR="00EB2C4D">
        <w:t>b</w:t>
      </w:r>
      <w:r w:rsidRPr="00D45B1A">
        <w:t xml:space="preserve">lood </w:t>
      </w:r>
      <w:r w:rsidR="0079239A">
        <w:t>p</w:t>
      </w:r>
      <w:r w:rsidRPr="00D45B1A">
        <w:t xml:space="preserve">roducts </w:t>
      </w:r>
      <w:r w:rsidR="0079239A">
        <w:t>d</w:t>
      </w:r>
      <w:r w:rsidRPr="00D45B1A">
        <w:t>epartment.</w:t>
      </w:r>
    </w:p>
    <w:p w14:paraId="68D63C9B" w14:textId="57FDF996" w:rsidR="00C27FB2" w:rsidRPr="00D45B1A" w:rsidRDefault="00C27FB2" w:rsidP="004738A8">
      <w:pPr>
        <w:pStyle w:val="Level3"/>
      </w:pPr>
      <w:r w:rsidRPr="00927F40">
        <w:t xml:space="preserve">Record </w:t>
      </w:r>
      <w:r w:rsidR="0079239A" w:rsidRPr="00927F40">
        <w:t>a</w:t>
      </w:r>
      <w:r w:rsidRPr="00927F40">
        <w:t xml:space="preserve">lignment </w:t>
      </w:r>
      <w:r w:rsidR="0079239A" w:rsidRPr="00927F40">
        <w:t>d</w:t>
      </w:r>
      <w:r w:rsidRPr="00927F40">
        <w:t>ecisions</w:t>
      </w:r>
      <w:r w:rsidRPr="00D45B1A">
        <w:rPr>
          <w:i/>
        </w:rPr>
        <w:t xml:space="preserve"> – </w:t>
      </w:r>
      <w:r w:rsidR="00EB2C4D">
        <w:t>c</w:t>
      </w:r>
      <w:r w:rsidRPr="00D45B1A">
        <w:t xml:space="preserve">osting practitioners should utilise the costing system or another medium to record: </w:t>
      </w:r>
    </w:p>
    <w:p w14:paraId="2B81DE31" w14:textId="14ADBB8B" w:rsidR="00A221B9" w:rsidRDefault="00A221B9" w:rsidP="00A27C5B">
      <w:pPr>
        <w:pStyle w:val="ListBullet"/>
        <w:spacing w:after="120"/>
      </w:pPr>
      <w:r w:rsidRPr="00D45B1A">
        <w:t xml:space="preserve">a date for future review of </w:t>
      </w:r>
      <w:r>
        <w:t>b</w:t>
      </w:r>
      <w:r w:rsidRPr="00D45B1A">
        <w:t xml:space="preserve">lood </w:t>
      </w:r>
      <w:r>
        <w:t>p</w:t>
      </w:r>
      <w:r w:rsidRPr="00D45B1A">
        <w:t>roducts expense alignment</w:t>
      </w:r>
    </w:p>
    <w:p w14:paraId="388730D0" w14:textId="7F84FA43" w:rsidR="006F7202" w:rsidRDefault="006F7202" w:rsidP="00A27C5B">
      <w:pPr>
        <w:pStyle w:val="ListBullet"/>
        <w:spacing w:after="120"/>
      </w:pPr>
      <w:r>
        <w:t>the classification of blood p</w:t>
      </w:r>
      <w:r w:rsidRPr="00D45B1A">
        <w:t xml:space="preserve">roducts expense into the </w:t>
      </w:r>
      <w:r>
        <w:t>blood products cost department</w:t>
      </w:r>
    </w:p>
    <w:p w14:paraId="3275B69E" w14:textId="0A4B5423" w:rsidR="009C4351" w:rsidRDefault="009C4351" w:rsidP="00A27C5B">
      <w:pPr>
        <w:pStyle w:val="ListBullet"/>
        <w:spacing w:after="120"/>
      </w:pPr>
      <w:r>
        <w:t>the date of the meeting</w:t>
      </w:r>
      <w:r w:rsidRPr="00D45B1A">
        <w:t xml:space="preserve"> </w:t>
      </w:r>
    </w:p>
    <w:p w14:paraId="68D63C9D" w14:textId="28E0F77F" w:rsidR="00C27FB2" w:rsidRPr="00D45B1A" w:rsidRDefault="005F1B23" w:rsidP="00A27C5B">
      <w:pPr>
        <w:pStyle w:val="ListBullet"/>
        <w:spacing w:after="120"/>
      </w:pPr>
      <w:r>
        <w:t>the stakeholder/s met with</w:t>
      </w:r>
      <w:r w:rsidR="009C4351">
        <w:t>.</w:t>
      </w:r>
      <w:r w:rsidR="00C27FB2" w:rsidRPr="00D45B1A">
        <w:t xml:space="preserve"> </w:t>
      </w:r>
    </w:p>
    <w:p w14:paraId="68D63CA0" w14:textId="0EC187B4" w:rsidR="00C27FB2" w:rsidRPr="00927F40" w:rsidRDefault="00C27FB2" w:rsidP="00927F40">
      <w:pPr>
        <w:pStyle w:val="ListBullet"/>
        <w:numPr>
          <w:ilvl w:val="0"/>
          <w:numId w:val="0"/>
        </w:numPr>
        <w:ind w:left="2268"/>
      </w:pPr>
      <w:r w:rsidRPr="00927F40">
        <w:rPr>
          <w:b/>
        </w:rPr>
        <w:t>Step 3</w:t>
      </w:r>
      <w:r w:rsidR="00EB4353" w:rsidRPr="00927F40">
        <w:rPr>
          <w:b/>
        </w:rPr>
        <w:t xml:space="preserve">: </w:t>
      </w:r>
      <w:r w:rsidRPr="00927F40">
        <w:rPr>
          <w:b/>
        </w:rPr>
        <w:t xml:space="preserve">Identify </w:t>
      </w:r>
      <w:r w:rsidR="008A6B15" w:rsidRPr="00927F40">
        <w:rPr>
          <w:b/>
        </w:rPr>
        <w:t xml:space="preserve">patient level activity </w:t>
      </w:r>
      <w:r w:rsidRPr="00927F40">
        <w:rPr>
          <w:b/>
        </w:rPr>
        <w:t xml:space="preserve">and </w:t>
      </w:r>
      <w:r w:rsidR="00EB2C4D" w:rsidRPr="00927F40">
        <w:rPr>
          <w:b/>
        </w:rPr>
        <w:t>b</w:t>
      </w:r>
      <w:r w:rsidR="008A6B15" w:rsidRPr="00927F40">
        <w:rPr>
          <w:b/>
        </w:rPr>
        <w:t xml:space="preserve">lood product feeder data </w:t>
      </w:r>
      <w:r w:rsidRPr="00927F40">
        <w:rPr>
          <w:b/>
        </w:rPr>
        <w:t xml:space="preserve">and </w:t>
      </w:r>
      <w:r w:rsidR="008A6B15" w:rsidRPr="00927F40">
        <w:rPr>
          <w:b/>
        </w:rPr>
        <w:t>perform quality assurance checks</w:t>
      </w:r>
      <w:r w:rsidRPr="00927F40">
        <w:rPr>
          <w:b/>
        </w:rPr>
        <w:t xml:space="preserve"> </w:t>
      </w:r>
    </w:p>
    <w:p w14:paraId="68D63CA1" w14:textId="317FC5CE" w:rsidR="00C27FB2" w:rsidRPr="00D45B1A" w:rsidRDefault="00C27FB2" w:rsidP="004738A8">
      <w:pPr>
        <w:pStyle w:val="Level3"/>
      </w:pPr>
      <w:r w:rsidRPr="00D45B1A">
        <w:t xml:space="preserve">Ideally, the </w:t>
      </w:r>
      <w:r w:rsidR="00EB2C4D">
        <w:t>b</w:t>
      </w:r>
      <w:r w:rsidRPr="00D45B1A">
        <w:t xml:space="preserve">lood </w:t>
      </w:r>
      <w:r w:rsidR="0079239A">
        <w:t>p</w:t>
      </w:r>
      <w:r w:rsidRPr="00D45B1A">
        <w:t xml:space="preserve">roducts feeder system will include some or all of the following fields: </w:t>
      </w:r>
    </w:p>
    <w:p w14:paraId="68D63CA4" w14:textId="45C34767" w:rsidR="00C27FB2" w:rsidRPr="00D45B1A" w:rsidRDefault="0079239A" w:rsidP="00A27C5B">
      <w:pPr>
        <w:pStyle w:val="ListBullet"/>
        <w:spacing w:after="120"/>
      </w:pPr>
      <w:r>
        <w:t xml:space="preserve">the </w:t>
      </w:r>
      <w:r w:rsidR="00EB2C4D">
        <w:t>b</w:t>
      </w:r>
      <w:r>
        <w:t>lood p</w:t>
      </w:r>
      <w:r w:rsidR="00C27FB2" w:rsidRPr="00D45B1A">
        <w:t>roduct</w:t>
      </w:r>
      <w:r w:rsidR="005F1B23">
        <w:t xml:space="preserve"> code</w:t>
      </w:r>
    </w:p>
    <w:p w14:paraId="68D63CA5" w14:textId="6F970DF6" w:rsidR="00C27FB2" w:rsidRDefault="0079239A" w:rsidP="00A27C5B">
      <w:pPr>
        <w:pStyle w:val="ListBullet"/>
        <w:spacing w:after="120"/>
      </w:pPr>
      <w:r>
        <w:t xml:space="preserve">the </w:t>
      </w:r>
      <w:r w:rsidR="00EB2C4D">
        <w:t>b</w:t>
      </w:r>
      <w:r>
        <w:t>lood p</w:t>
      </w:r>
      <w:r w:rsidR="005F1B23">
        <w:t>roduct description</w:t>
      </w:r>
      <w:r w:rsidR="00C27FB2" w:rsidRPr="00D45B1A">
        <w:t xml:space="preserve"> </w:t>
      </w:r>
    </w:p>
    <w:p w14:paraId="5BB55848" w14:textId="0C3C8C48" w:rsidR="006F7202" w:rsidRPr="00D45B1A" w:rsidRDefault="006F7202" w:rsidP="00A27C5B">
      <w:pPr>
        <w:pStyle w:val="ListBullet"/>
        <w:spacing w:after="120"/>
      </w:pPr>
      <w:r>
        <w:t>the date of service</w:t>
      </w:r>
    </w:p>
    <w:p w14:paraId="3343F2FB" w14:textId="77777777" w:rsidR="006F7202" w:rsidRPr="00D45B1A" w:rsidRDefault="006F7202" w:rsidP="00A27C5B">
      <w:pPr>
        <w:pStyle w:val="ListBullet"/>
        <w:spacing w:after="120"/>
      </w:pPr>
      <w:r w:rsidRPr="00D45B1A">
        <w:t xml:space="preserve">the patient’s unique </w:t>
      </w:r>
      <w:r>
        <w:t>identifier</w:t>
      </w:r>
    </w:p>
    <w:p w14:paraId="3463EA68" w14:textId="10FF8484" w:rsidR="006F7202" w:rsidRPr="00D45B1A" w:rsidRDefault="006F7202" w:rsidP="00A27C5B">
      <w:pPr>
        <w:pStyle w:val="ListBullet"/>
        <w:spacing w:after="120"/>
      </w:pPr>
      <w:r w:rsidRPr="00D45B1A">
        <w:t>the pa</w:t>
      </w:r>
      <w:r>
        <w:t>tient’s unique episode identifier</w:t>
      </w:r>
      <w:r w:rsidRPr="00D45B1A">
        <w:t xml:space="preserve"> </w:t>
      </w:r>
    </w:p>
    <w:p w14:paraId="68D63CA6" w14:textId="73FF86EF" w:rsidR="00C27FB2" w:rsidRPr="00D45B1A" w:rsidRDefault="00C27FB2" w:rsidP="00A27C5B">
      <w:pPr>
        <w:pStyle w:val="ListBullet"/>
        <w:spacing w:after="120"/>
      </w:pPr>
      <w:r w:rsidRPr="00D45B1A">
        <w:t>th</w:t>
      </w:r>
      <w:r w:rsidR="0079239A">
        <w:t xml:space="preserve">e </w:t>
      </w:r>
      <w:r w:rsidR="00EB2C4D">
        <w:t>u</w:t>
      </w:r>
      <w:r w:rsidR="0079239A">
        <w:t xml:space="preserve">nit or </w:t>
      </w:r>
      <w:r w:rsidR="00EB2C4D">
        <w:t>d</w:t>
      </w:r>
      <w:r w:rsidR="0079239A">
        <w:t xml:space="preserve">epartment the </w:t>
      </w:r>
      <w:r w:rsidR="00EB2C4D">
        <w:t>b</w:t>
      </w:r>
      <w:r w:rsidR="0079239A">
        <w:t>lood p</w:t>
      </w:r>
      <w:r w:rsidRPr="00D45B1A">
        <w:t>roduct was delivered to (</w:t>
      </w:r>
      <w:r w:rsidR="00EB2C4D">
        <w:t>for example</w:t>
      </w:r>
      <w:r w:rsidRPr="00D45B1A">
        <w:t xml:space="preserve">, </w:t>
      </w:r>
      <w:r w:rsidR="00EB2C4D">
        <w:t>w</w:t>
      </w:r>
      <w:r w:rsidRPr="00D45B1A">
        <w:t xml:space="preserve">ard; </w:t>
      </w:r>
      <w:r w:rsidR="00EB2C4D">
        <w:t>o</w:t>
      </w:r>
      <w:r w:rsidRPr="00D45B1A">
        <w:t xml:space="preserve">perating </w:t>
      </w:r>
      <w:r w:rsidR="00EB2C4D">
        <w:t>t</w:t>
      </w:r>
      <w:r w:rsidRPr="00D45B1A">
        <w:t xml:space="preserve">heatre; </w:t>
      </w:r>
      <w:r w:rsidR="00EB2C4D">
        <w:t>e</w:t>
      </w:r>
      <w:r w:rsidRPr="00D45B1A">
        <w:t>mergen</w:t>
      </w:r>
      <w:r w:rsidR="008A2B19">
        <w:t>cy department</w:t>
      </w:r>
      <w:r w:rsidR="00EC58FA">
        <w:t xml:space="preserve"> (ED)</w:t>
      </w:r>
      <w:r w:rsidR="008A2B19">
        <w:t xml:space="preserve">; </w:t>
      </w:r>
      <w:r w:rsidR="00EB2C4D">
        <w:t>n</w:t>
      </w:r>
      <w:r w:rsidR="008A2B19">
        <w:t>on-a</w:t>
      </w:r>
      <w:r w:rsidR="005F1B23">
        <w:t>dmitted)</w:t>
      </w:r>
      <w:r w:rsidR="006F7202">
        <w:t>.</w:t>
      </w:r>
    </w:p>
    <w:p w14:paraId="68D63CA8" w14:textId="26817682" w:rsidR="00C27FB2" w:rsidRPr="00D45B1A" w:rsidRDefault="00C27FB2" w:rsidP="004738A8">
      <w:pPr>
        <w:pStyle w:val="Level3"/>
        <w:rPr>
          <w:b/>
        </w:rPr>
      </w:pPr>
      <w:r w:rsidRPr="00D45B1A">
        <w:t>Where health services do not have separate electronic patient level fee</w:t>
      </w:r>
      <w:r w:rsidR="0079239A">
        <w:t xml:space="preserve">der systems that measure </w:t>
      </w:r>
      <w:r w:rsidR="00EB2C4D">
        <w:t>b</w:t>
      </w:r>
      <w:r w:rsidR="0079239A">
        <w:t>lood p</w:t>
      </w:r>
      <w:r w:rsidRPr="00D45B1A">
        <w:t xml:space="preserve">roduct consumption at the patient </w:t>
      </w:r>
      <w:r w:rsidRPr="00D45B1A">
        <w:lastRenderedPageBreak/>
        <w:t>level, costing practitioners may have to use the ICD</w:t>
      </w:r>
      <w:r w:rsidR="00EB2C4D">
        <w:t>-</w:t>
      </w:r>
      <w:r w:rsidRPr="00D45B1A">
        <w:t>10-AM procedure codes available in the patient epis</w:t>
      </w:r>
      <w:r w:rsidR="0079239A">
        <w:t xml:space="preserve">odic dataset to identify </w:t>
      </w:r>
      <w:r w:rsidR="00EB2C4D">
        <w:t>b</w:t>
      </w:r>
      <w:r w:rsidR="0079239A">
        <w:t>lood p</w:t>
      </w:r>
      <w:r w:rsidRPr="00D45B1A">
        <w:t>roduct consumption.</w:t>
      </w:r>
    </w:p>
    <w:p w14:paraId="68D63CA9" w14:textId="4FAC2E0B" w:rsidR="00C27FB2" w:rsidRPr="00D45B1A" w:rsidRDefault="00C27FB2" w:rsidP="004738A8">
      <w:pPr>
        <w:pStyle w:val="Level3"/>
      </w:pPr>
      <w:r w:rsidRPr="00D45B1A">
        <w:t xml:space="preserve">Costing practitioners should perform quality assurance checks on the </w:t>
      </w:r>
      <w:r w:rsidR="00EB2C4D">
        <w:t>b</w:t>
      </w:r>
      <w:r w:rsidRPr="00D45B1A">
        <w:t xml:space="preserve">lood </w:t>
      </w:r>
      <w:r w:rsidR="0079239A">
        <w:t>p</w:t>
      </w:r>
      <w:r w:rsidRPr="00D45B1A">
        <w:t>roducts feeder files prior to the costing process. For example, checks should be made on the date of service, and data relevance to costing period).</w:t>
      </w:r>
    </w:p>
    <w:p w14:paraId="68D63CAA" w14:textId="1B6F4D84" w:rsidR="00C27FB2" w:rsidRPr="00D45B1A" w:rsidRDefault="00C27FB2" w:rsidP="00897BF9">
      <w:pPr>
        <w:pStyle w:val="Level3Heading"/>
      </w:pPr>
      <w:r w:rsidRPr="00D45B1A">
        <w:t>Step 4</w:t>
      </w:r>
      <w:r w:rsidR="00061CAC">
        <w:t>:</w:t>
      </w:r>
      <w:r w:rsidRPr="00D45B1A">
        <w:t xml:space="preserve"> Creating and </w:t>
      </w:r>
      <w:r w:rsidR="008A6B15">
        <w:t>m</w:t>
      </w:r>
      <w:r w:rsidRPr="00D45B1A">
        <w:t xml:space="preserve">apping </w:t>
      </w:r>
      <w:r w:rsidR="00EB2C4D">
        <w:t>b</w:t>
      </w:r>
      <w:r w:rsidR="008A6B15" w:rsidRPr="00D45B1A">
        <w:t xml:space="preserve">lood </w:t>
      </w:r>
      <w:r w:rsidR="008A6B15">
        <w:t>p</w:t>
      </w:r>
      <w:r w:rsidR="008A6B15" w:rsidRPr="00D45B1A">
        <w:t xml:space="preserve">roduct </w:t>
      </w:r>
      <w:r w:rsidR="008A6B15">
        <w:t>s</w:t>
      </w:r>
      <w:r w:rsidR="008A6B15" w:rsidRPr="00D45B1A">
        <w:t xml:space="preserve">ervice </w:t>
      </w:r>
      <w:r w:rsidR="008A6B15">
        <w:t>c</w:t>
      </w:r>
      <w:r w:rsidR="008A6B15" w:rsidRPr="00D45B1A">
        <w:t xml:space="preserve">osting </w:t>
      </w:r>
      <w:r w:rsidR="008A6B15">
        <w:t>p</w:t>
      </w:r>
      <w:r w:rsidR="008A6B15" w:rsidRPr="00D45B1A">
        <w:t xml:space="preserve">roducts </w:t>
      </w:r>
      <w:r w:rsidRPr="00D45B1A">
        <w:t xml:space="preserve">or </w:t>
      </w:r>
      <w:r w:rsidR="008A6B15">
        <w:t>i</w:t>
      </w:r>
      <w:r w:rsidR="008A6B15" w:rsidRPr="00D45B1A">
        <w:t xml:space="preserve">ntermediate </w:t>
      </w:r>
      <w:r w:rsidR="008A6B15">
        <w:t>p</w:t>
      </w:r>
      <w:r w:rsidR="008A6B15" w:rsidRPr="00D45B1A">
        <w:t>roducts</w:t>
      </w:r>
      <w:r w:rsidRPr="00D45B1A">
        <w:t xml:space="preserve"> </w:t>
      </w:r>
    </w:p>
    <w:p w14:paraId="68D63CAB" w14:textId="43C72754" w:rsidR="00C27FB2" w:rsidRPr="00D45B1A" w:rsidRDefault="00C27FB2" w:rsidP="004738A8">
      <w:pPr>
        <w:pStyle w:val="Level3"/>
      </w:pPr>
      <w:r w:rsidRPr="00D45B1A">
        <w:t>An acceptab</w:t>
      </w:r>
      <w:r w:rsidR="0079239A">
        <w:t xml:space="preserve">le method for allocating </w:t>
      </w:r>
      <w:r w:rsidR="00EB2C4D">
        <w:t>b</w:t>
      </w:r>
      <w:r w:rsidR="0079239A">
        <w:t>lood p</w:t>
      </w:r>
      <w:r w:rsidRPr="00D45B1A">
        <w:t>roduct to patients</w:t>
      </w:r>
      <w:r w:rsidR="00D95C0E">
        <w:t xml:space="preserve"> includes the use of the </w:t>
      </w:r>
      <w:r w:rsidR="00EB2C4D">
        <w:t>b</w:t>
      </w:r>
      <w:r w:rsidR="00D95C0E">
        <w:t>lood p</w:t>
      </w:r>
      <w:r w:rsidRPr="00D45B1A">
        <w:t>roduct from the feeder system (or ICD</w:t>
      </w:r>
      <w:r w:rsidR="00EB2C4D">
        <w:t>-</w:t>
      </w:r>
      <w:r w:rsidRPr="00D45B1A">
        <w:t xml:space="preserve">10-AM code), which may also be combined with a </w:t>
      </w:r>
      <w:r w:rsidR="009236A1">
        <w:t>r</w:t>
      </w:r>
      <w:r w:rsidRPr="00D45B1A">
        <w:t xml:space="preserve">elative </w:t>
      </w:r>
      <w:r w:rsidR="009236A1">
        <w:t>v</w:t>
      </w:r>
      <w:r w:rsidRPr="00D45B1A">
        <w:t xml:space="preserve">alue </w:t>
      </w:r>
      <w:r w:rsidR="009236A1">
        <w:t>u</w:t>
      </w:r>
      <w:r w:rsidRPr="00D45B1A">
        <w:t xml:space="preserve">nit (RVU). </w:t>
      </w:r>
    </w:p>
    <w:p w14:paraId="68D63CAC" w14:textId="29123503" w:rsidR="00C27FB2" w:rsidRPr="00D45B1A" w:rsidRDefault="00C27FB2" w:rsidP="004738A8">
      <w:pPr>
        <w:pStyle w:val="Level3"/>
      </w:pPr>
      <w:r w:rsidRPr="00D45B1A">
        <w:t xml:space="preserve">Depending on the data available, the products can be the code of the </w:t>
      </w:r>
      <w:r w:rsidR="00EB2C4D">
        <w:t>b</w:t>
      </w:r>
      <w:r w:rsidRPr="00D45B1A">
        <w:t xml:space="preserve">lood </w:t>
      </w:r>
      <w:r w:rsidR="0079239A">
        <w:t>p</w:t>
      </w:r>
      <w:r w:rsidRPr="00D45B1A">
        <w:t>roduct</w:t>
      </w:r>
      <w:r w:rsidR="0079239A">
        <w:t xml:space="preserve"> or the ICD</w:t>
      </w:r>
      <w:r w:rsidR="00EB2C4D">
        <w:t>-</w:t>
      </w:r>
      <w:r w:rsidR="0079239A">
        <w:t xml:space="preserve">10-AM related </w:t>
      </w:r>
      <w:r w:rsidR="00EB2C4D">
        <w:t>b</w:t>
      </w:r>
      <w:r w:rsidR="0079239A">
        <w:t>lood p</w:t>
      </w:r>
      <w:r w:rsidRPr="00D45B1A">
        <w:t>roduct code.</w:t>
      </w:r>
    </w:p>
    <w:p w14:paraId="68D63CAD" w14:textId="23385AF4" w:rsidR="00C27FB2" w:rsidRPr="00D45B1A" w:rsidRDefault="00C27FB2" w:rsidP="004738A8">
      <w:pPr>
        <w:pStyle w:val="Level3"/>
      </w:pPr>
      <w:r w:rsidRPr="00D45B1A">
        <w:t xml:space="preserve">Where </w:t>
      </w:r>
      <w:r w:rsidR="00EB2C4D">
        <w:t>b</w:t>
      </w:r>
      <w:r w:rsidRPr="00D45B1A">
        <w:t xml:space="preserve">lood </w:t>
      </w:r>
      <w:r w:rsidR="0079239A">
        <w:t>p</w:t>
      </w:r>
      <w:r w:rsidRPr="00D45B1A">
        <w:t xml:space="preserve">roducts are created in the costing system, they will also need to be mapped to the relevant </w:t>
      </w:r>
      <w:r w:rsidR="00EB2C4D">
        <w:t>b</w:t>
      </w:r>
      <w:r w:rsidRPr="00D45B1A">
        <w:t xml:space="preserve">lood </w:t>
      </w:r>
      <w:r w:rsidR="0079239A">
        <w:t>p</w:t>
      </w:r>
      <w:r w:rsidRPr="00D45B1A">
        <w:t>roducts final cost centre</w:t>
      </w:r>
      <w:r w:rsidR="00592698">
        <w:t>.</w:t>
      </w:r>
      <w:r w:rsidRPr="00D45B1A">
        <w:t xml:space="preserve"> </w:t>
      </w:r>
    </w:p>
    <w:p w14:paraId="68D63CAE" w14:textId="77777777" w:rsidR="00C27FB2" w:rsidRPr="00D45B1A" w:rsidRDefault="00C27FB2" w:rsidP="004738A8">
      <w:pPr>
        <w:pStyle w:val="Level3"/>
      </w:pPr>
      <w:r w:rsidRPr="00D45B1A">
        <w:t>Consideration should also be given to blood stock that has not been used in the production process and discarded. These are costs associated with maintenance and storage of blood stock. Depending upon what data is available to the costing practitioner, the following options are listed as examples for consideration for cost allocation:</w:t>
      </w:r>
    </w:p>
    <w:p w14:paraId="68D63CAF" w14:textId="77777777" w:rsidR="00C27FB2" w:rsidRPr="00D45B1A" w:rsidRDefault="00C27FB2" w:rsidP="007C6433">
      <w:pPr>
        <w:pStyle w:val="ListBullet"/>
      </w:pPr>
      <w:r w:rsidRPr="00D45B1A">
        <w:t>Data is available on discarded blood stock, an intermediate product is created and these expenses and a proportion of overhead expense are assigned to a non-patient product.</w:t>
      </w:r>
    </w:p>
    <w:p w14:paraId="68D63CB0" w14:textId="440615A9" w:rsidR="00C27FB2" w:rsidRPr="00D45B1A" w:rsidRDefault="00C27FB2" w:rsidP="007C6433">
      <w:pPr>
        <w:pStyle w:val="ListBullet"/>
      </w:pPr>
      <w:r w:rsidRPr="00D45B1A">
        <w:t>No data is available on discarded stock, but data is available on consumed stock. All relevant (direct and overhead) expenses for both consumed and discarded stock are allocated. In this case each intermediate product costed will include a proportion of consumed and discarded cost. Once matched to patient activity, total blood cost is conf</w:t>
      </w:r>
      <w:r w:rsidR="0079239A">
        <w:t xml:space="preserve">ined to those consuming direct </w:t>
      </w:r>
      <w:r w:rsidR="00EB2C4D">
        <w:t>b</w:t>
      </w:r>
      <w:r w:rsidRPr="00D45B1A">
        <w:t>lood product costs with a proportion of discarded costs.</w:t>
      </w:r>
    </w:p>
    <w:p w14:paraId="68D63CB1" w14:textId="77777777" w:rsidR="00C27FB2" w:rsidRPr="00D45B1A" w:rsidRDefault="00C27FB2" w:rsidP="00897BF9">
      <w:pPr>
        <w:pStyle w:val="Level3Heading"/>
      </w:pPr>
      <w:r w:rsidRPr="00D45B1A">
        <w:t xml:space="preserve">Step </w:t>
      </w:r>
      <w:r w:rsidR="00A01EA6">
        <w:t>5</w:t>
      </w:r>
      <w:r w:rsidR="00EB4353">
        <w:t>:</w:t>
      </w:r>
      <w:r w:rsidRPr="00D45B1A">
        <w:t xml:space="preserve"> Apply </w:t>
      </w:r>
      <w:r w:rsidR="008A6B15">
        <w:t>r</w:t>
      </w:r>
      <w:r w:rsidR="008A6B15" w:rsidRPr="00D45B1A">
        <w:t xml:space="preserve">elative </w:t>
      </w:r>
      <w:r w:rsidR="008A6B15">
        <w:t>v</w:t>
      </w:r>
      <w:r w:rsidR="008A6B15" w:rsidRPr="00D45B1A">
        <w:t xml:space="preserve">alue </w:t>
      </w:r>
      <w:r w:rsidR="008A6B15">
        <w:t>u</w:t>
      </w:r>
      <w:r w:rsidR="008A6B15" w:rsidRPr="00D45B1A">
        <w:t>nits</w:t>
      </w:r>
      <w:r w:rsidRPr="00D45B1A">
        <w:t xml:space="preserve"> </w:t>
      </w:r>
    </w:p>
    <w:p w14:paraId="68D63CB2" w14:textId="35651466" w:rsidR="00C27FB2" w:rsidRPr="00D45B1A" w:rsidRDefault="00C27FB2" w:rsidP="004738A8">
      <w:pPr>
        <w:pStyle w:val="Level3"/>
      </w:pPr>
      <w:r w:rsidRPr="00D45B1A">
        <w:t xml:space="preserve">RVUs need to be assigned to </w:t>
      </w:r>
      <w:r w:rsidR="009C4351">
        <w:t>b</w:t>
      </w:r>
      <w:r w:rsidRPr="00D45B1A">
        <w:t xml:space="preserve">lood </w:t>
      </w:r>
      <w:r w:rsidR="0079239A">
        <w:t>p</w:t>
      </w:r>
      <w:r w:rsidRPr="00D45B1A">
        <w:t>roducts regardless of whether they are derived from local feeder system or the ICD</w:t>
      </w:r>
      <w:r w:rsidR="00EB2C4D">
        <w:t>-</w:t>
      </w:r>
      <w:r w:rsidRPr="00D45B1A">
        <w:t xml:space="preserve">10-AM codes to help determine the relative cost of each </w:t>
      </w:r>
      <w:r w:rsidR="006F7202">
        <w:t>b</w:t>
      </w:r>
      <w:r w:rsidRPr="00D45B1A">
        <w:t>lood product.</w:t>
      </w:r>
    </w:p>
    <w:p w14:paraId="68D63CB3" w14:textId="2DFB727C" w:rsidR="00C27FB2" w:rsidRPr="00D45B1A" w:rsidRDefault="00C27FB2" w:rsidP="004738A8">
      <w:pPr>
        <w:pStyle w:val="Level3"/>
      </w:pPr>
      <w:r w:rsidRPr="00D45B1A">
        <w:t xml:space="preserve">The National Blood Authority (NBA) has a price list of </w:t>
      </w:r>
      <w:r w:rsidR="006F7202">
        <w:t>b</w:t>
      </w:r>
      <w:r w:rsidRPr="00D45B1A">
        <w:t xml:space="preserve">lood </w:t>
      </w:r>
      <w:r w:rsidR="0079239A">
        <w:t>p</w:t>
      </w:r>
      <w:r w:rsidRPr="00D45B1A">
        <w:t xml:space="preserve">roducts. These prices can be used as RVUs in the cost allocation process, but must </w:t>
      </w:r>
      <w:r w:rsidR="009B2BDB">
        <w:t>be mapped to the correct b</w:t>
      </w:r>
      <w:r w:rsidR="0079239A">
        <w:t>lood p</w:t>
      </w:r>
      <w:r w:rsidRPr="00D45B1A">
        <w:t>roduct available from the feeder system or the ICD</w:t>
      </w:r>
      <w:r w:rsidR="00EB2C4D">
        <w:t>-</w:t>
      </w:r>
      <w:r w:rsidRPr="00D45B1A">
        <w:t xml:space="preserve">10-AM code. Costing practitioners should contact their jurisdictional representative or the NBA to obtain this price list. </w:t>
      </w:r>
      <w:r w:rsidR="009C4351">
        <w:t>You may read more on the</w:t>
      </w:r>
      <w:r w:rsidRPr="00D45B1A">
        <w:t xml:space="preserve"> </w:t>
      </w:r>
      <w:hyperlink r:id="rId18" w:history="1">
        <w:r w:rsidRPr="009C4351">
          <w:rPr>
            <w:rStyle w:val="Hyperlink"/>
          </w:rPr>
          <w:t>NBA website</w:t>
        </w:r>
      </w:hyperlink>
      <w:r w:rsidR="009C4351">
        <w:t>.</w:t>
      </w:r>
    </w:p>
    <w:p w14:paraId="68D63CB4" w14:textId="2A40E0CC" w:rsidR="00C27FB2" w:rsidRPr="00D45B1A" w:rsidRDefault="00C27FB2" w:rsidP="004738A8">
      <w:pPr>
        <w:pStyle w:val="Level3"/>
      </w:pPr>
      <w:r w:rsidRPr="00D45B1A">
        <w:t>Other relative values may be used – for example, the jurisdiction may have its own price list. Local RVUs may also be developed, however this should be</w:t>
      </w:r>
      <w:r w:rsidR="009B2BDB">
        <w:t xml:space="preserve"> done in consultation with the b</w:t>
      </w:r>
      <w:r w:rsidRPr="00D45B1A">
        <w:t xml:space="preserve">lood </w:t>
      </w:r>
      <w:r w:rsidR="0079239A">
        <w:t>p</w:t>
      </w:r>
      <w:r w:rsidRPr="00D45B1A">
        <w:t xml:space="preserve">roducts stakeholder/s within the health service (see Step 1 above). </w:t>
      </w:r>
    </w:p>
    <w:p w14:paraId="68D63CB5" w14:textId="77777777" w:rsidR="00C27FB2" w:rsidRPr="00D45B1A" w:rsidRDefault="00C27FB2" w:rsidP="00897BF9">
      <w:pPr>
        <w:pStyle w:val="Level3Heading"/>
      </w:pPr>
      <w:r w:rsidRPr="00D45B1A">
        <w:t xml:space="preserve">Step </w:t>
      </w:r>
      <w:r w:rsidR="00A01EA6">
        <w:t>6</w:t>
      </w:r>
      <w:r w:rsidR="00EB4353">
        <w:t>:</w:t>
      </w:r>
      <w:r w:rsidRPr="00D45B1A">
        <w:t xml:space="preserve"> Create </w:t>
      </w:r>
      <w:r w:rsidR="008A6B15">
        <w:t>i</w:t>
      </w:r>
      <w:r w:rsidR="008A6B15" w:rsidRPr="00D45B1A">
        <w:t xml:space="preserve">ntermediate </w:t>
      </w:r>
      <w:r w:rsidR="008A6B15">
        <w:t>p</w:t>
      </w:r>
      <w:r w:rsidR="008A6B15" w:rsidRPr="00D45B1A">
        <w:t xml:space="preserve">roduct </w:t>
      </w:r>
      <w:r w:rsidR="008A6B15">
        <w:t>c</w:t>
      </w:r>
      <w:r w:rsidR="008A6B15" w:rsidRPr="00D45B1A">
        <w:t xml:space="preserve">osts </w:t>
      </w:r>
      <w:r w:rsidRPr="00D45B1A">
        <w:t xml:space="preserve">in </w:t>
      </w:r>
      <w:r w:rsidR="008A6B15">
        <w:t>f</w:t>
      </w:r>
      <w:r w:rsidR="008A6B15" w:rsidRPr="00D45B1A">
        <w:t xml:space="preserve">inal </w:t>
      </w:r>
      <w:r w:rsidR="008A6B15">
        <w:t>c</w:t>
      </w:r>
      <w:r w:rsidR="008A6B15" w:rsidRPr="00D45B1A">
        <w:t xml:space="preserve">ost </w:t>
      </w:r>
      <w:r w:rsidR="008A6B15">
        <w:t>c</w:t>
      </w:r>
      <w:r w:rsidR="008A6B15" w:rsidRPr="00D45B1A">
        <w:t>entres</w:t>
      </w:r>
    </w:p>
    <w:p w14:paraId="68D63CB6" w14:textId="77777777" w:rsidR="002104BD" w:rsidRDefault="002104BD" w:rsidP="004738A8">
      <w:pPr>
        <w:pStyle w:val="Level3"/>
      </w:pPr>
      <w:r>
        <w:t>Two allocation processes are performed:</w:t>
      </w:r>
    </w:p>
    <w:p w14:paraId="68D63CB7" w14:textId="198108C1" w:rsidR="002104BD" w:rsidRPr="007C6433" w:rsidRDefault="00A773DC" w:rsidP="00A27C5B">
      <w:pPr>
        <w:pStyle w:val="ListBullet"/>
        <w:spacing w:after="120"/>
      </w:pPr>
      <w:r>
        <w:lastRenderedPageBreak/>
        <w:t>w</w:t>
      </w:r>
      <w:r w:rsidR="002104BD" w:rsidRPr="007C6433">
        <w:t>hen overhead co</w:t>
      </w:r>
      <w:r w:rsidR="00D95C0E">
        <w:t>sts are allocated to the production c</w:t>
      </w:r>
      <w:r w:rsidR="002104BD" w:rsidRPr="007C6433">
        <w:t xml:space="preserve">ost </w:t>
      </w:r>
      <w:r w:rsidR="00D95C0E">
        <w:t>c</w:t>
      </w:r>
      <w:r w:rsidR="002104BD" w:rsidRPr="007C6433">
        <w:t>entre (using an appropriate allocation statistic)</w:t>
      </w:r>
    </w:p>
    <w:p w14:paraId="68D63CB8" w14:textId="3CBB706B" w:rsidR="002104BD" w:rsidRPr="007C6433" w:rsidRDefault="00A773DC" w:rsidP="00A27C5B">
      <w:pPr>
        <w:pStyle w:val="ListBullet"/>
        <w:spacing w:after="120"/>
      </w:pPr>
      <w:r>
        <w:t>w</w:t>
      </w:r>
      <w:r w:rsidR="00D95C0E">
        <w:t>hen the production cost c</w:t>
      </w:r>
      <w:r w:rsidR="002104BD" w:rsidRPr="007C6433">
        <w:t>entre costs (overhead and direct) are allocated to the intermediate products.</w:t>
      </w:r>
    </w:p>
    <w:p w14:paraId="68D63CB9" w14:textId="77777777" w:rsidR="00A01EA6" w:rsidRPr="00D45B1A" w:rsidRDefault="00A01EA6" w:rsidP="00A01EA6">
      <w:pPr>
        <w:pStyle w:val="Level3Heading"/>
      </w:pPr>
      <w:r w:rsidRPr="00D45B1A">
        <w:t xml:space="preserve">Step </w:t>
      </w:r>
      <w:r>
        <w:t>7:</w:t>
      </w:r>
      <w:r w:rsidRPr="00D45B1A">
        <w:t xml:space="preserve"> Match </w:t>
      </w:r>
      <w:r w:rsidR="008A6B15">
        <w:t>i</w:t>
      </w:r>
      <w:r w:rsidRPr="00D45B1A">
        <w:t xml:space="preserve">ntermediate </w:t>
      </w:r>
      <w:r w:rsidR="008A6B15">
        <w:t>p</w:t>
      </w:r>
      <w:r w:rsidR="008A6B15" w:rsidRPr="00D45B1A">
        <w:t xml:space="preserve">roducts </w:t>
      </w:r>
      <w:r w:rsidRPr="00D45B1A">
        <w:t xml:space="preserve">and their </w:t>
      </w:r>
      <w:r w:rsidR="008A6B15">
        <w:t>c</w:t>
      </w:r>
      <w:r w:rsidR="008A6B15" w:rsidRPr="00D45B1A">
        <w:t xml:space="preserve">osts </w:t>
      </w:r>
      <w:r w:rsidRPr="00D45B1A">
        <w:t xml:space="preserve">to </w:t>
      </w:r>
      <w:r w:rsidR="008A6B15">
        <w:t>p</w:t>
      </w:r>
      <w:r w:rsidR="008A6B15" w:rsidRPr="00D45B1A">
        <w:t xml:space="preserve">atient </w:t>
      </w:r>
      <w:r w:rsidR="008A6B15">
        <w:t>a</w:t>
      </w:r>
      <w:r w:rsidR="008A6B15" w:rsidRPr="00D45B1A">
        <w:t xml:space="preserve">ctivity </w:t>
      </w:r>
    </w:p>
    <w:p w14:paraId="68D63CBA" w14:textId="3F18C29C" w:rsidR="00A01EA6" w:rsidRPr="00D45B1A" w:rsidRDefault="00A01EA6" w:rsidP="004738A8">
      <w:pPr>
        <w:pStyle w:val="Level3"/>
      </w:pPr>
      <w:r w:rsidRPr="00D45B1A">
        <w:t xml:space="preserve">Intermediate products for </w:t>
      </w:r>
      <w:r w:rsidR="00EB2C4D">
        <w:t>b</w:t>
      </w:r>
      <w:r w:rsidRPr="00D45B1A">
        <w:t xml:space="preserve">lood products will be matched to patient activity according to defined matching criteria. For example, for inpatients, the dates between the admission and discharge date will be used to find </w:t>
      </w:r>
      <w:r w:rsidR="00EB2C4D">
        <w:t>b</w:t>
      </w:r>
      <w:r w:rsidRPr="00D45B1A">
        <w:t xml:space="preserve">lood product intermediate products for matching for patient activity as </w:t>
      </w:r>
      <w:r w:rsidR="00EB2C4D">
        <w:t>b</w:t>
      </w:r>
      <w:r w:rsidRPr="00D45B1A">
        <w:t>lood product consumption will fall between these dates.</w:t>
      </w:r>
    </w:p>
    <w:p w14:paraId="68D63CBB" w14:textId="77777777" w:rsidR="00C27FB2" w:rsidRPr="00D45B1A" w:rsidRDefault="00C27FB2" w:rsidP="00897BF9">
      <w:pPr>
        <w:pStyle w:val="Level3Heading"/>
      </w:pPr>
      <w:r w:rsidRPr="00D45B1A">
        <w:t>Step</w:t>
      </w:r>
      <w:r w:rsidR="004A5C83">
        <w:t xml:space="preserve"> </w:t>
      </w:r>
      <w:r w:rsidR="00A01EA6">
        <w:t>8:</w:t>
      </w:r>
      <w:r w:rsidRPr="00D45B1A">
        <w:t xml:space="preserve"> </w:t>
      </w:r>
      <w:r w:rsidR="0086420A">
        <w:t xml:space="preserve">Report </w:t>
      </w:r>
      <w:r w:rsidR="008A6B15">
        <w:t>c</w:t>
      </w:r>
      <w:r w:rsidRPr="00D45B1A">
        <w:t>osts</w:t>
      </w:r>
    </w:p>
    <w:p w14:paraId="68D63CBC" w14:textId="77777777" w:rsidR="00C27FB2" w:rsidRPr="00D45B1A" w:rsidRDefault="00C27FB2" w:rsidP="004738A8">
      <w:pPr>
        <w:pStyle w:val="Level3"/>
      </w:pPr>
      <w:r w:rsidRPr="00D45B1A">
        <w:t xml:space="preserve">Costing practitioners should then perform the required steps to </w:t>
      </w:r>
      <w:r w:rsidR="00116978">
        <w:t xml:space="preserve">consolidate and report </w:t>
      </w:r>
      <w:r w:rsidRPr="00D45B1A">
        <w:t xml:space="preserve">costs at an encounter level. </w:t>
      </w:r>
    </w:p>
    <w:p w14:paraId="68D63CBD" w14:textId="00052894" w:rsidR="00C27FB2" w:rsidRPr="00D45B1A" w:rsidRDefault="00C27FB2" w:rsidP="004738A8">
      <w:pPr>
        <w:pStyle w:val="Level3"/>
      </w:pPr>
      <w:r w:rsidRPr="00D45B1A">
        <w:t xml:space="preserve">Costing practitioners </w:t>
      </w:r>
      <w:r w:rsidR="0079239A">
        <w:t xml:space="preserve">will need to ensure that </w:t>
      </w:r>
      <w:r w:rsidR="00EB2C4D">
        <w:t>b</w:t>
      </w:r>
      <w:r w:rsidR="0079239A">
        <w:t>lood p</w:t>
      </w:r>
      <w:r w:rsidRPr="00D45B1A">
        <w:t>roduct expenses are appropriately allocated between the various patient encounter settings (</w:t>
      </w:r>
      <w:r w:rsidR="00EB2C4D">
        <w:t>that is</w:t>
      </w:r>
      <w:r w:rsidRPr="00D45B1A">
        <w:t xml:space="preserve">, </w:t>
      </w:r>
      <w:r w:rsidR="00EB2C4D">
        <w:t>i</w:t>
      </w:r>
      <w:r w:rsidR="008A2B19">
        <w:t xml:space="preserve">npatient, </w:t>
      </w:r>
      <w:r w:rsidR="00EC58FA">
        <w:t>ED</w:t>
      </w:r>
      <w:r w:rsidR="00633ACE">
        <w:t xml:space="preserve"> and</w:t>
      </w:r>
      <w:r w:rsidR="008A2B19">
        <w:t xml:space="preserve"> </w:t>
      </w:r>
      <w:r w:rsidR="00EB2C4D">
        <w:t>n</w:t>
      </w:r>
      <w:r w:rsidR="008A2B19">
        <w:t>on-a</w:t>
      </w:r>
      <w:r w:rsidRPr="00D45B1A">
        <w:t>dmitted). This is especially the case where local feeder systems are unavailable and the costing practitioner is reliant upon ICD</w:t>
      </w:r>
      <w:r w:rsidR="00EB2C4D">
        <w:t>-</w:t>
      </w:r>
      <w:r w:rsidRPr="00D45B1A">
        <w:t>10-AM coding to allocate these costs.</w:t>
      </w:r>
    </w:p>
    <w:p w14:paraId="68D63CBE" w14:textId="1B0A544B" w:rsidR="00C27FB2" w:rsidRPr="00D45B1A" w:rsidRDefault="00C27FB2" w:rsidP="00897BF9">
      <w:pPr>
        <w:pStyle w:val="Level3Heading"/>
      </w:pPr>
      <w:r w:rsidRPr="00D45B1A">
        <w:t xml:space="preserve">Step </w:t>
      </w:r>
      <w:r w:rsidR="00A01EA6">
        <w:t>9:</w:t>
      </w:r>
      <w:r w:rsidRPr="00D45B1A">
        <w:t xml:space="preserve"> Cost </w:t>
      </w:r>
      <w:r w:rsidR="008A6B15">
        <w:t>d</w:t>
      </w:r>
      <w:r w:rsidR="008A6B15" w:rsidRPr="00D45B1A">
        <w:t xml:space="preserve">ata </w:t>
      </w:r>
      <w:r w:rsidR="008A6B15">
        <w:t>r</w:t>
      </w:r>
      <w:r w:rsidR="008A6B15" w:rsidRPr="00D45B1A">
        <w:t xml:space="preserve">eview </w:t>
      </w:r>
      <w:r w:rsidRPr="00D45B1A">
        <w:t xml:space="preserve">with </w:t>
      </w:r>
      <w:r w:rsidR="00EB2C4D">
        <w:t>b</w:t>
      </w:r>
      <w:r w:rsidR="008A6B15" w:rsidRPr="00D45B1A">
        <w:t xml:space="preserve">lood </w:t>
      </w:r>
      <w:r w:rsidR="008A6B15">
        <w:t>p</w:t>
      </w:r>
      <w:r w:rsidR="008A6B15" w:rsidRPr="00D45B1A">
        <w:t xml:space="preserve">roducts </w:t>
      </w:r>
      <w:r w:rsidR="008A6B15">
        <w:t>s</w:t>
      </w:r>
      <w:r w:rsidR="008A6B15" w:rsidRPr="00D45B1A">
        <w:t>takeholders</w:t>
      </w:r>
      <w:r w:rsidRPr="00D45B1A">
        <w:t xml:space="preserve"> </w:t>
      </w:r>
    </w:p>
    <w:p w14:paraId="68D63CBF" w14:textId="76507877" w:rsidR="00C27FB2" w:rsidRPr="00D45B1A" w:rsidRDefault="00C27FB2" w:rsidP="004738A8">
      <w:pPr>
        <w:pStyle w:val="Level3"/>
      </w:pPr>
      <w:r w:rsidRPr="00D45B1A">
        <w:t>Costing practitioners s</w:t>
      </w:r>
      <w:r w:rsidR="0079239A">
        <w:t xml:space="preserve">hould meet with their relevant </w:t>
      </w:r>
      <w:r w:rsidR="00EB2C4D">
        <w:t>b</w:t>
      </w:r>
      <w:r w:rsidRPr="00D45B1A">
        <w:t xml:space="preserve">lood </w:t>
      </w:r>
      <w:r w:rsidR="0079239A">
        <w:t>p</w:t>
      </w:r>
      <w:r w:rsidRPr="00D45B1A">
        <w:t>roduct stakeholder/s to report on the costs calculated.</w:t>
      </w:r>
    </w:p>
    <w:p w14:paraId="68D63CC0" w14:textId="77777777" w:rsidR="00C27FB2" w:rsidRPr="00D45B1A" w:rsidRDefault="00C27FB2" w:rsidP="004738A8">
      <w:pPr>
        <w:pStyle w:val="Level3"/>
      </w:pPr>
      <w:r w:rsidRPr="00D45B1A">
        <w:t>Cost data should be reviewed for, amongst other checks, cost relativity per product and resource completeness per episode to determine whether the cost data captures resources that have been provided at encounter level.</w:t>
      </w:r>
      <w:r w:rsidRPr="00D45B1A">
        <w:br w:type="page"/>
      </w:r>
    </w:p>
    <w:p w14:paraId="68D63CC1" w14:textId="5DF475A9" w:rsidR="00C27FB2" w:rsidRPr="00D45B1A" w:rsidRDefault="00C27FB2" w:rsidP="00D97D20">
      <w:pPr>
        <w:pStyle w:val="Heading2"/>
      </w:pPr>
      <w:bookmarkStart w:id="26" w:name="_Toc478631941"/>
      <w:bookmarkStart w:id="27" w:name="_Toc480492973"/>
      <w:bookmarkStart w:id="28" w:name="_Toc80778500"/>
      <w:r w:rsidRPr="00D45B1A">
        <w:lastRenderedPageBreak/>
        <w:t xml:space="preserve">Posthumous </w:t>
      </w:r>
      <w:r w:rsidR="00E867EF">
        <w:t>O</w:t>
      </w:r>
      <w:r w:rsidRPr="00D45B1A">
        <w:t xml:space="preserve">rgan </w:t>
      </w:r>
      <w:r w:rsidR="00E867EF">
        <w:t>D</w:t>
      </w:r>
      <w:r w:rsidR="008A6B15" w:rsidRPr="00D45B1A">
        <w:t>onation</w:t>
      </w:r>
      <w:bookmarkEnd w:id="26"/>
      <w:bookmarkEnd w:id="27"/>
      <w:bookmarkEnd w:id="28"/>
    </w:p>
    <w:p w14:paraId="68D63CC2" w14:textId="77777777" w:rsidR="00C22CF0" w:rsidRDefault="00C22CF0" w:rsidP="00897CD3">
      <w:pPr>
        <w:pStyle w:val="Heading3"/>
      </w:pPr>
      <w:r w:rsidRPr="00D45B1A">
        <w:t>Scope</w:t>
      </w:r>
    </w:p>
    <w:p w14:paraId="68D63CC3" w14:textId="2152CFBD" w:rsidR="00DA47A8" w:rsidRDefault="00C22CF0" w:rsidP="004738A8">
      <w:pPr>
        <w:pStyle w:val="Level3"/>
      </w:pPr>
      <w:r w:rsidRPr="00C22CF0">
        <w:t>T</w:t>
      </w:r>
      <w:r w:rsidR="00373793">
        <w:t>his</w:t>
      </w:r>
      <w:r w:rsidR="009C4351">
        <w:t xml:space="preserve"> guideline </w:t>
      </w:r>
      <w:r w:rsidRPr="00C22CF0">
        <w:t>relate</w:t>
      </w:r>
      <w:r w:rsidR="00373793">
        <w:t>s</w:t>
      </w:r>
      <w:r w:rsidRPr="00C22CF0">
        <w:t xml:space="preserve"> to posthumous organ donation</w:t>
      </w:r>
      <w:r w:rsidR="0095663F">
        <w:t xml:space="preserve"> to transplantation</w:t>
      </w:r>
      <w:r w:rsidR="007B43B6">
        <w:t>,</w:t>
      </w:r>
      <w:r w:rsidRPr="00C22CF0">
        <w:t xml:space="preserve"> where a patient is formally discharged upon death (brain death or cardiac/circulatory death) and reclassified as a posthumous care episode.</w:t>
      </w:r>
    </w:p>
    <w:p w14:paraId="68D63CC4" w14:textId="522120F6" w:rsidR="00C22CF0" w:rsidRPr="00607D90" w:rsidRDefault="00C22CF0" w:rsidP="004738A8">
      <w:pPr>
        <w:pStyle w:val="Level3"/>
      </w:pPr>
      <w:r w:rsidRPr="00C22CF0">
        <w:t>Th</w:t>
      </w:r>
      <w:r w:rsidR="00373793">
        <w:t>is</w:t>
      </w:r>
      <w:r w:rsidRPr="00C22CF0">
        <w:t xml:space="preserve"> </w:t>
      </w:r>
      <w:r w:rsidR="009C4351">
        <w:t>guideline</w:t>
      </w:r>
      <w:r w:rsidRPr="00C22CF0">
        <w:t xml:space="preserve"> do</w:t>
      </w:r>
      <w:r w:rsidR="00373793">
        <w:t>es</w:t>
      </w:r>
      <w:r w:rsidRPr="00C22CF0">
        <w:t xml:space="preserve"> not relate to live donation (such as kidney donation).</w:t>
      </w:r>
    </w:p>
    <w:p w14:paraId="68D63CC5" w14:textId="77777777" w:rsidR="00C22CF0" w:rsidRDefault="00C22CF0" w:rsidP="00897CD3">
      <w:pPr>
        <w:pStyle w:val="Heading3"/>
      </w:pPr>
      <w:r w:rsidRPr="00D45B1A">
        <w:t>Objective</w:t>
      </w:r>
    </w:p>
    <w:p w14:paraId="68D63CC6" w14:textId="41694F64" w:rsidR="007C6433" w:rsidRPr="004738A8" w:rsidRDefault="00C22CF0" w:rsidP="004738A8">
      <w:pPr>
        <w:pStyle w:val="Level3"/>
        <w:rPr>
          <w:rFonts w:eastAsiaTheme="minorHAnsi"/>
        </w:rPr>
      </w:pPr>
      <w:r w:rsidRPr="004738A8">
        <w:t>T</w:t>
      </w:r>
      <w:r w:rsidR="00952713">
        <w:t>his</w:t>
      </w:r>
      <w:r w:rsidRPr="004738A8">
        <w:t xml:space="preserve"> </w:t>
      </w:r>
      <w:r w:rsidR="009C4351">
        <w:t>g</w:t>
      </w:r>
      <w:r w:rsidR="00B63007" w:rsidRPr="004738A8">
        <w:t>uideline</w:t>
      </w:r>
      <w:r w:rsidR="005366FC" w:rsidRPr="004738A8">
        <w:t xml:space="preserve"> </w:t>
      </w:r>
      <w:r w:rsidRPr="004738A8">
        <w:t>outline</w:t>
      </w:r>
      <w:r w:rsidR="00952713">
        <w:t>s</w:t>
      </w:r>
      <w:r w:rsidRPr="004738A8">
        <w:t xml:space="preserve"> the nationally consistent approach to costing posthumous organ donation.</w:t>
      </w:r>
      <w:r w:rsidR="005366FC" w:rsidRPr="004738A8">
        <w:t xml:space="preserve"> </w:t>
      </w:r>
    </w:p>
    <w:p w14:paraId="68D63CC7" w14:textId="0CD0064C" w:rsidR="007C6433" w:rsidRPr="004738A8" w:rsidRDefault="007C6433" w:rsidP="004738A8">
      <w:pPr>
        <w:pStyle w:val="Level3"/>
      </w:pPr>
      <w:r w:rsidRPr="004738A8">
        <w:t>T</w:t>
      </w:r>
      <w:r w:rsidR="00952713">
        <w:t>his</w:t>
      </w:r>
      <w:r w:rsidRPr="004738A8">
        <w:t xml:space="preserve"> </w:t>
      </w:r>
      <w:r w:rsidR="009C4351">
        <w:t>g</w:t>
      </w:r>
      <w:r w:rsidR="00B63007" w:rsidRPr="004738A8">
        <w:t>uideline</w:t>
      </w:r>
      <w:r w:rsidRPr="004738A8">
        <w:t xml:space="preserve"> clarif</w:t>
      </w:r>
      <w:r w:rsidR="00952713">
        <w:t>ies</w:t>
      </w:r>
      <w:r w:rsidRPr="004738A8">
        <w:t xml:space="preserve"> the three types of episodes to be considered when allocating costs related to posthumous organ donation. These should be considered in order to support a nationally consistent costing approach. </w:t>
      </w:r>
    </w:p>
    <w:p w14:paraId="68D63CC8" w14:textId="29DB3601" w:rsidR="007C6433" w:rsidRPr="004738A8" w:rsidRDefault="007357CA" w:rsidP="004738A8">
      <w:pPr>
        <w:pStyle w:val="Level3"/>
      </w:pPr>
      <w:r>
        <w:t>The Independent Hospital Pricing Authority (</w:t>
      </w:r>
      <w:r w:rsidR="007C6433" w:rsidRPr="004738A8">
        <w:t>IHPA</w:t>
      </w:r>
      <w:r>
        <w:t>)</w:t>
      </w:r>
      <w:r w:rsidR="007C6433" w:rsidRPr="004738A8">
        <w:t xml:space="preserve"> acknowledges that there are sensitivities and limitations to costing posthumous organ donation, due to patient privacy. IHPA will work with stakeholders to provide further clarification to standardise costing of posthumous organ donation.</w:t>
      </w:r>
    </w:p>
    <w:p w14:paraId="68D63CC9" w14:textId="238E5067" w:rsidR="00C22CF0" w:rsidRPr="004738A8" w:rsidRDefault="005366FC" w:rsidP="004738A8">
      <w:pPr>
        <w:pStyle w:val="Level3"/>
      </w:pPr>
      <w:r w:rsidRPr="004738A8">
        <w:t>It is recognised that the timing of circulatory death may be difficult to identify precisely in the clinical notes; at the time of publishing, the Australian Institute of Health and Welfare is reviewing definitions of care type which may facilitate definition and reporting of the posthumous care period.</w:t>
      </w:r>
    </w:p>
    <w:p w14:paraId="68D63CCA" w14:textId="25AF3B23" w:rsidR="00C22CF0" w:rsidRDefault="00B63007" w:rsidP="00897CD3">
      <w:pPr>
        <w:pStyle w:val="Heading3"/>
      </w:pPr>
      <w:r>
        <w:t xml:space="preserve">Costing </w:t>
      </w:r>
      <w:r w:rsidR="00952713">
        <w:t>G</w:t>
      </w:r>
      <w:r>
        <w:t>uideline</w:t>
      </w:r>
    </w:p>
    <w:p w14:paraId="68D63CCB" w14:textId="77777777" w:rsidR="00C22CF0" w:rsidRDefault="00C22CF0" w:rsidP="004738A8">
      <w:pPr>
        <w:pStyle w:val="Level3"/>
      </w:pPr>
      <w:r>
        <w:t>The following three episodes should be considered in posthumous organ donation:</w:t>
      </w:r>
    </w:p>
    <w:p w14:paraId="68D63CCC" w14:textId="4E7C7EA3" w:rsidR="00C22CF0" w:rsidRDefault="007357CA" w:rsidP="00A27C5B">
      <w:pPr>
        <w:pStyle w:val="ListBullet"/>
        <w:spacing w:after="120"/>
      </w:pPr>
      <w:r>
        <w:t>d</w:t>
      </w:r>
      <w:r w:rsidR="00C22CF0">
        <w:t>onor episode</w:t>
      </w:r>
    </w:p>
    <w:p w14:paraId="68D63CCD" w14:textId="191313A6" w:rsidR="00C22CF0" w:rsidRDefault="007357CA" w:rsidP="00A27C5B">
      <w:pPr>
        <w:pStyle w:val="ListBullet"/>
        <w:spacing w:after="120"/>
      </w:pPr>
      <w:r>
        <w:t>p</w:t>
      </w:r>
      <w:r w:rsidR="00C22CF0">
        <w:t>osthumous care episode</w:t>
      </w:r>
    </w:p>
    <w:p w14:paraId="68D63CCE" w14:textId="0BE59861" w:rsidR="00C22CF0" w:rsidRDefault="007357CA" w:rsidP="00A27C5B">
      <w:pPr>
        <w:pStyle w:val="ListBullet"/>
        <w:spacing w:after="120"/>
      </w:pPr>
      <w:r>
        <w:t>r</w:t>
      </w:r>
      <w:r w:rsidR="00C22CF0">
        <w:t>ecipient episode</w:t>
      </w:r>
      <w:r>
        <w:t>.</w:t>
      </w:r>
    </w:p>
    <w:p w14:paraId="68D63CCF" w14:textId="77777777" w:rsidR="00C22CF0" w:rsidRPr="00927F40" w:rsidRDefault="00C22CF0" w:rsidP="004738A8">
      <w:pPr>
        <w:pStyle w:val="Level3"/>
        <w:numPr>
          <w:ilvl w:val="0"/>
          <w:numId w:val="0"/>
        </w:numPr>
        <w:ind w:left="2268"/>
        <w:rPr>
          <w:b/>
          <w:color w:val="008542"/>
        </w:rPr>
      </w:pPr>
      <w:r w:rsidRPr="00927F40">
        <w:rPr>
          <w:b/>
          <w:color w:val="008542"/>
        </w:rPr>
        <w:t>Donor episode</w:t>
      </w:r>
    </w:p>
    <w:p w14:paraId="68D63CD0" w14:textId="77777777" w:rsidR="00C22CF0" w:rsidRDefault="00C22CF0" w:rsidP="004738A8">
      <w:pPr>
        <w:pStyle w:val="Level3"/>
      </w:pPr>
      <w:r>
        <w:t>Costing practitioners should consult with their relevant clinicians such as intensivists to understand the pathway for posthumous care including the resources and time taken to prepare the donor for the retrieval process.</w:t>
      </w:r>
    </w:p>
    <w:p w14:paraId="68D63CD1" w14:textId="77777777" w:rsidR="00C22CF0" w:rsidRDefault="00C22CF0" w:rsidP="004738A8">
      <w:pPr>
        <w:pStyle w:val="Level3"/>
      </w:pPr>
      <w:r>
        <w:t>External revenue or funding from third party sources (such as DonateLife), should not be offset against expenses.</w:t>
      </w:r>
      <w:r w:rsidR="001C3F06">
        <w:t xml:space="preserve"> Furthermore, costs of maintaining donor are to be allocated to the donor hospital.</w:t>
      </w:r>
    </w:p>
    <w:p w14:paraId="68D63CD2" w14:textId="77777777" w:rsidR="00C22CF0" w:rsidRPr="00927F40" w:rsidRDefault="00C22CF0" w:rsidP="004738A8">
      <w:pPr>
        <w:pStyle w:val="Level3"/>
        <w:numPr>
          <w:ilvl w:val="0"/>
          <w:numId w:val="0"/>
        </w:numPr>
        <w:ind w:left="2268"/>
        <w:rPr>
          <w:b/>
          <w:color w:val="008542"/>
        </w:rPr>
      </w:pPr>
      <w:r w:rsidRPr="00927F40">
        <w:rPr>
          <w:b/>
          <w:color w:val="008542"/>
        </w:rPr>
        <w:t>Posthumous care episode</w:t>
      </w:r>
    </w:p>
    <w:p w14:paraId="68D63CD3" w14:textId="77777777" w:rsidR="008D131B" w:rsidRDefault="008D131B" w:rsidP="004738A8">
      <w:pPr>
        <w:pStyle w:val="Level3"/>
      </w:pPr>
      <w:r>
        <w:t>The costs of preparation for posthumous organ donation are allocated to the posthumous episode under ‘care type 9 – organ procurement – posthumous’.</w:t>
      </w:r>
    </w:p>
    <w:p w14:paraId="68D63CD4" w14:textId="4284FEB8" w:rsidR="00C22CF0" w:rsidRDefault="00C22CF0" w:rsidP="004738A8">
      <w:pPr>
        <w:pStyle w:val="Level3"/>
      </w:pPr>
      <w:r>
        <w:t xml:space="preserve">The </w:t>
      </w:r>
      <w:r w:rsidR="007357CA">
        <w:t>c</w:t>
      </w:r>
      <w:r>
        <w:t xml:space="preserve">osting </w:t>
      </w:r>
      <w:r w:rsidR="007357CA">
        <w:t>p</w:t>
      </w:r>
      <w:r>
        <w:t>ractitioner should consider the following resources for the posthumous care episode:</w:t>
      </w:r>
    </w:p>
    <w:p w14:paraId="52B2D5C0" w14:textId="77777777" w:rsidR="007357CA" w:rsidRDefault="007357CA" w:rsidP="00A27C5B">
      <w:pPr>
        <w:pStyle w:val="ListBullet"/>
        <w:spacing w:after="120"/>
      </w:pPr>
      <w:r>
        <w:t>drugs</w:t>
      </w:r>
    </w:p>
    <w:p w14:paraId="3F1EBC5A" w14:textId="4A3C9429" w:rsidR="007357CA" w:rsidRDefault="007357CA" w:rsidP="00A27C5B">
      <w:pPr>
        <w:pStyle w:val="ListBullet"/>
        <w:spacing w:after="120"/>
      </w:pPr>
      <w:r>
        <w:t>medical</w:t>
      </w:r>
      <w:r w:rsidR="009236A1">
        <w:t xml:space="preserve"> or </w:t>
      </w:r>
      <w:r>
        <w:t>clinician</w:t>
      </w:r>
    </w:p>
    <w:p w14:paraId="38E8F825" w14:textId="54EAE82B" w:rsidR="007357CA" w:rsidRDefault="007357CA" w:rsidP="00A27C5B">
      <w:pPr>
        <w:pStyle w:val="ListBullet"/>
        <w:spacing w:after="120"/>
      </w:pPr>
      <w:r>
        <w:lastRenderedPageBreak/>
        <w:t>nursing</w:t>
      </w:r>
    </w:p>
    <w:p w14:paraId="68D63CD5" w14:textId="032CA19B" w:rsidR="00C22CF0" w:rsidRDefault="007357CA" w:rsidP="00A27C5B">
      <w:pPr>
        <w:pStyle w:val="ListBullet"/>
        <w:spacing w:after="120"/>
      </w:pPr>
      <w:r>
        <w:t>s</w:t>
      </w:r>
      <w:r w:rsidR="00C22CF0">
        <w:t>etting (generally intensive care)</w:t>
      </w:r>
    </w:p>
    <w:p w14:paraId="68D63CD9" w14:textId="1A5C163A" w:rsidR="00C22CF0" w:rsidRDefault="007357CA" w:rsidP="00A27C5B">
      <w:pPr>
        <w:pStyle w:val="ListBullet"/>
        <w:spacing w:after="120"/>
      </w:pPr>
      <w:r>
        <w:t>o</w:t>
      </w:r>
      <w:r w:rsidR="00C22CF0">
        <w:t>ther resources (such as pathology)</w:t>
      </w:r>
      <w:r>
        <w:t>.</w:t>
      </w:r>
    </w:p>
    <w:p w14:paraId="68D63CDA" w14:textId="77777777" w:rsidR="00C22CF0" w:rsidRPr="00927F40" w:rsidRDefault="00C22CF0" w:rsidP="004738A8">
      <w:pPr>
        <w:pStyle w:val="Level3"/>
        <w:numPr>
          <w:ilvl w:val="0"/>
          <w:numId w:val="0"/>
        </w:numPr>
        <w:ind w:left="2268"/>
        <w:rPr>
          <w:b/>
          <w:color w:val="008542"/>
        </w:rPr>
      </w:pPr>
      <w:r w:rsidRPr="00927F40">
        <w:rPr>
          <w:b/>
          <w:color w:val="008542"/>
        </w:rPr>
        <w:t>Recipient episode</w:t>
      </w:r>
    </w:p>
    <w:p w14:paraId="68D63CDB" w14:textId="77777777" w:rsidR="008D131B" w:rsidRPr="008D131B" w:rsidRDefault="008D131B" w:rsidP="004738A8">
      <w:pPr>
        <w:pStyle w:val="Level3"/>
      </w:pPr>
      <w:r w:rsidRPr="008D131B">
        <w:t>The costs of organ retrieval are allocated to the transplantation patient episode at the same or other hospital under ‘care type 1 – acute care’.</w:t>
      </w:r>
    </w:p>
    <w:p w14:paraId="68D63CDC" w14:textId="39279110" w:rsidR="008D131B" w:rsidRDefault="001C3F06" w:rsidP="004738A8">
      <w:pPr>
        <w:pStyle w:val="Level3"/>
      </w:pPr>
      <w:r>
        <w:t xml:space="preserve">Costs of retrieval are to be allocated to the recipient. </w:t>
      </w:r>
      <w:r w:rsidR="008D131B">
        <w:t xml:space="preserve">The </w:t>
      </w:r>
      <w:r w:rsidR="007357CA">
        <w:t>c</w:t>
      </w:r>
      <w:r w:rsidR="008D131B">
        <w:t xml:space="preserve">osting </w:t>
      </w:r>
      <w:r w:rsidR="007357CA">
        <w:t>p</w:t>
      </w:r>
      <w:r w:rsidR="008D131B">
        <w:t>ractitioner should consider the following resources when costing the retrieval process:</w:t>
      </w:r>
    </w:p>
    <w:p w14:paraId="59E11FE2" w14:textId="634CC8D3" w:rsidR="007357CA" w:rsidRDefault="009C4351" w:rsidP="00A27C5B">
      <w:pPr>
        <w:pStyle w:val="ListBullet"/>
        <w:spacing w:after="120"/>
      </w:pPr>
      <w:r>
        <w:t>assistant s</w:t>
      </w:r>
      <w:r w:rsidR="007357CA">
        <w:t>urgeon</w:t>
      </w:r>
    </w:p>
    <w:p w14:paraId="3AA2B22E" w14:textId="77777777" w:rsidR="007357CA" w:rsidRDefault="007357CA" w:rsidP="00A27C5B">
      <w:pPr>
        <w:pStyle w:val="ListBullet"/>
        <w:spacing w:after="120"/>
      </w:pPr>
      <w:r>
        <w:t>drugs</w:t>
      </w:r>
    </w:p>
    <w:p w14:paraId="454A8DEC" w14:textId="212AF210" w:rsidR="007357CA" w:rsidRDefault="007357CA" w:rsidP="00A27C5B">
      <w:pPr>
        <w:pStyle w:val="ListBullet"/>
        <w:spacing w:after="120"/>
      </w:pPr>
      <w:r>
        <w:t>goods and services</w:t>
      </w:r>
    </w:p>
    <w:p w14:paraId="68D63CE0" w14:textId="4E566328" w:rsidR="008D131B" w:rsidRDefault="007357CA" w:rsidP="00A27C5B">
      <w:pPr>
        <w:pStyle w:val="ListBullet"/>
        <w:spacing w:after="120"/>
      </w:pPr>
      <w:r>
        <w:t>m</w:t>
      </w:r>
      <w:r w:rsidR="008D131B">
        <w:t>edical supplies</w:t>
      </w:r>
    </w:p>
    <w:p w14:paraId="5307E7D4" w14:textId="77777777" w:rsidR="007357CA" w:rsidRDefault="007357CA" w:rsidP="00A27C5B">
      <w:pPr>
        <w:pStyle w:val="ListBullet"/>
        <w:spacing w:after="120"/>
      </w:pPr>
      <w:r>
        <w:t>mode of transport (especially high cost flight for external retrievals)</w:t>
      </w:r>
    </w:p>
    <w:p w14:paraId="5B9C6FAE" w14:textId="0D0FEF24" w:rsidR="007357CA" w:rsidRDefault="007357CA" w:rsidP="00A27C5B">
      <w:pPr>
        <w:pStyle w:val="ListBullet"/>
        <w:spacing w:after="120"/>
      </w:pPr>
      <w:r>
        <w:t xml:space="preserve">organ cold storage </w:t>
      </w:r>
    </w:p>
    <w:p w14:paraId="68D63CE2" w14:textId="6326E16D" w:rsidR="008D131B" w:rsidRDefault="007357CA" w:rsidP="00A27C5B">
      <w:pPr>
        <w:pStyle w:val="ListBullet"/>
        <w:spacing w:after="120"/>
      </w:pPr>
      <w:r>
        <w:t>p</w:t>
      </w:r>
      <w:r w:rsidR="008D131B">
        <w:t>erfusion fluids</w:t>
      </w:r>
    </w:p>
    <w:p w14:paraId="392EC68D" w14:textId="3991311D" w:rsidR="007357CA" w:rsidRDefault="007357CA" w:rsidP="00A27C5B">
      <w:pPr>
        <w:pStyle w:val="ListBullet"/>
        <w:spacing w:after="120"/>
      </w:pPr>
      <w:r>
        <w:t>surgeon</w:t>
      </w:r>
    </w:p>
    <w:p w14:paraId="6124B0AF" w14:textId="0AE93279" w:rsidR="007357CA" w:rsidRDefault="007357CA" w:rsidP="00A27C5B">
      <w:pPr>
        <w:pStyle w:val="ListBullet"/>
        <w:spacing w:after="120"/>
      </w:pPr>
      <w:r>
        <w:t>theatre technician/perfusionist</w:t>
      </w:r>
    </w:p>
    <w:p w14:paraId="68D63CE6" w14:textId="12160153" w:rsidR="008D131B" w:rsidRDefault="007357CA" w:rsidP="00A27C5B">
      <w:pPr>
        <w:pStyle w:val="ListBullet"/>
        <w:spacing w:after="120"/>
      </w:pPr>
      <w:r>
        <w:t>t</w:t>
      </w:r>
      <w:r w:rsidR="008D131B">
        <w:t>ransplantation coordinator</w:t>
      </w:r>
    </w:p>
    <w:p w14:paraId="68D63CE7" w14:textId="713D942F" w:rsidR="008D131B" w:rsidRDefault="007357CA" w:rsidP="00A27C5B">
      <w:pPr>
        <w:pStyle w:val="ListBullet"/>
        <w:spacing w:after="120"/>
      </w:pPr>
      <w:r>
        <w:t>t</w:t>
      </w:r>
      <w:r w:rsidR="008D131B">
        <w:t>ransplantation service</w:t>
      </w:r>
      <w:r w:rsidR="00B63007">
        <w:t>/</w:t>
      </w:r>
      <w:r w:rsidR="008D131B">
        <w:t>departmental costs</w:t>
      </w:r>
      <w:r>
        <w:t>.</w:t>
      </w:r>
    </w:p>
    <w:p w14:paraId="68D63CE8" w14:textId="626AB068" w:rsidR="008D131B" w:rsidRDefault="008D131B" w:rsidP="004738A8">
      <w:pPr>
        <w:pStyle w:val="Level3"/>
      </w:pPr>
      <w:r>
        <w:t xml:space="preserve">Costing practitioners should also discuss the relevant procedure time taken in the retrieval process. For example, on average these procedures may take </w:t>
      </w:r>
      <w:r w:rsidR="007357CA">
        <w:t>four to six</w:t>
      </w:r>
      <w:r>
        <w:t xml:space="preserve"> hours, with additional time required for travel. Retrieval may occur after hours and consideration should be given to additional expenses (such as staff salaried loadings) in an afterhours setting.</w:t>
      </w:r>
    </w:p>
    <w:p w14:paraId="68D63CE9" w14:textId="77777777" w:rsidR="008D131B" w:rsidRDefault="008D131B" w:rsidP="004738A8">
      <w:pPr>
        <w:pStyle w:val="Level3"/>
      </w:pPr>
      <w:r>
        <w:t xml:space="preserve">The </w:t>
      </w:r>
      <w:r w:rsidR="00BA6202">
        <w:t>recipient</w:t>
      </w:r>
      <w:r>
        <w:t xml:space="preserve"> episode</w:t>
      </w:r>
      <w:r w:rsidR="00BA6202">
        <w:t>,</w:t>
      </w:r>
      <w:r>
        <w:t xml:space="preserve"> </w:t>
      </w:r>
      <w:r w:rsidR="00BA6202">
        <w:t xml:space="preserve">with respect to the transplantation, </w:t>
      </w:r>
      <w:r>
        <w:t>should be costed as per all other activity. Costing practitioners should, however, also seek to understand the nuances of this process. For example, they should seek to ensure:</w:t>
      </w:r>
    </w:p>
    <w:p w14:paraId="68D63CEA" w14:textId="31FE5DD3" w:rsidR="008D131B" w:rsidRDefault="009C4351" w:rsidP="00A27C5B">
      <w:pPr>
        <w:pStyle w:val="ListBullet"/>
        <w:spacing w:after="120"/>
      </w:pPr>
      <w:r>
        <w:t>T</w:t>
      </w:r>
      <w:r w:rsidR="008D131B">
        <w:t>he correct theatre time is available within the theatre system for feeder purposes as these procedures have significant durations</w:t>
      </w:r>
      <w:r>
        <w:t>.</w:t>
      </w:r>
    </w:p>
    <w:p w14:paraId="68D63CEB" w14:textId="7FBECCD6" w:rsidR="008D131B" w:rsidRDefault="009C4351" w:rsidP="00A27C5B">
      <w:pPr>
        <w:pStyle w:val="ListBullet"/>
        <w:spacing w:after="120"/>
      </w:pPr>
      <w:r>
        <w:t>T</w:t>
      </w:r>
      <w:r w:rsidR="008D131B">
        <w:t xml:space="preserve">he appropriate surgical teams are recognised within the transplantation process. In some instances, and depending upon the procedure, up to </w:t>
      </w:r>
      <w:r w:rsidR="007357CA">
        <w:t>three</w:t>
      </w:r>
      <w:r w:rsidR="008D131B">
        <w:t xml:space="preserve"> surgical teams may be collocated within the theatre at any given time</w:t>
      </w:r>
      <w:r>
        <w:t>.</w:t>
      </w:r>
    </w:p>
    <w:p w14:paraId="68D63CEC" w14:textId="55C527A6" w:rsidR="00C22CF0" w:rsidRPr="00607D90" w:rsidRDefault="009C4351" w:rsidP="00A27C5B">
      <w:pPr>
        <w:pStyle w:val="ListBullet"/>
        <w:spacing w:after="120"/>
      </w:pPr>
      <w:r>
        <w:t>R</w:t>
      </w:r>
      <w:r w:rsidR="008D131B">
        <w:t>elevant medical supplies and goods and services required for transplantation</w:t>
      </w:r>
      <w:r w:rsidR="00BA6202">
        <w:t>.</w:t>
      </w:r>
    </w:p>
    <w:p w14:paraId="68D63CED" w14:textId="77777777" w:rsidR="00897BF9" w:rsidRPr="007D2CC8" w:rsidRDefault="00897BF9" w:rsidP="00897BF9"/>
    <w:p w14:paraId="68D63CEE" w14:textId="77777777" w:rsidR="00C27FB2" w:rsidRPr="00D45B1A" w:rsidRDefault="00C27FB2" w:rsidP="00C27FB2">
      <w:pPr>
        <w:rPr>
          <w:rFonts w:cs="Arial"/>
        </w:rPr>
      </w:pPr>
      <w:r w:rsidRPr="00D45B1A">
        <w:rPr>
          <w:rFonts w:cs="Arial"/>
        </w:rPr>
        <w:br w:type="page"/>
      </w:r>
    </w:p>
    <w:p w14:paraId="68D63CEF" w14:textId="13076AF1" w:rsidR="00C27FB2" w:rsidRPr="00D45B1A" w:rsidRDefault="00C27FB2" w:rsidP="00D97D20">
      <w:pPr>
        <w:pStyle w:val="Heading2"/>
      </w:pPr>
      <w:bookmarkStart w:id="29" w:name="_Toc478631942"/>
      <w:bookmarkStart w:id="30" w:name="_Toc480492974"/>
      <w:bookmarkStart w:id="31" w:name="_Toc80778501"/>
      <w:r w:rsidRPr="00D45B1A">
        <w:lastRenderedPageBreak/>
        <w:t>Non</w:t>
      </w:r>
      <w:r w:rsidR="008A6B15">
        <w:t>-</w:t>
      </w:r>
      <w:r w:rsidR="00952713">
        <w:t>A</w:t>
      </w:r>
      <w:r w:rsidRPr="00D45B1A">
        <w:t xml:space="preserve">dmitted </w:t>
      </w:r>
      <w:r w:rsidR="00952713">
        <w:t>P</w:t>
      </w:r>
      <w:r w:rsidR="008A6B15" w:rsidRPr="00D45B1A">
        <w:t>atients</w:t>
      </w:r>
      <w:bookmarkEnd w:id="29"/>
      <w:bookmarkEnd w:id="30"/>
      <w:bookmarkEnd w:id="31"/>
    </w:p>
    <w:p w14:paraId="68D63CF0" w14:textId="77777777" w:rsidR="00C27FB2" w:rsidRPr="00D45B1A" w:rsidRDefault="00C27FB2" w:rsidP="00897CD3">
      <w:pPr>
        <w:pStyle w:val="Heading3"/>
      </w:pPr>
      <w:r w:rsidRPr="00D45B1A">
        <w:t>Scope</w:t>
      </w:r>
    </w:p>
    <w:p w14:paraId="68D63CF1" w14:textId="7E12ECEC" w:rsidR="00C27FB2" w:rsidRPr="00D45B1A" w:rsidRDefault="00C27FB2" w:rsidP="004738A8">
      <w:pPr>
        <w:pStyle w:val="Level3"/>
      </w:pPr>
      <w:r w:rsidRPr="00D45B1A">
        <w:t>Th</w:t>
      </w:r>
      <w:r w:rsidR="00952713">
        <w:t>is</w:t>
      </w:r>
      <w:r w:rsidRPr="00D45B1A">
        <w:t xml:space="preserve"> </w:t>
      </w:r>
      <w:r w:rsidR="007357CA">
        <w:t>g</w:t>
      </w:r>
      <w:r w:rsidR="00B63007">
        <w:t>uideline</w:t>
      </w:r>
      <w:r w:rsidRPr="00D45B1A">
        <w:t xml:space="preserve"> </w:t>
      </w:r>
      <w:r w:rsidR="00061CAC">
        <w:t>outlines an approach to</w:t>
      </w:r>
      <w:r w:rsidRPr="00D45B1A">
        <w:t xml:space="preserve"> cost non-admitted encounter activity.</w:t>
      </w:r>
    </w:p>
    <w:p w14:paraId="68D63CF2" w14:textId="2FDD3E11" w:rsidR="00C27FB2" w:rsidRPr="00D45B1A" w:rsidRDefault="00C27FB2" w:rsidP="004738A8">
      <w:pPr>
        <w:pStyle w:val="Level3"/>
      </w:pPr>
      <w:r w:rsidRPr="00D45B1A">
        <w:t>Th</w:t>
      </w:r>
      <w:r w:rsidR="00952713">
        <w:t xml:space="preserve">is </w:t>
      </w:r>
      <w:r w:rsidR="007357CA">
        <w:t>g</w:t>
      </w:r>
      <w:r w:rsidR="00B63007">
        <w:t>uideline</w:t>
      </w:r>
      <w:r w:rsidRPr="00D45B1A">
        <w:t xml:space="preserve"> provides practical steps and examples to guide staff on the patient costing process for these activities.</w:t>
      </w:r>
    </w:p>
    <w:p w14:paraId="68D63CF3" w14:textId="77777777" w:rsidR="00C27FB2" w:rsidRPr="00D45B1A" w:rsidRDefault="00C27FB2" w:rsidP="00897CD3">
      <w:pPr>
        <w:pStyle w:val="Heading3"/>
      </w:pPr>
      <w:r w:rsidRPr="00D45B1A">
        <w:t>Objective</w:t>
      </w:r>
    </w:p>
    <w:p w14:paraId="68D63CF4" w14:textId="0DD49A7D" w:rsidR="00C27FB2" w:rsidRPr="00D45B1A" w:rsidRDefault="00C27FB2" w:rsidP="004738A8">
      <w:pPr>
        <w:pStyle w:val="Level3"/>
      </w:pPr>
      <w:r w:rsidRPr="00D45B1A">
        <w:t>The objective of th</w:t>
      </w:r>
      <w:r w:rsidR="00952713">
        <w:t>is</w:t>
      </w:r>
      <w:r w:rsidR="007357CA">
        <w:t xml:space="preserve"> </w:t>
      </w:r>
      <w:r w:rsidR="00B63007">
        <w:t>guideline</w:t>
      </w:r>
      <w:r w:rsidRPr="00D45B1A">
        <w:t xml:space="preserve"> is to guide costing practitioners of the end to end steps required and ensure that all non-admitted activities and expenses contributing to the day to day production of non-admitted products are included in the patient costing process to determine the full cost of production.</w:t>
      </w:r>
    </w:p>
    <w:p w14:paraId="68D63CF5" w14:textId="30375A85" w:rsidR="00C27FB2" w:rsidRPr="00D45B1A" w:rsidRDefault="00B63007" w:rsidP="00897CD3">
      <w:pPr>
        <w:pStyle w:val="Heading3"/>
      </w:pPr>
      <w:r>
        <w:t xml:space="preserve">Costing </w:t>
      </w:r>
      <w:r w:rsidR="00952713">
        <w:t>G</w:t>
      </w:r>
      <w:r>
        <w:t>uideline</w:t>
      </w:r>
    </w:p>
    <w:p w14:paraId="68D63CF6" w14:textId="77777777" w:rsidR="00C27FB2" w:rsidRPr="00D45B1A" w:rsidRDefault="00C27FB2" w:rsidP="00897BF9">
      <w:pPr>
        <w:pStyle w:val="Level3Heading"/>
      </w:pPr>
      <w:r w:rsidRPr="00D45B1A">
        <w:t>Step 1</w:t>
      </w:r>
      <w:r w:rsidR="00EB4353">
        <w:t>:</w:t>
      </w:r>
      <w:r w:rsidR="00EB4353" w:rsidRPr="00D45B1A">
        <w:t xml:space="preserve"> </w:t>
      </w:r>
      <w:r w:rsidRPr="00D45B1A">
        <w:t xml:space="preserve">Stakeholder </w:t>
      </w:r>
      <w:r w:rsidR="008A6B15">
        <w:t>i</w:t>
      </w:r>
      <w:r w:rsidRPr="00D45B1A">
        <w:t xml:space="preserve">dentification and </w:t>
      </w:r>
      <w:r w:rsidR="008A6B15">
        <w:t>s</w:t>
      </w:r>
      <w:r w:rsidR="008A6B15" w:rsidRPr="00D45B1A">
        <w:t xml:space="preserve">ervice </w:t>
      </w:r>
      <w:r w:rsidR="008A6B15">
        <w:t>s</w:t>
      </w:r>
      <w:r w:rsidR="008A6B15" w:rsidRPr="00D45B1A">
        <w:t xml:space="preserve">cale </w:t>
      </w:r>
      <w:r w:rsidRPr="00D45B1A">
        <w:t xml:space="preserve">and </w:t>
      </w:r>
      <w:r w:rsidR="008A6B15">
        <w:t>s</w:t>
      </w:r>
      <w:r w:rsidR="008A6B15" w:rsidRPr="00D45B1A">
        <w:t>cope</w:t>
      </w:r>
    </w:p>
    <w:p w14:paraId="68D63CF7" w14:textId="110CD026" w:rsidR="00C27FB2" w:rsidRDefault="00C27FB2" w:rsidP="004738A8">
      <w:pPr>
        <w:pStyle w:val="Level3"/>
      </w:pPr>
      <w:r w:rsidRPr="00D45B1A">
        <w:t>All services that meet the definition in IHPA’s Tier 2 Non-Admitted Services Compendium</w:t>
      </w:r>
      <w:r w:rsidR="00B02EA7">
        <w:t>,</w:t>
      </w:r>
      <w:r w:rsidR="00F108E6">
        <w:t xml:space="preserve"> together with </w:t>
      </w:r>
      <w:r w:rsidR="00325D94">
        <w:t>non-</w:t>
      </w:r>
      <w:r w:rsidR="009236A1">
        <w:t>T</w:t>
      </w:r>
      <w:r w:rsidR="00325D94">
        <w:t>ier</w:t>
      </w:r>
      <w:r w:rsidR="00F108E6">
        <w:t xml:space="preserve"> 2 activity </w:t>
      </w:r>
      <w:r w:rsidRPr="00D45B1A">
        <w:t xml:space="preserve">are </w:t>
      </w:r>
      <w:r w:rsidR="00F108E6">
        <w:t xml:space="preserve">to be costed in accordance with this </w:t>
      </w:r>
      <w:r w:rsidR="007357CA">
        <w:t>c</w:t>
      </w:r>
      <w:r w:rsidR="00B63007">
        <w:t>osting guideline</w:t>
      </w:r>
      <w:r w:rsidRPr="00D45B1A">
        <w:t xml:space="preserve">. </w:t>
      </w:r>
    </w:p>
    <w:p w14:paraId="68D63CF8" w14:textId="45A022F7" w:rsidR="00C27FB2" w:rsidRDefault="00C27FB2" w:rsidP="004738A8">
      <w:pPr>
        <w:pStyle w:val="Level3"/>
      </w:pPr>
      <w:r>
        <w:t>Costing practi</w:t>
      </w:r>
      <w:r w:rsidR="00325D94">
        <w:t>ti</w:t>
      </w:r>
      <w:r>
        <w:t xml:space="preserve">oners should note that there may be other activity such as </w:t>
      </w:r>
      <w:r w:rsidRPr="00D45B1A">
        <w:t xml:space="preserve">other out-of-scope non-admitted activities in the hospital which </w:t>
      </w:r>
      <w:r>
        <w:t xml:space="preserve">should </w:t>
      </w:r>
      <w:r w:rsidRPr="00D45B1A">
        <w:t xml:space="preserve">be costed for internal management or </w:t>
      </w:r>
      <w:r w:rsidR="00360078">
        <w:t>j</w:t>
      </w:r>
      <w:r w:rsidRPr="00D45B1A">
        <w:t xml:space="preserve">urisdictional reporting. </w:t>
      </w:r>
    </w:p>
    <w:p w14:paraId="68D63CF9" w14:textId="77777777" w:rsidR="00C27FB2" w:rsidRPr="00D45B1A" w:rsidRDefault="00C27FB2" w:rsidP="004738A8">
      <w:pPr>
        <w:pStyle w:val="Level3"/>
      </w:pPr>
      <w:r w:rsidRPr="00D45B1A">
        <w:t>Costing practitioners should consolidate costing of all non-admitted activity.</w:t>
      </w:r>
    </w:p>
    <w:p w14:paraId="68D63CFA" w14:textId="71B5D6CC" w:rsidR="00C27FB2" w:rsidRPr="00D45B1A" w:rsidRDefault="00C27FB2" w:rsidP="004738A8">
      <w:pPr>
        <w:pStyle w:val="Level3"/>
      </w:pPr>
      <w:r w:rsidRPr="00D45B1A">
        <w:t xml:space="preserve">Costing practitioners should seek guidance and understanding of the counting rules and reporting of the Tier 2 non-admitted activities. Under </w:t>
      </w:r>
      <w:r w:rsidR="007357CA">
        <w:t>activity based funding</w:t>
      </w:r>
      <w:r w:rsidRPr="00D45B1A">
        <w:t xml:space="preserve"> the unit of count is a service event.</w:t>
      </w:r>
    </w:p>
    <w:p w14:paraId="68D63CFB" w14:textId="77777777" w:rsidR="00C27FB2" w:rsidRPr="00D45B1A" w:rsidRDefault="00C27FB2" w:rsidP="004738A8">
      <w:pPr>
        <w:pStyle w:val="Level3"/>
      </w:pPr>
      <w:r w:rsidRPr="00D45B1A">
        <w:t>Costing practitioners should liaise with their jurisdictions and stakeholders to understand the costing approach required for these activities and advice on how or if these activities are to be reported at service event level for funding and/or reporting purposes.</w:t>
      </w:r>
    </w:p>
    <w:p w14:paraId="68D63CFC" w14:textId="77777777" w:rsidR="00C27FB2" w:rsidRPr="00D45B1A" w:rsidRDefault="00C27FB2" w:rsidP="004738A8">
      <w:pPr>
        <w:pStyle w:val="Level3"/>
      </w:pPr>
      <w:r w:rsidRPr="00D45B1A">
        <w:t>For classification purposes</w:t>
      </w:r>
      <w:r w:rsidRPr="00D45B1A">
        <w:rPr>
          <w:b/>
          <w:i/>
        </w:rPr>
        <w:t xml:space="preserve"> </w:t>
      </w:r>
      <w:r w:rsidRPr="00D45B1A">
        <w:t>costing practitioners should note the following:</w:t>
      </w:r>
    </w:p>
    <w:p w14:paraId="68D63CFD" w14:textId="339A00D2" w:rsidR="00C27FB2" w:rsidRPr="00D45B1A" w:rsidRDefault="008A6EB6" w:rsidP="007C6433">
      <w:pPr>
        <w:pStyle w:val="ListBullet"/>
      </w:pPr>
      <w:r>
        <w:t>t</w:t>
      </w:r>
      <w:r w:rsidR="00C27FB2" w:rsidRPr="00D45B1A">
        <w:t>he non-admitted activities in a clinic are grouped into clinic based classes (Tier 2 classes</w:t>
      </w:r>
      <w:r w:rsidR="005F46B1">
        <w:t xml:space="preserve"> and other non-admitted</w:t>
      </w:r>
      <w:r w:rsidR="00C27FB2" w:rsidRPr="00D45B1A">
        <w:t xml:space="preserve">). </w:t>
      </w:r>
    </w:p>
    <w:p w14:paraId="68D63CFE" w14:textId="361E48EA" w:rsidR="00C27FB2" w:rsidRPr="00D45B1A" w:rsidRDefault="008A6EB6" w:rsidP="007C6433">
      <w:pPr>
        <w:pStyle w:val="ListBullet"/>
      </w:pPr>
      <w:r>
        <w:t>t</w:t>
      </w:r>
      <w:r w:rsidR="00C27FB2" w:rsidRPr="00D45B1A">
        <w:t>he Tier 2 classes are structured into procedures, medical consultation services, diagnostic services and allied health and/or clinical nurse specialist intervention services.</w:t>
      </w:r>
    </w:p>
    <w:p w14:paraId="68D63CFF" w14:textId="42DFFD91" w:rsidR="00C27FB2" w:rsidRPr="00D45B1A" w:rsidRDefault="008A6EB6" w:rsidP="007C6433">
      <w:pPr>
        <w:pStyle w:val="ListBullet"/>
      </w:pPr>
      <w:r>
        <w:t>c</w:t>
      </w:r>
      <w:r w:rsidR="00C27FB2" w:rsidRPr="00D45B1A">
        <w:t>osting practitioners should refer to the Tier 2 Non-Admitted Services Definitions Manual for guidance and understanding on the classification and reporting of the Tier 2 non-admitted activities.</w:t>
      </w:r>
    </w:p>
    <w:p w14:paraId="68D63D00" w14:textId="260F853C" w:rsidR="00C27FB2" w:rsidRPr="00D45B1A" w:rsidRDefault="008A6EB6" w:rsidP="007C6433">
      <w:pPr>
        <w:pStyle w:val="ListBullet"/>
      </w:pPr>
      <w:r>
        <w:t>t</w:t>
      </w:r>
      <w:r w:rsidR="00C27FB2" w:rsidRPr="00D45B1A">
        <w:t xml:space="preserve">he mapping of the clinic to Tier 2 classes may be done at hospital or jurisdictional level. Most jurisdictions require hospitals to register their clinics with them. </w:t>
      </w:r>
    </w:p>
    <w:p w14:paraId="68D63D01" w14:textId="3C77154E" w:rsidR="00C27FB2" w:rsidRPr="00D45B1A" w:rsidRDefault="00C27FB2" w:rsidP="004738A8">
      <w:pPr>
        <w:pStyle w:val="Level3"/>
      </w:pPr>
      <w:r w:rsidRPr="00D45B1A">
        <w:t xml:space="preserve">Costing practitioners should meet with the appropriate non-admitted stakeholders such as outpatient or specialist clinic business managers and finance stakeholders to identify both the expense and activity related to the non-admitted services. Stakeholders may include the non-admitted </w:t>
      </w:r>
      <w:r w:rsidRPr="00D45B1A">
        <w:lastRenderedPageBreak/>
        <w:t>service or specialist clinic business managers (or local equivalent), various directors of medical services and nursing</w:t>
      </w:r>
      <w:r w:rsidR="009236A1">
        <w:t xml:space="preserve"> or </w:t>
      </w:r>
      <w:r w:rsidRPr="00D45B1A">
        <w:t xml:space="preserve">clinic managers. </w:t>
      </w:r>
    </w:p>
    <w:p w14:paraId="68D63D02" w14:textId="77777777" w:rsidR="00C27FB2" w:rsidRPr="00D45B1A" w:rsidRDefault="00C27FB2" w:rsidP="004738A8">
      <w:pPr>
        <w:pStyle w:val="Level3"/>
      </w:pPr>
      <w:r w:rsidRPr="00D45B1A">
        <w:t xml:space="preserve">Costing practitioners should seek to understand the spread of non-admitted </w:t>
      </w:r>
      <w:r>
        <w:t>(both Tier 2 and other non-admitted)</w:t>
      </w:r>
      <w:r w:rsidRPr="00D45B1A">
        <w:t xml:space="preserve"> services</w:t>
      </w:r>
      <w:r>
        <w:t xml:space="preserve"> </w:t>
      </w:r>
      <w:r w:rsidRPr="00D45B1A">
        <w:t>to understand the level of service provision and to help inform where expenses and activity are recorded. This information will inform the costing methodology. Examples of service provision include:</w:t>
      </w:r>
    </w:p>
    <w:p w14:paraId="68D63D03" w14:textId="67FE3AA8" w:rsidR="00C27FB2" w:rsidRPr="00D45B1A" w:rsidRDefault="00196727" w:rsidP="007C6433">
      <w:pPr>
        <w:pStyle w:val="ListBullet"/>
      </w:pPr>
      <w:r>
        <w:t>n</w:t>
      </w:r>
      <w:r w:rsidR="00C27FB2" w:rsidRPr="00D45B1A">
        <w:t>on-admitted patient service events involving</w:t>
      </w:r>
      <w:r w:rsidR="00A773DC">
        <w:t xml:space="preserve"> multiple health care providers</w:t>
      </w:r>
    </w:p>
    <w:p w14:paraId="68D63D04" w14:textId="3C04E107" w:rsidR="00C27FB2" w:rsidRPr="00D45B1A" w:rsidRDefault="00196727" w:rsidP="007C6433">
      <w:pPr>
        <w:pStyle w:val="ListBullet"/>
      </w:pPr>
      <w:r>
        <w:t>t</w:t>
      </w:r>
      <w:r w:rsidR="00C27FB2" w:rsidRPr="00D45B1A">
        <w:t xml:space="preserve">elehealth </w:t>
      </w:r>
      <w:r>
        <w:t>\</w:t>
      </w:r>
      <w:r w:rsidR="009C4351">
        <w:t xml:space="preserve"> </w:t>
      </w:r>
      <w:r>
        <w:t>s</w:t>
      </w:r>
      <w:r w:rsidR="00C27FB2" w:rsidRPr="00D45B1A">
        <w:t xml:space="preserve">ervices </w:t>
      </w:r>
    </w:p>
    <w:p w14:paraId="68D63D05" w14:textId="22399659" w:rsidR="00C27FB2" w:rsidRPr="00D45B1A" w:rsidRDefault="00196727" w:rsidP="007C6433">
      <w:pPr>
        <w:pStyle w:val="ListBullet"/>
      </w:pPr>
      <w:r>
        <w:t>s</w:t>
      </w:r>
      <w:r w:rsidR="00C27FB2" w:rsidRPr="00D45B1A">
        <w:t xml:space="preserve">ervice events provided to group sessions </w:t>
      </w:r>
    </w:p>
    <w:p w14:paraId="68D63D06" w14:textId="16498EC7" w:rsidR="00C27FB2" w:rsidRPr="00D45B1A" w:rsidRDefault="00196727" w:rsidP="007C6433">
      <w:pPr>
        <w:pStyle w:val="ListBullet"/>
      </w:pPr>
      <w:r>
        <w:t>n</w:t>
      </w:r>
      <w:r w:rsidR="00C27FB2" w:rsidRPr="00D45B1A">
        <w:t>on-admitted services provided to admitted patients</w:t>
      </w:r>
    </w:p>
    <w:p w14:paraId="68D63D07" w14:textId="1EF735D9" w:rsidR="00C27FB2" w:rsidRPr="00D45B1A" w:rsidRDefault="00196727" w:rsidP="007C6433">
      <w:pPr>
        <w:pStyle w:val="ListBullet"/>
      </w:pPr>
      <w:r>
        <w:t>v</w:t>
      </w:r>
      <w:r w:rsidR="00C27FB2" w:rsidRPr="00D45B1A">
        <w:t>isiting-specialist services (specialist outreach) activities in rural area</w:t>
      </w:r>
    </w:p>
    <w:p w14:paraId="68D63D08" w14:textId="0CD9793C" w:rsidR="00C27FB2" w:rsidRPr="00D45B1A" w:rsidRDefault="00196727" w:rsidP="007C6433">
      <w:pPr>
        <w:pStyle w:val="ListBullet"/>
      </w:pPr>
      <w:r>
        <w:t>h</w:t>
      </w:r>
      <w:r w:rsidR="00C27FB2" w:rsidRPr="00D45B1A">
        <w:t>ome delivered renal dialysis, nutrition procedure and home ventilation</w:t>
      </w:r>
      <w:r w:rsidR="00A773DC">
        <w:t>.</w:t>
      </w:r>
    </w:p>
    <w:p w14:paraId="68D63D09" w14:textId="0E0CBD81" w:rsidR="00C27FB2" w:rsidRPr="00D45B1A" w:rsidRDefault="00C27FB2" w:rsidP="00897BF9">
      <w:pPr>
        <w:pStyle w:val="Level3Heading"/>
      </w:pPr>
      <w:r w:rsidRPr="00D45B1A">
        <w:t>Step 2</w:t>
      </w:r>
      <w:r w:rsidR="00EB4353">
        <w:t>:</w:t>
      </w:r>
      <w:r w:rsidR="00EB4353" w:rsidRPr="00D45B1A">
        <w:t xml:space="preserve"> </w:t>
      </w:r>
      <w:r w:rsidRPr="00D45B1A">
        <w:t xml:space="preserve">Align </w:t>
      </w:r>
      <w:r w:rsidR="008A6B15">
        <w:t>e</w:t>
      </w:r>
      <w:r w:rsidRPr="00D45B1A">
        <w:t xml:space="preserve">xpense to </w:t>
      </w:r>
      <w:r w:rsidR="00196727">
        <w:t>n</w:t>
      </w:r>
      <w:r w:rsidRPr="00D45B1A">
        <w:t>on-</w:t>
      </w:r>
      <w:r w:rsidR="008A6B15">
        <w:t>a</w:t>
      </w:r>
      <w:r w:rsidRPr="00D45B1A">
        <w:t xml:space="preserve">dmitted </w:t>
      </w:r>
      <w:r w:rsidR="008A6B15">
        <w:t>a</w:t>
      </w:r>
      <w:r w:rsidR="008A6B15" w:rsidRPr="00D45B1A">
        <w:t xml:space="preserve">ctivities </w:t>
      </w:r>
      <w:r w:rsidRPr="00D45B1A">
        <w:t xml:space="preserve">and </w:t>
      </w:r>
      <w:r w:rsidR="008A6B15">
        <w:t>d</w:t>
      </w:r>
      <w:r w:rsidR="008A6B15" w:rsidRPr="00D45B1A">
        <w:t xml:space="preserve">efine </w:t>
      </w:r>
      <w:r w:rsidR="008A6B15">
        <w:t>o</w:t>
      </w:r>
      <w:r w:rsidR="008A6B15" w:rsidRPr="00D45B1A">
        <w:t xml:space="preserve">verhead </w:t>
      </w:r>
      <w:r w:rsidRPr="00D45B1A">
        <w:t xml:space="preserve">and </w:t>
      </w:r>
      <w:r w:rsidR="008A6B15">
        <w:t>d</w:t>
      </w:r>
      <w:r w:rsidR="008A6B15" w:rsidRPr="00D45B1A">
        <w:t xml:space="preserve">irect </w:t>
      </w:r>
      <w:r w:rsidRPr="00D45B1A">
        <w:t xml:space="preserve">expenses, including </w:t>
      </w:r>
      <w:r w:rsidR="008A6B15">
        <w:t>o</w:t>
      </w:r>
      <w:r w:rsidR="008A6B15" w:rsidRPr="00D45B1A">
        <w:t xml:space="preserve">verhead </w:t>
      </w:r>
      <w:r w:rsidR="008A6B15">
        <w:t>a</w:t>
      </w:r>
      <w:r w:rsidR="008A6B15" w:rsidRPr="00D45B1A">
        <w:t xml:space="preserve">llocation </w:t>
      </w:r>
      <w:r w:rsidR="008A6B15">
        <w:t>m</w:t>
      </w:r>
      <w:r w:rsidR="008A6B15" w:rsidRPr="00D45B1A">
        <w:t>ethods</w:t>
      </w:r>
      <w:r w:rsidRPr="00D45B1A">
        <w:t xml:space="preserve"> </w:t>
      </w:r>
    </w:p>
    <w:p w14:paraId="68D63D0A" w14:textId="3F792841" w:rsidR="00C27FB2" w:rsidRPr="00D45B1A" w:rsidRDefault="00C27FB2" w:rsidP="004738A8">
      <w:pPr>
        <w:pStyle w:val="Level3"/>
      </w:pPr>
      <w:r w:rsidRPr="00D45B1A">
        <w:t>Costing practitioners may refer to their (master) clinic list and work with relevant stakeholders to define the expense of each clinic</w:t>
      </w:r>
      <w:r w:rsidR="009236A1">
        <w:t xml:space="preserve"> or </w:t>
      </w:r>
      <w:r w:rsidRPr="00D45B1A">
        <w:t>unit that is both within and out of scope for non-admitted final products. This includes obtaining agreement on:</w:t>
      </w:r>
    </w:p>
    <w:p w14:paraId="68D63D0B" w14:textId="260A1411" w:rsidR="00C27FB2" w:rsidRPr="00D45B1A" w:rsidRDefault="00C27FB2" w:rsidP="004738A8">
      <w:pPr>
        <w:pStyle w:val="Level3"/>
      </w:pPr>
      <w:r w:rsidRPr="00D45B1A">
        <w:t>The cost centre/s to map to the clinics for costing purposes in the costing software. Most clinics do not normally have a one to one mapping to a cost centre code. Expenses may need to be moved to</w:t>
      </w:r>
      <w:r w:rsidR="009236A1">
        <w:t xml:space="preserve"> or </w:t>
      </w:r>
      <w:r w:rsidRPr="00D45B1A">
        <w:t>from other cost centres.</w:t>
      </w:r>
    </w:p>
    <w:p w14:paraId="68D63D0C" w14:textId="3213043C" w:rsidR="00C27FB2" w:rsidRPr="00D45B1A" w:rsidRDefault="00C27FB2" w:rsidP="004738A8">
      <w:pPr>
        <w:pStyle w:val="Level3"/>
      </w:pPr>
      <w:r w:rsidRPr="00927F40">
        <w:t xml:space="preserve">Align </w:t>
      </w:r>
      <w:r w:rsidR="00196727">
        <w:t>e</w:t>
      </w:r>
      <w:r w:rsidRPr="00927F40">
        <w:t xml:space="preserve">xpense to </w:t>
      </w:r>
      <w:r w:rsidR="00196727">
        <w:t>f</w:t>
      </w:r>
      <w:r w:rsidRPr="00927F40">
        <w:t>inal cost centres</w:t>
      </w:r>
      <w:r w:rsidRPr="00D45B1A">
        <w:rPr>
          <w:i/>
        </w:rPr>
        <w:t xml:space="preserve"> </w:t>
      </w:r>
      <w:r w:rsidR="00196727">
        <w:rPr>
          <w:i/>
        </w:rPr>
        <w:t>–</w:t>
      </w:r>
      <w:r w:rsidRPr="00D45B1A">
        <w:t xml:space="preserve"> </w:t>
      </w:r>
      <w:r w:rsidR="00196727">
        <w:t>c</w:t>
      </w:r>
      <w:r w:rsidRPr="00D45B1A">
        <w:t>osting practitioners should also work with relevant stakeholders to define and agree on the methods and assumptions to be used (for example, staff rosters, timesheets and/or other relevant data) to transfer expenses to other products.</w:t>
      </w:r>
    </w:p>
    <w:p w14:paraId="68D63D0D" w14:textId="07A6D4F8" w:rsidR="00C27FB2" w:rsidRPr="00D45B1A" w:rsidRDefault="00C27FB2" w:rsidP="004738A8">
      <w:pPr>
        <w:pStyle w:val="Level3"/>
      </w:pPr>
      <w:r w:rsidRPr="00D45B1A">
        <w:t>Costing practitioners should then (within the patient costing system) use stakeholder insights to move expense appropriately to the non-admitted final cost centre and other relevant final cost centres (for example from the medical/</w:t>
      </w:r>
      <w:r w:rsidR="009C4351">
        <w:t>a</w:t>
      </w:r>
      <w:r w:rsidRPr="00D45B1A">
        <w:t xml:space="preserve">llied unit cost centre to the outpatient </w:t>
      </w:r>
      <w:r w:rsidR="009C4351">
        <w:t>c</w:t>
      </w:r>
      <w:r w:rsidRPr="00D45B1A">
        <w:t>linic cost centre).</w:t>
      </w:r>
    </w:p>
    <w:p w14:paraId="68D63D0E" w14:textId="77777777" w:rsidR="0084415C" w:rsidRPr="00607D90" w:rsidRDefault="00C27FB2" w:rsidP="004738A8">
      <w:pPr>
        <w:pStyle w:val="Level3"/>
      </w:pPr>
      <w:r w:rsidRPr="00D45B1A">
        <w:t>Costing practitioners may also need to consider how they will treat activities which, say, fall outside the definition of service events or require further consideration. For example, ‘did not attend’ records may require a minimum allocation of expense to recognise costs associated with bookings, medical record retrieval and other associated costs.</w:t>
      </w:r>
      <w:r w:rsidR="00B63007">
        <w:t xml:space="preserve"> </w:t>
      </w:r>
      <w:r w:rsidR="0084415C">
        <w:t>Where a patient is simultaneously an admitted patient and attends non admitted clinics, the clinic event will not be costed.</w:t>
      </w:r>
      <w:r w:rsidRPr="00D45B1A">
        <w:t xml:space="preserve"> </w:t>
      </w:r>
      <w:r w:rsidR="00AE7000">
        <w:t>C</w:t>
      </w:r>
      <w:r w:rsidR="00AE7000" w:rsidRPr="00D45B1A">
        <w:t xml:space="preserve">osting </w:t>
      </w:r>
      <w:r w:rsidRPr="00D45B1A">
        <w:t>practitioners should refer to their jurisdictions for further advice.</w:t>
      </w:r>
      <w:r w:rsidR="00B63007">
        <w:t xml:space="preserve"> </w:t>
      </w:r>
    </w:p>
    <w:p w14:paraId="68D63D0F" w14:textId="5D65B773" w:rsidR="00C27FB2" w:rsidRPr="00D45B1A" w:rsidRDefault="00C27FB2" w:rsidP="004738A8">
      <w:pPr>
        <w:pStyle w:val="Level3"/>
      </w:pPr>
      <w:r w:rsidRPr="00927F40">
        <w:t xml:space="preserve">Record </w:t>
      </w:r>
      <w:r w:rsidR="00196727">
        <w:t>e</w:t>
      </w:r>
      <w:r w:rsidRPr="00927F40">
        <w:t xml:space="preserve">xpense </w:t>
      </w:r>
      <w:r w:rsidR="00196727">
        <w:t>a</w:t>
      </w:r>
      <w:r w:rsidRPr="00927F40">
        <w:t xml:space="preserve">lignment </w:t>
      </w:r>
      <w:r w:rsidR="00196727">
        <w:t>d</w:t>
      </w:r>
      <w:r w:rsidRPr="00927F40">
        <w:t>ecisions</w:t>
      </w:r>
      <w:r w:rsidRPr="00D45B1A">
        <w:t xml:space="preserve"> – </w:t>
      </w:r>
      <w:r w:rsidR="00196727">
        <w:t>c</w:t>
      </w:r>
      <w:r w:rsidRPr="00D45B1A">
        <w:t xml:space="preserve">osting practitioners should utilise the costing system or another medium to record: </w:t>
      </w:r>
    </w:p>
    <w:p w14:paraId="676A449E" w14:textId="5C790DE5" w:rsidR="006F7202" w:rsidRDefault="006F7202" w:rsidP="006F7202">
      <w:pPr>
        <w:pStyle w:val="ListBullet"/>
      </w:pPr>
      <w:r w:rsidRPr="00D45B1A">
        <w:t xml:space="preserve">a date for future review of </w:t>
      </w:r>
      <w:r>
        <w:t>c</w:t>
      </w:r>
      <w:r w:rsidRPr="00D45B1A">
        <w:t>linic expense alig</w:t>
      </w:r>
      <w:r>
        <w:t>nment.</w:t>
      </w:r>
    </w:p>
    <w:p w14:paraId="68D63D10" w14:textId="223BA5D3" w:rsidR="00C27FB2" w:rsidRDefault="00C27FB2" w:rsidP="007C6433">
      <w:pPr>
        <w:pStyle w:val="ListBullet"/>
      </w:pPr>
      <w:r w:rsidRPr="00D45B1A">
        <w:t xml:space="preserve">the classification of expense into the </w:t>
      </w:r>
      <w:r w:rsidR="009C4351">
        <w:t>n</w:t>
      </w:r>
      <w:r w:rsidRPr="00D45B1A">
        <w:t xml:space="preserve">on-admitted final cost centre </w:t>
      </w:r>
    </w:p>
    <w:p w14:paraId="78C530AE" w14:textId="0F261095" w:rsidR="006F7202" w:rsidRPr="00D45B1A" w:rsidRDefault="006F7202" w:rsidP="006F7202">
      <w:pPr>
        <w:pStyle w:val="ListBullet"/>
      </w:pPr>
      <w:r>
        <w:t>the date of the meeting</w:t>
      </w:r>
    </w:p>
    <w:p w14:paraId="68D63D11" w14:textId="4256E35E" w:rsidR="00C27FB2" w:rsidRPr="00D45B1A" w:rsidRDefault="00A773DC" w:rsidP="007C6433">
      <w:pPr>
        <w:pStyle w:val="ListBullet"/>
      </w:pPr>
      <w:r>
        <w:t>the stakeholders met with</w:t>
      </w:r>
      <w:r w:rsidR="006F7202">
        <w:t>.</w:t>
      </w:r>
    </w:p>
    <w:p w14:paraId="68D63D14" w14:textId="5C6F7060" w:rsidR="00C27FB2" w:rsidRPr="00D45B1A" w:rsidRDefault="00C27FB2" w:rsidP="00897BF9">
      <w:pPr>
        <w:pStyle w:val="Level3Heading"/>
      </w:pPr>
      <w:r w:rsidRPr="00D45B1A">
        <w:lastRenderedPageBreak/>
        <w:t>Step 3</w:t>
      </w:r>
      <w:r w:rsidR="00EB4353">
        <w:t>:</w:t>
      </w:r>
      <w:r w:rsidR="00EB4353" w:rsidRPr="00D45B1A">
        <w:t xml:space="preserve"> </w:t>
      </w:r>
      <w:r w:rsidRPr="00D45B1A">
        <w:t xml:space="preserve">Identify </w:t>
      </w:r>
      <w:r w:rsidR="008A6B15">
        <w:t>p</w:t>
      </w:r>
      <w:r w:rsidRPr="00D45B1A">
        <w:t xml:space="preserve">atient </w:t>
      </w:r>
      <w:r w:rsidR="008A6B15">
        <w:t>l</w:t>
      </w:r>
      <w:r w:rsidR="008A6B15" w:rsidRPr="00D45B1A">
        <w:t xml:space="preserve">evel </w:t>
      </w:r>
      <w:r w:rsidR="008A6B15">
        <w:t>a</w:t>
      </w:r>
      <w:r w:rsidR="008A6B15" w:rsidRPr="00D45B1A">
        <w:t xml:space="preserve">ctivity </w:t>
      </w:r>
      <w:r w:rsidRPr="00D45B1A">
        <w:t xml:space="preserve">and </w:t>
      </w:r>
      <w:r w:rsidR="00196727">
        <w:t>n</w:t>
      </w:r>
      <w:r w:rsidRPr="00D45B1A">
        <w:t>on</w:t>
      </w:r>
      <w:r w:rsidR="008A6B15">
        <w:t>-a</w:t>
      </w:r>
      <w:r w:rsidRPr="00D45B1A">
        <w:t xml:space="preserve">dmitted </w:t>
      </w:r>
      <w:r w:rsidR="008A6B15">
        <w:t>f</w:t>
      </w:r>
      <w:r w:rsidR="008A6B15" w:rsidRPr="00D45B1A">
        <w:t xml:space="preserve">eeder </w:t>
      </w:r>
      <w:r w:rsidR="008A6B15">
        <w:t>d</w:t>
      </w:r>
      <w:r w:rsidR="008A6B15" w:rsidRPr="00D45B1A">
        <w:t xml:space="preserve">ata </w:t>
      </w:r>
      <w:r w:rsidRPr="00D45B1A">
        <w:t xml:space="preserve">and </w:t>
      </w:r>
      <w:r w:rsidR="008A6B15">
        <w:t>p</w:t>
      </w:r>
      <w:r w:rsidR="008A6B15" w:rsidRPr="00D45B1A">
        <w:t xml:space="preserve">erform </w:t>
      </w:r>
      <w:r w:rsidR="008A6B15">
        <w:t>q</w:t>
      </w:r>
      <w:r w:rsidR="008A6B15" w:rsidRPr="00D45B1A">
        <w:t xml:space="preserve">uality </w:t>
      </w:r>
      <w:r w:rsidR="008A6B15">
        <w:t>a</w:t>
      </w:r>
      <w:r w:rsidR="008A6B15" w:rsidRPr="00D45B1A">
        <w:t xml:space="preserve">ssurance </w:t>
      </w:r>
      <w:r w:rsidR="008A6B15">
        <w:t>c</w:t>
      </w:r>
      <w:r w:rsidRPr="00D45B1A">
        <w:t xml:space="preserve">hecks </w:t>
      </w:r>
    </w:p>
    <w:p w14:paraId="68D63D15" w14:textId="77777777" w:rsidR="00C27FB2" w:rsidRPr="00D45B1A" w:rsidRDefault="00C27FB2" w:rsidP="004738A8">
      <w:pPr>
        <w:pStyle w:val="Level3"/>
      </w:pPr>
      <w:r w:rsidRPr="00D45B1A">
        <w:t xml:space="preserve">Non-admitted feeder systems should be able to capture and report some or all of the following fields: </w:t>
      </w:r>
    </w:p>
    <w:p w14:paraId="68D63D16" w14:textId="2C4A4529" w:rsidR="00C27FB2" w:rsidRPr="00D45B1A" w:rsidRDefault="00C27FB2" w:rsidP="007C6433">
      <w:pPr>
        <w:pStyle w:val="ListBullet"/>
      </w:pPr>
      <w:r w:rsidRPr="00D45B1A">
        <w:t xml:space="preserve">the patient’s unique </w:t>
      </w:r>
      <w:r w:rsidR="002E230A">
        <w:t>identifier</w:t>
      </w:r>
    </w:p>
    <w:p w14:paraId="68D63D17" w14:textId="494BD6AA" w:rsidR="00C27FB2" w:rsidRPr="00D45B1A" w:rsidRDefault="00C27FB2" w:rsidP="007C6433">
      <w:pPr>
        <w:pStyle w:val="ListBullet"/>
      </w:pPr>
      <w:r w:rsidRPr="00D45B1A">
        <w:t>the pat</w:t>
      </w:r>
      <w:r w:rsidR="00A773DC">
        <w:t>ient unique episode identifier</w:t>
      </w:r>
    </w:p>
    <w:p w14:paraId="68D63D18" w14:textId="3A36EC91" w:rsidR="00C27FB2" w:rsidRPr="00D45B1A" w:rsidRDefault="00196727" w:rsidP="007C6433">
      <w:pPr>
        <w:pStyle w:val="ListBullet"/>
      </w:pPr>
      <w:r>
        <w:t>c</w:t>
      </w:r>
      <w:r w:rsidR="00C27FB2" w:rsidRPr="00D45B1A">
        <w:t xml:space="preserve">linic code </w:t>
      </w:r>
    </w:p>
    <w:p w14:paraId="68D63D19" w14:textId="01A9BA67" w:rsidR="00C27FB2" w:rsidRPr="00D45B1A" w:rsidRDefault="00C27FB2" w:rsidP="007C6433">
      <w:pPr>
        <w:pStyle w:val="ListBullet"/>
      </w:pPr>
      <w:r w:rsidRPr="00D45B1A">
        <w:t xml:space="preserve">the date of service </w:t>
      </w:r>
    </w:p>
    <w:p w14:paraId="68D63D1A" w14:textId="3F36B5AA" w:rsidR="00C27FB2" w:rsidRPr="00D45B1A" w:rsidRDefault="00A773DC" w:rsidP="007C6433">
      <w:pPr>
        <w:pStyle w:val="ListBullet"/>
      </w:pPr>
      <w:r>
        <w:t>Tier 2 codes</w:t>
      </w:r>
    </w:p>
    <w:p w14:paraId="68D63D1B" w14:textId="697D1BB9" w:rsidR="00C27FB2" w:rsidRPr="00D45B1A" w:rsidRDefault="00C27FB2" w:rsidP="007C6433">
      <w:pPr>
        <w:pStyle w:val="ListBullet"/>
      </w:pPr>
      <w:r w:rsidRPr="00D45B1A">
        <w:t>multiple health care provider indicat</w:t>
      </w:r>
      <w:r w:rsidR="00A773DC">
        <w:t>or</w:t>
      </w:r>
    </w:p>
    <w:p w14:paraId="68D63D1C" w14:textId="681E3A69" w:rsidR="00C27FB2" w:rsidRPr="00D45B1A" w:rsidRDefault="00C27FB2" w:rsidP="007C6433">
      <w:pPr>
        <w:pStyle w:val="ListBullet"/>
      </w:pPr>
      <w:r w:rsidRPr="00D45B1A">
        <w:t xml:space="preserve">provider type </w:t>
      </w:r>
      <w:r w:rsidR="00196727">
        <w:t>–</w:t>
      </w:r>
      <w:r w:rsidRPr="00D45B1A">
        <w:t xml:space="preserve"> to identify the specialty of the individual health care providers who are involved in the service events. This field may be used to create intermediate product code and identify the cost cen</w:t>
      </w:r>
      <w:r w:rsidR="00A773DC">
        <w:t>tre to map expense and activity</w:t>
      </w:r>
    </w:p>
    <w:p w14:paraId="68D63D1D" w14:textId="546E55CF" w:rsidR="00C27FB2" w:rsidRPr="00D45B1A" w:rsidRDefault="00C27FB2" w:rsidP="007C6433">
      <w:pPr>
        <w:pStyle w:val="ListBullet"/>
      </w:pPr>
      <w:r w:rsidRPr="00D45B1A">
        <w:t xml:space="preserve">modality of care (for </w:t>
      </w:r>
      <w:r w:rsidR="006F7202">
        <w:t>example,</w:t>
      </w:r>
      <w:r w:rsidR="00A773DC">
        <w:t xml:space="preserve"> face</w:t>
      </w:r>
      <w:r w:rsidR="009C4351">
        <w:t>-</w:t>
      </w:r>
      <w:r w:rsidR="00A773DC">
        <w:t>to</w:t>
      </w:r>
      <w:r w:rsidR="009C4351">
        <w:t>-</w:t>
      </w:r>
      <w:r w:rsidR="00A773DC">
        <w:t>face, telephone)</w:t>
      </w:r>
    </w:p>
    <w:p w14:paraId="68D63D1E" w14:textId="63E1F914" w:rsidR="00C27FB2" w:rsidRPr="00D45B1A" w:rsidRDefault="00196727" w:rsidP="007C6433">
      <w:pPr>
        <w:pStyle w:val="ListBullet"/>
      </w:pPr>
      <w:r>
        <w:t>s</w:t>
      </w:r>
      <w:r w:rsidR="00C27FB2" w:rsidRPr="00D45B1A">
        <w:t>ervice type (for</w:t>
      </w:r>
      <w:r w:rsidR="00A773DC">
        <w:t xml:space="preserve"> example, </w:t>
      </w:r>
      <w:r>
        <w:t>e</w:t>
      </w:r>
      <w:r w:rsidR="00A773DC">
        <w:t xml:space="preserve">ndocrine, </w:t>
      </w:r>
      <w:r>
        <w:t>m</w:t>
      </w:r>
      <w:r w:rsidR="00A773DC">
        <w:t>idwifery)</w:t>
      </w:r>
    </w:p>
    <w:p w14:paraId="68D63D1F" w14:textId="3ABBDCF1" w:rsidR="00C27FB2" w:rsidRPr="00D45B1A" w:rsidRDefault="00A773DC" w:rsidP="007C6433">
      <w:pPr>
        <w:pStyle w:val="ListBullet"/>
      </w:pPr>
      <w:r>
        <w:t>funding source</w:t>
      </w:r>
    </w:p>
    <w:p w14:paraId="68D63D20" w14:textId="7FA22A39" w:rsidR="00C27FB2" w:rsidRPr="00D45B1A" w:rsidRDefault="00196727" w:rsidP="007C6433">
      <w:pPr>
        <w:pStyle w:val="ListBullet"/>
      </w:pPr>
      <w:r>
        <w:t>s</w:t>
      </w:r>
      <w:r w:rsidR="00C27FB2" w:rsidRPr="00D45B1A">
        <w:t xml:space="preserve">etting type (for example, </w:t>
      </w:r>
      <w:r>
        <w:t>h</w:t>
      </w:r>
      <w:r w:rsidR="00C27FB2" w:rsidRPr="00D45B1A">
        <w:t xml:space="preserve">ospital </w:t>
      </w:r>
      <w:r>
        <w:t>o</w:t>
      </w:r>
      <w:r w:rsidR="00C27FB2" w:rsidRPr="00D45B1A">
        <w:t xml:space="preserve">utpatient </w:t>
      </w:r>
      <w:r>
        <w:t>c</w:t>
      </w:r>
      <w:r w:rsidR="00C27FB2" w:rsidRPr="00D45B1A">
        <w:t xml:space="preserve">linic, </w:t>
      </w:r>
      <w:r>
        <w:t>h</w:t>
      </w:r>
      <w:r w:rsidR="00C27FB2" w:rsidRPr="00D45B1A">
        <w:t>ome-</w:t>
      </w:r>
      <w:r>
        <w:t>p</w:t>
      </w:r>
      <w:r w:rsidR="00C27FB2" w:rsidRPr="00D45B1A">
        <w:t xml:space="preserve">rivate </w:t>
      </w:r>
      <w:r>
        <w:t>r</w:t>
      </w:r>
      <w:r w:rsidR="00C27FB2" w:rsidRPr="00D45B1A">
        <w:t>esidence)</w:t>
      </w:r>
    </w:p>
    <w:p w14:paraId="68D63D21" w14:textId="67F8C96A" w:rsidR="00C27FB2" w:rsidRPr="00D45B1A" w:rsidRDefault="00C27FB2" w:rsidP="007C6433">
      <w:pPr>
        <w:pStyle w:val="ListBullet"/>
      </w:pPr>
      <w:r w:rsidRPr="00D45B1A">
        <w:t xml:space="preserve">the time into and out of the unit </w:t>
      </w:r>
    </w:p>
    <w:p w14:paraId="68D63D22" w14:textId="77777777" w:rsidR="00C27FB2" w:rsidRPr="00D45B1A" w:rsidRDefault="00C27FB2" w:rsidP="007C6433">
      <w:pPr>
        <w:pStyle w:val="ListBullet"/>
      </w:pPr>
      <w:r w:rsidRPr="00D45B1A">
        <w:t>other patient demographic factors such as sex and age.</w:t>
      </w:r>
    </w:p>
    <w:p w14:paraId="68D63D23" w14:textId="77777777" w:rsidR="00C27FB2" w:rsidRPr="00D45B1A" w:rsidRDefault="00C27FB2" w:rsidP="004738A8">
      <w:pPr>
        <w:pStyle w:val="Level3"/>
      </w:pPr>
      <w:r w:rsidRPr="00D45B1A">
        <w:t xml:space="preserve">Costing practitioners should perform quality assurance checks on the non-admitted file prior to the costing process. For example, checks should be made on the date of service (to test reliability to remove error dates, check time into and out of the unit, and ensure dates are relevant to the period being costed). If clinic duration is used to allocate costs, checks should be performed to ensure that the duration of the service event is reasonable. </w:t>
      </w:r>
    </w:p>
    <w:p w14:paraId="68D63D24" w14:textId="0B3AD35B" w:rsidR="00C27FB2" w:rsidRPr="00D45B1A" w:rsidRDefault="00C27FB2" w:rsidP="00897BF9">
      <w:pPr>
        <w:pStyle w:val="Level3Heading"/>
      </w:pPr>
      <w:r w:rsidRPr="00D45B1A">
        <w:t>Step 4</w:t>
      </w:r>
      <w:r w:rsidR="00EB4353">
        <w:t>:</w:t>
      </w:r>
      <w:r w:rsidR="00EB4353" w:rsidRPr="00D45B1A">
        <w:t xml:space="preserve"> </w:t>
      </w:r>
      <w:r w:rsidRPr="00D45B1A">
        <w:t xml:space="preserve">Creating and </w:t>
      </w:r>
      <w:r w:rsidR="008A6B15">
        <w:t>m</w:t>
      </w:r>
      <w:r w:rsidRPr="00D45B1A">
        <w:t xml:space="preserve">apping </w:t>
      </w:r>
      <w:r w:rsidR="00196727">
        <w:t>n</w:t>
      </w:r>
      <w:r w:rsidRPr="00D45B1A">
        <w:t>on-</w:t>
      </w:r>
      <w:r w:rsidR="008A6B15">
        <w:t>a</w:t>
      </w:r>
      <w:r w:rsidR="008A6B15" w:rsidRPr="00D45B1A">
        <w:t xml:space="preserve">dmitted </w:t>
      </w:r>
      <w:r w:rsidR="008A6B15">
        <w:t>d</w:t>
      </w:r>
      <w:r w:rsidR="008A6B15" w:rsidRPr="00D45B1A">
        <w:t xml:space="preserve">epartment </w:t>
      </w:r>
      <w:r w:rsidR="008A6B15">
        <w:t>c</w:t>
      </w:r>
      <w:r w:rsidR="008A6B15" w:rsidRPr="00D45B1A">
        <w:t xml:space="preserve">osting </w:t>
      </w:r>
      <w:r w:rsidR="008A6B15">
        <w:t>p</w:t>
      </w:r>
      <w:r w:rsidR="008A6B15" w:rsidRPr="00D45B1A">
        <w:t>roducts</w:t>
      </w:r>
    </w:p>
    <w:p w14:paraId="68D63D25" w14:textId="6ACB0D44" w:rsidR="00C27FB2" w:rsidRPr="00D45B1A" w:rsidRDefault="00C27FB2" w:rsidP="004738A8">
      <w:pPr>
        <w:pStyle w:val="Level3"/>
      </w:pPr>
      <w:r w:rsidRPr="00D45B1A">
        <w:t>Intermediate products should be created according to the services defined in the feeder</w:t>
      </w:r>
      <w:r w:rsidR="00325D94">
        <w:t>,</w:t>
      </w:r>
      <w:r w:rsidRPr="00D45B1A">
        <w:t xml:space="preserve"> and mapped to the relevant final cost centre. For example, services in a </w:t>
      </w:r>
      <w:r w:rsidR="00196727">
        <w:t>p</w:t>
      </w:r>
      <w:r w:rsidRPr="00D45B1A">
        <w:t>ain clinic may have the following intermediate products:</w:t>
      </w:r>
    </w:p>
    <w:p w14:paraId="68D63D26" w14:textId="39A01609" w:rsidR="00C27FB2" w:rsidRPr="00D45B1A" w:rsidRDefault="00C27FB2" w:rsidP="007C6433">
      <w:pPr>
        <w:pStyle w:val="ListBullet"/>
      </w:pPr>
      <w:r w:rsidRPr="00D45B1A">
        <w:t>‘OP-Pain-2003’, where ‘</w:t>
      </w:r>
      <w:r w:rsidR="00196727">
        <w:t>p</w:t>
      </w:r>
      <w:r w:rsidRPr="00D45B1A">
        <w:t xml:space="preserve">ain’ is derived from the </w:t>
      </w:r>
      <w:r w:rsidR="00196727">
        <w:t>c</w:t>
      </w:r>
      <w:r w:rsidRPr="00D45B1A">
        <w:t xml:space="preserve">linic code field, ‘2003’ is derived from the Tier 2 field of the </w:t>
      </w:r>
      <w:r w:rsidR="006F7202">
        <w:t>n</w:t>
      </w:r>
      <w:r w:rsidRPr="00D45B1A">
        <w:t>on-</w:t>
      </w:r>
      <w:r w:rsidR="006F7202">
        <w:t>a</w:t>
      </w:r>
      <w:r w:rsidRPr="00D45B1A">
        <w:t xml:space="preserve">dmitted feeder file, Consult or Nursing describes the resources (or treatment type) consumed within the clinic </w:t>
      </w:r>
    </w:p>
    <w:p w14:paraId="68D63D27" w14:textId="77777777" w:rsidR="00C27FB2" w:rsidRPr="00D45B1A" w:rsidRDefault="00C27FB2" w:rsidP="007C6433">
      <w:pPr>
        <w:pStyle w:val="ListBullet"/>
      </w:pPr>
      <w:r w:rsidRPr="00D45B1A">
        <w:t>‘OP-Pain-2003-First-Consult’, same as above and with visit type and treatment type medical consultation</w:t>
      </w:r>
    </w:p>
    <w:p w14:paraId="68D63D28" w14:textId="77777777" w:rsidR="00C27FB2" w:rsidRPr="00D45B1A" w:rsidRDefault="00C27FB2" w:rsidP="007C6433">
      <w:pPr>
        <w:pStyle w:val="ListBullet"/>
      </w:pPr>
      <w:r w:rsidRPr="00D45B1A">
        <w:t>‘OP-Pain-2003-First-Nursing’, same as above and with visit type and treatment type nursing intervention</w:t>
      </w:r>
    </w:p>
    <w:p w14:paraId="68D63D29" w14:textId="77777777" w:rsidR="00C27FB2" w:rsidRPr="00D45B1A" w:rsidRDefault="00C27FB2" w:rsidP="007C6433">
      <w:pPr>
        <w:pStyle w:val="ListBullet"/>
      </w:pPr>
      <w:r w:rsidRPr="00D45B1A">
        <w:t>‘OP-Pain-2003-First-Face-Consult’ – same as above and with Treatment type medical consultation</w:t>
      </w:r>
    </w:p>
    <w:p w14:paraId="68D63D2A" w14:textId="75E17C46" w:rsidR="00C27FB2" w:rsidRPr="00D45B1A" w:rsidRDefault="00C27FB2" w:rsidP="007C6433">
      <w:pPr>
        <w:pStyle w:val="ListBullet"/>
      </w:pPr>
      <w:r w:rsidRPr="00D45B1A">
        <w:t>‘OP-Pain-2003-First-Face-Nursing’ – same as above and with modality of care</w:t>
      </w:r>
      <w:r w:rsidR="00B3454C">
        <w:t>,</w:t>
      </w:r>
      <w:r w:rsidR="00993948">
        <w:t xml:space="preserve"> </w:t>
      </w:r>
      <w:r w:rsidRPr="00D45B1A">
        <w:t>visit type and treatment type nursing intervention</w:t>
      </w:r>
    </w:p>
    <w:p w14:paraId="68D63D2B" w14:textId="77777777" w:rsidR="00C27FB2" w:rsidRPr="00D45B1A" w:rsidRDefault="00C27FB2" w:rsidP="007C6433">
      <w:pPr>
        <w:pStyle w:val="ListBullet"/>
      </w:pPr>
      <w:r w:rsidRPr="00D45B1A">
        <w:lastRenderedPageBreak/>
        <w:t>‘OP-Pain-2003-First-Face-Consult-2532113’ – same as above and with additional information on the specialty of the health care provider (2532113=Pain Management Specialist)</w:t>
      </w:r>
    </w:p>
    <w:p w14:paraId="68D63D2C" w14:textId="77777777" w:rsidR="00C27FB2" w:rsidRPr="00D45B1A" w:rsidRDefault="00C27FB2" w:rsidP="004738A8">
      <w:pPr>
        <w:pStyle w:val="Level3"/>
      </w:pPr>
      <w:r w:rsidRPr="00D45B1A">
        <w:t>Once the intermediate products are created, costing practitioners will be required to map this in the costing system to the appropriate final cost centre. The cost per intermediate product is dependent upon the data captured in the feeder, for example, these could be actual minutes or a derived set of minutes based on standard consultation times informed by the stakeholders.</w:t>
      </w:r>
    </w:p>
    <w:p w14:paraId="68D63D2D" w14:textId="77777777" w:rsidR="00C27FB2" w:rsidRPr="00D45B1A" w:rsidRDefault="00C27FB2" w:rsidP="004738A8">
      <w:pPr>
        <w:pStyle w:val="Level3"/>
      </w:pPr>
      <w:r w:rsidRPr="00D45B1A">
        <w:t>Aggregated (dummy) episode records and intermediate product codes may be created for non-admitted activities with no feeder system.</w:t>
      </w:r>
    </w:p>
    <w:p w14:paraId="68D63D2E" w14:textId="09301A80" w:rsidR="00C27FB2" w:rsidRPr="00D45B1A" w:rsidRDefault="00C27FB2" w:rsidP="00897BF9">
      <w:pPr>
        <w:pStyle w:val="Level3Heading"/>
      </w:pPr>
      <w:r w:rsidRPr="00D45B1A">
        <w:t>Step 5</w:t>
      </w:r>
      <w:r w:rsidR="00EB4353">
        <w:t>:</w:t>
      </w:r>
      <w:r w:rsidR="00EB4353" w:rsidRPr="00D45B1A">
        <w:t xml:space="preserve"> </w:t>
      </w:r>
      <w:r w:rsidRPr="00D45B1A">
        <w:t xml:space="preserve">Apply </w:t>
      </w:r>
      <w:r w:rsidR="00E867EF">
        <w:t>r</w:t>
      </w:r>
      <w:r w:rsidRPr="00D45B1A">
        <w:t xml:space="preserve">elative </w:t>
      </w:r>
      <w:r w:rsidR="00E867EF">
        <w:t>v</w:t>
      </w:r>
      <w:r w:rsidRPr="00D45B1A">
        <w:t xml:space="preserve">alue </w:t>
      </w:r>
      <w:r w:rsidR="00E867EF">
        <w:t>u</w:t>
      </w:r>
      <w:r w:rsidRPr="00D45B1A">
        <w:t xml:space="preserve">nits by </w:t>
      </w:r>
      <w:r w:rsidR="008A6B15">
        <w:t>i</w:t>
      </w:r>
      <w:r w:rsidR="008A6B15" w:rsidRPr="00D45B1A">
        <w:t xml:space="preserve">ntermediate </w:t>
      </w:r>
      <w:r w:rsidR="008A6B15">
        <w:t>p</w:t>
      </w:r>
      <w:r w:rsidR="008A6B15" w:rsidRPr="00D45B1A">
        <w:t xml:space="preserve">roduct </w:t>
      </w:r>
      <w:r w:rsidR="008A6B15">
        <w:t>c</w:t>
      </w:r>
      <w:r w:rsidR="008A6B15" w:rsidRPr="00D45B1A">
        <w:t>ode</w:t>
      </w:r>
    </w:p>
    <w:p w14:paraId="68D63D2F" w14:textId="77777777" w:rsidR="00C27FB2" w:rsidRPr="00D45B1A" w:rsidRDefault="00C27FB2" w:rsidP="004738A8">
      <w:pPr>
        <w:pStyle w:val="Level3"/>
      </w:pPr>
      <w:r w:rsidRPr="00D45B1A">
        <w:t>The most widely used methods for allocating costs to non-admitted service events include:</w:t>
      </w:r>
    </w:p>
    <w:p w14:paraId="623CB623" w14:textId="0E690818" w:rsidR="006F7202" w:rsidRDefault="006F7202" w:rsidP="006F7202">
      <w:pPr>
        <w:pStyle w:val="ListBullet"/>
      </w:pPr>
      <w:r>
        <w:t>average / weighted time in clinic</w:t>
      </w:r>
    </w:p>
    <w:p w14:paraId="68D63D30" w14:textId="78DAB8FF" w:rsidR="00C27FB2" w:rsidRDefault="00C27FB2" w:rsidP="007C6433">
      <w:pPr>
        <w:pStyle w:val="ListBullet"/>
      </w:pPr>
      <w:r w:rsidRPr="00D45B1A">
        <w:t>duration in clinic (including act</w:t>
      </w:r>
      <w:r w:rsidR="00A773DC">
        <w:t>ual duration, if captured)</w:t>
      </w:r>
    </w:p>
    <w:p w14:paraId="2B7B8A5C" w14:textId="77777777" w:rsidR="006F7202" w:rsidRPr="00D45B1A" w:rsidRDefault="006F7202" w:rsidP="006F7202">
      <w:pPr>
        <w:pStyle w:val="ListBullet"/>
      </w:pPr>
      <w:r>
        <w:t>number of clinicians.</w:t>
      </w:r>
      <w:r w:rsidRPr="00D45B1A">
        <w:t xml:space="preserve"> </w:t>
      </w:r>
    </w:p>
    <w:p w14:paraId="79F809E4" w14:textId="643EDA1E" w:rsidR="006F7202" w:rsidRPr="00D45B1A" w:rsidRDefault="006F7202" w:rsidP="006F7202">
      <w:pPr>
        <w:pStyle w:val="ListBullet"/>
      </w:pPr>
      <w:r w:rsidRPr="00D45B1A">
        <w:t xml:space="preserve">other </w:t>
      </w:r>
      <w:r w:rsidR="009236A1">
        <w:t>r</w:t>
      </w:r>
      <w:r w:rsidRPr="00D45B1A">
        <w:t xml:space="preserve">elative </w:t>
      </w:r>
      <w:r w:rsidR="009236A1">
        <w:t>v</w:t>
      </w:r>
      <w:r w:rsidRPr="00D45B1A">
        <w:t xml:space="preserve">alue </w:t>
      </w:r>
      <w:r w:rsidR="009236A1">
        <w:t>u</w:t>
      </w:r>
      <w:r w:rsidRPr="00D45B1A">
        <w:t>nit (RVU) by clinic or Tier 2 classification</w:t>
      </w:r>
    </w:p>
    <w:p w14:paraId="68D63D32" w14:textId="064D924C" w:rsidR="00C27FB2" w:rsidRPr="00D45B1A" w:rsidRDefault="00C27FB2" w:rsidP="007C6433">
      <w:pPr>
        <w:pStyle w:val="ListBullet"/>
      </w:pPr>
      <w:r w:rsidRPr="00D45B1A">
        <w:t>service weight by Tier 2 classification</w:t>
      </w:r>
    </w:p>
    <w:p w14:paraId="68D63D33" w14:textId="51AEF17E" w:rsidR="00C27FB2" w:rsidRPr="00D45B1A" w:rsidRDefault="00C27FB2" w:rsidP="007C6433">
      <w:pPr>
        <w:pStyle w:val="ListBullet"/>
      </w:pPr>
      <w:r w:rsidRPr="00D45B1A">
        <w:t>traceable cost (</w:t>
      </w:r>
      <w:r w:rsidR="006F7202">
        <w:t xml:space="preserve">for </w:t>
      </w:r>
      <w:r w:rsidRPr="00D45B1A">
        <w:t>example</w:t>
      </w:r>
      <w:r w:rsidR="006F7202">
        <w:t>,</w:t>
      </w:r>
      <w:r w:rsidRPr="00D45B1A">
        <w:t xml:space="preserve"> charges on outsourced services)</w:t>
      </w:r>
      <w:r w:rsidR="006F7202">
        <w:t>.</w:t>
      </w:r>
    </w:p>
    <w:p w14:paraId="68D63D36" w14:textId="77777777" w:rsidR="00C27FB2" w:rsidRPr="00D45B1A" w:rsidRDefault="00C27FB2" w:rsidP="004738A8">
      <w:pPr>
        <w:pStyle w:val="Level3"/>
      </w:pPr>
      <w:r w:rsidRPr="00D45B1A">
        <w:t>Costing practitioners may use the intermediate product codes to create corresponding RVUs and these may be based on:</w:t>
      </w:r>
    </w:p>
    <w:p w14:paraId="68D63D38" w14:textId="77777777" w:rsidR="00C27FB2" w:rsidRPr="00D45B1A" w:rsidRDefault="00C27FB2" w:rsidP="007C6433">
      <w:pPr>
        <w:pStyle w:val="ListBullet"/>
      </w:pPr>
      <w:r w:rsidRPr="00D45B1A">
        <w:t>modality of care</w:t>
      </w:r>
    </w:p>
    <w:p w14:paraId="68D63D39" w14:textId="77777777" w:rsidR="00C27FB2" w:rsidRPr="00D45B1A" w:rsidRDefault="00C27FB2" w:rsidP="007C6433">
      <w:pPr>
        <w:pStyle w:val="ListBullet"/>
      </w:pPr>
      <w:r w:rsidRPr="00D45B1A">
        <w:t>remoteness of clinic</w:t>
      </w:r>
    </w:p>
    <w:p w14:paraId="68D63D3A" w14:textId="03C00745" w:rsidR="00C27FB2" w:rsidRDefault="00C27FB2" w:rsidP="007C6433">
      <w:pPr>
        <w:pStyle w:val="ListBullet"/>
      </w:pPr>
      <w:r w:rsidRPr="00D45B1A">
        <w:t>treatment type (for example, the types of procedures)</w:t>
      </w:r>
    </w:p>
    <w:p w14:paraId="78E39491" w14:textId="145E7A2B" w:rsidR="006F7202" w:rsidRPr="00D45B1A" w:rsidRDefault="006F7202" w:rsidP="006F7202">
      <w:pPr>
        <w:pStyle w:val="ListBullet"/>
      </w:pPr>
      <w:r w:rsidRPr="00D45B1A">
        <w:t xml:space="preserve">visit type (new or </w:t>
      </w:r>
      <w:r>
        <w:t>r</w:t>
      </w:r>
      <w:r w:rsidRPr="00D45B1A">
        <w:t>epeat)</w:t>
      </w:r>
      <w:r>
        <w:t>.</w:t>
      </w:r>
    </w:p>
    <w:p w14:paraId="68D63D3B" w14:textId="77777777" w:rsidR="00C27FB2" w:rsidRPr="00D45B1A" w:rsidRDefault="00C27FB2" w:rsidP="00897BF9">
      <w:pPr>
        <w:pStyle w:val="Level3Heading"/>
      </w:pPr>
      <w:r w:rsidRPr="00D45B1A">
        <w:t>Step 6</w:t>
      </w:r>
      <w:r w:rsidR="00EB4353">
        <w:t>:</w:t>
      </w:r>
      <w:r w:rsidR="00EB4353" w:rsidRPr="00D45B1A">
        <w:t xml:space="preserve"> </w:t>
      </w:r>
      <w:r w:rsidRPr="00D45B1A">
        <w:t xml:space="preserve">Create </w:t>
      </w:r>
      <w:r w:rsidR="008A6B15">
        <w:t>i</w:t>
      </w:r>
      <w:r w:rsidRPr="00D45B1A">
        <w:t xml:space="preserve">ntermediate </w:t>
      </w:r>
      <w:r w:rsidR="008A6B15">
        <w:t>p</w:t>
      </w:r>
      <w:r w:rsidR="008A6B15" w:rsidRPr="00D45B1A">
        <w:t xml:space="preserve">roduct </w:t>
      </w:r>
      <w:r w:rsidR="008A6B15">
        <w:t>c</w:t>
      </w:r>
      <w:r w:rsidR="008A6B15" w:rsidRPr="00D45B1A">
        <w:t xml:space="preserve">osts </w:t>
      </w:r>
      <w:r w:rsidRPr="00D45B1A">
        <w:t xml:space="preserve">in </w:t>
      </w:r>
      <w:r w:rsidR="008A6B15">
        <w:t>f</w:t>
      </w:r>
      <w:r w:rsidR="008A6B15" w:rsidRPr="00D45B1A">
        <w:t xml:space="preserve">inal </w:t>
      </w:r>
      <w:r w:rsidR="008A6B15">
        <w:t>c</w:t>
      </w:r>
      <w:r w:rsidRPr="00D45B1A">
        <w:t xml:space="preserve">ost </w:t>
      </w:r>
      <w:r w:rsidR="008A6B15">
        <w:t>c</w:t>
      </w:r>
      <w:r w:rsidRPr="00D45B1A">
        <w:t>entres</w:t>
      </w:r>
    </w:p>
    <w:p w14:paraId="68D63D3C" w14:textId="77777777" w:rsidR="004A5C83" w:rsidRDefault="004A5C83" w:rsidP="004738A8">
      <w:pPr>
        <w:pStyle w:val="Level3"/>
      </w:pPr>
      <w:r>
        <w:t>Two allocation processes are performed:</w:t>
      </w:r>
    </w:p>
    <w:p w14:paraId="68D63D3D" w14:textId="66E442BB" w:rsidR="004A5C83" w:rsidRPr="00D46BB1" w:rsidRDefault="00A773DC" w:rsidP="007C6433">
      <w:pPr>
        <w:pStyle w:val="ListBullet"/>
      </w:pPr>
      <w:r>
        <w:t>w</w:t>
      </w:r>
      <w:r w:rsidR="004A5C83" w:rsidRPr="00D46BB1">
        <w:t xml:space="preserve">hen overhead costs are allocated to the </w:t>
      </w:r>
      <w:r w:rsidR="009C4351">
        <w:t>p</w:t>
      </w:r>
      <w:r w:rsidR="004A5C83" w:rsidRPr="00D46BB1">
        <w:t xml:space="preserve">roduction </w:t>
      </w:r>
      <w:r w:rsidR="009C4351">
        <w:t>c</w:t>
      </w:r>
      <w:r w:rsidR="004A5C83" w:rsidRPr="00D46BB1">
        <w:t xml:space="preserve">ost </w:t>
      </w:r>
      <w:r w:rsidR="009C4351">
        <w:t>c</w:t>
      </w:r>
      <w:r w:rsidR="004A5C83" w:rsidRPr="00D46BB1">
        <w:t>entre (using an appropriate allocation statistic)</w:t>
      </w:r>
    </w:p>
    <w:p w14:paraId="68D63D3E" w14:textId="1F83EBA5" w:rsidR="004A5C83" w:rsidRPr="00D46BB1" w:rsidRDefault="00A773DC" w:rsidP="007C6433">
      <w:pPr>
        <w:pStyle w:val="ListBullet"/>
      </w:pPr>
      <w:r>
        <w:t>w</w:t>
      </w:r>
      <w:r w:rsidR="004A5C83" w:rsidRPr="00D46BB1">
        <w:t xml:space="preserve">hen the </w:t>
      </w:r>
      <w:r w:rsidR="009C4351">
        <w:t>p</w:t>
      </w:r>
      <w:r w:rsidR="004A5C83" w:rsidRPr="00D46BB1">
        <w:t xml:space="preserve">roduction </w:t>
      </w:r>
      <w:r w:rsidR="009C4351">
        <w:t>c</w:t>
      </w:r>
      <w:r w:rsidR="004A5C83" w:rsidRPr="00D46BB1">
        <w:t xml:space="preserve">ost </w:t>
      </w:r>
      <w:r w:rsidR="009C4351">
        <w:t>c</w:t>
      </w:r>
      <w:r w:rsidR="004A5C83" w:rsidRPr="00D46BB1">
        <w:t>entre costs (overhead and direct) are allocated to the intermediate products.</w:t>
      </w:r>
    </w:p>
    <w:p w14:paraId="68D63D3F" w14:textId="7DEA770F" w:rsidR="00C27FB2" w:rsidRPr="00D45B1A" w:rsidRDefault="00C27FB2" w:rsidP="00897BF9">
      <w:pPr>
        <w:pStyle w:val="Level3Heading"/>
      </w:pPr>
      <w:r w:rsidRPr="00D45B1A">
        <w:t>Step 7</w:t>
      </w:r>
      <w:r w:rsidR="00A01EA6">
        <w:t>:</w:t>
      </w:r>
      <w:r w:rsidRPr="00D45B1A">
        <w:t xml:space="preserve"> Match </w:t>
      </w:r>
      <w:r w:rsidR="008A6B15">
        <w:t>i</w:t>
      </w:r>
      <w:r w:rsidRPr="00D45B1A">
        <w:t xml:space="preserve">ntermediate </w:t>
      </w:r>
      <w:r w:rsidR="008A6B15">
        <w:t>p</w:t>
      </w:r>
      <w:r w:rsidR="008A6B15" w:rsidRPr="00D45B1A">
        <w:t xml:space="preserve">roducts </w:t>
      </w:r>
      <w:r w:rsidRPr="00D45B1A">
        <w:t xml:space="preserve">and their </w:t>
      </w:r>
      <w:r w:rsidR="008A6B15">
        <w:t>c</w:t>
      </w:r>
      <w:r w:rsidR="008A6B15" w:rsidRPr="00D45B1A">
        <w:t xml:space="preserve">osts </w:t>
      </w:r>
      <w:r w:rsidRPr="00D45B1A">
        <w:t xml:space="preserve">to </w:t>
      </w:r>
      <w:r w:rsidR="009C4351">
        <w:t>n</w:t>
      </w:r>
      <w:r w:rsidRPr="00D45B1A">
        <w:t>on</w:t>
      </w:r>
      <w:r w:rsidR="008A6B15">
        <w:t>-a</w:t>
      </w:r>
      <w:r w:rsidR="008A6B15" w:rsidRPr="00D45B1A">
        <w:t xml:space="preserve">dmitted </w:t>
      </w:r>
      <w:r w:rsidR="008A6B15">
        <w:t>a</w:t>
      </w:r>
      <w:r w:rsidR="008A6B15" w:rsidRPr="00D45B1A">
        <w:t xml:space="preserve">ctivity </w:t>
      </w:r>
      <w:r w:rsidRPr="00D45B1A">
        <w:t xml:space="preserve">and </w:t>
      </w:r>
      <w:r w:rsidR="009C4351">
        <w:t>n</w:t>
      </w:r>
      <w:r w:rsidRPr="00D45B1A">
        <w:t>on-</w:t>
      </w:r>
      <w:r w:rsidR="008A6B15">
        <w:t>a</w:t>
      </w:r>
      <w:r w:rsidR="008A6B15" w:rsidRPr="00D45B1A">
        <w:t xml:space="preserve">dmitted </w:t>
      </w:r>
      <w:r w:rsidR="008A6B15">
        <w:t>s</w:t>
      </w:r>
      <w:r w:rsidR="008A6B15" w:rsidRPr="00D45B1A">
        <w:t xml:space="preserve">ervice </w:t>
      </w:r>
      <w:r w:rsidR="008A6B15">
        <w:t>e</w:t>
      </w:r>
      <w:r w:rsidR="008A6B15" w:rsidRPr="00D45B1A">
        <w:t>vents</w:t>
      </w:r>
    </w:p>
    <w:p w14:paraId="68D63D40" w14:textId="6FA390F4" w:rsidR="00C27FB2" w:rsidRPr="00D45B1A" w:rsidRDefault="00C27FB2" w:rsidP="004738A8">
      <w:pPr>
        <w:pStyle w:val="Level3"/>
      </w:pPr>
      <w:r w:rsidRPr="00D45B1A">
        <w:t xml:space="preserve">Non-admitted service events will consume resources from other hospital departments, such as imaging, pathology, pharmacy, and allied health on their journey of care. For example, patients visiting the </w:t>
      </w:r>
      <w:r w:rsidR="009C4351">
        <w:t>p</w:t>
      </w:r>
      <w:r w:rsidRPr="00D45B1A">
        <w:t xml:space="preserve">ain </w:t>
      </w:r>
      <w:r w:rsidR="009C4351">
        <w:t>c</w:t>
      </w:r>
      <w:r w:rsidRPr="00D45B1A">
        <w:t>linic will consume pathology tests as part of their care. The intermediate products from these departments should be matched to the appropriate non-admitted activity.</w:t>
      </w:r>
    </w:p>
    <w:p w14:paraId="68D63D41" w14:textId="77777777" w:rsidR="00C27FB2" w:rsidRPr="00D45B1A" w:rsidRDefault="00C27FB2" w:rsidP="004738A8">
      <w:pPr>
        <w:pStyle w:val="Level3"/>
      </w:pPr>
      <w:r w:rsidRPr="00D45B1A">
        <w:t xml:space="preserve">Costing practitioners must ensure that services from other departments provided to non-admitted patients are matched appropriately to the service event. </w:t>
      </w:r>
    </w:p>
    <w:p w14:paraId="68D63D42" w14:textId="77777777" w:rsidR="00C27FB2" w:rsidRPr="00D45B1A" w:rsidRDefault="00C27FB2" w:rsidP="00897BF9">
      <w:pPr>
        <w:pStyle w:val="Level3Heading"/>
      </w:pPr>
      <w:r w:rsidRPr="00D45B1A">
        <w:t>Step 8</w:t>
      </w:r>
      <w:r w:rsidR="00A01EA6">
        <w:t>:</w:t>
      </w:r>
      <w:r w:rsidRPr="00D45B1A">
        <w:t xml:space="preserve"> </w:t>
      </w:r>
      <w:r w:rsidR="0086420A">
        <w:t xml:space="preserve">Report </w:t>
      </w:r>
      <w:r w:rsidR="008A6B15">
        <w:t>c</w:t>
      </w:r>
      <w:r w:rsidR="008A6B15" w:rsidRPr="00D45B1A">
        <w:t>osts</w:t>
      </w:r>
    </w:p>
    <w:p w14:paraId="68D63D43" w14:textId="77777777" w:rsidR="00C27FB2" w:rsidRPr="00D45B1A" w:rsidRDefault="00C27FB2" w:rsidP="004738A8">
      <w:pPr>
        <w:pStyle w:val="Level3"/>
      </w:pPr>
      <w:r w:rsidRPr="00D45B1A">
        <w:lastRenderedPageBreak/>
        <w:t xml:space="preserve">Costing practitioners should then perform the required steps to </w:t>
      </w:r>
      <w:r w:rsidR="00116978">
        <w:t xml:space="preserve">consolidate and report </w:t>
      </w:r>
      <w:r w:rsidRPr="00D45B1A">
        <w:t>costs of the non-admitted activities and decipher how to report at service event level.</w:t>
      </w:r>
    </w:p>
    <w:p w14:paraId="68D63D44" w14:textId="26E9FABB" w:rsidR="00C27FB2" w:rsidRPr="00D45B1A" w:rsidRDefault="00C27FB2" w:rsidP="004738A8">
      <w:pPr>
        <w:pStyle w:val="Level3"/>
      </w:pPr>
      <w:r w:rsidRPr="00D45B1A">
        <w:t xml:space="preserve">For example, in a Tier 2 20.03 medical service event in a </w:t>
      </w:r>
      <w:r w:rsidR="006F7202">
        <w:t>p</w:t>
      </w:r>
      <w:r w:rsidRPr="00D45B1A">
        <w:t xml:space="preserve">ain </w:t>
      </w:r>
      <w:r w:rsidR="006F7202">
        <w:t>c</w:t>
      </w:r>
      <w:r w:rsidRPr="00D45B1A">
        <w:t xml:space="preserve">linic involving multiple health care providers, the patient may be seen by a </w:t>
      </w:r>
      <w:r w:rsidR="006F7202">
        <w:t>p</w:t>
      </w:r>
      <w:r w:rsidRPr="00D45B1A">
        <w:t xml:space="preserve">ain </w:t>
      </w:r>
      <w:r w:rsidR="006F7202">
        <w:t>s</w:t>
      </w:r>
      <w:r w:rsidRPr="00D45B1A">
        <w:t>pecialist and then followed up with further consultations/interactions with an allied health professional and/or a nurse within the same clinic and session. This encounter should be reported as one service event but may be costed in individual occasions of services (medical, allied and nursing), depending on the booking system.</w:t>
      </w:r>
    </w:p>
    <w:p w14:paraId="68D63D45" w14:textId="77777777" w:rsidR="00C27FB2" w:rsidRPr="00D45B1A" w:rsidRDefault="00C27FB2" w:rsidP="004738A8">
      <w:pPr>
        <w:pStyle w:val="Level3"/>
      </w:pPr>
      <w:r w:rsidRPr="00D45B1A">
        <w:t>The costing practitioner may need to understand how to aggregate costed activity to service events or seek jurisdiction advice on how to report costs at service event level</w:t>
      </w:r>
      <w:r w:rsidRPr="00D45B1A">
        <w:rPr>
          <w:i/>
        </w:rPr>
        <w:t>.</w:t>
      </w:r>
    </w:p>
    <w:p w14:paraId="68D63D46" w14:textId="77777777" w:rsidR="00C27FB2" w:rsidRPr="00D45B1A" w:rsidRDefault="00C27FB2" w:rsidP="00897BF9">
      <w:pPr>
        <w:pStyle w:val="Level3Heading"/>
      </w:pPr>
      <w:r w:rsidRPr="00D45B1A">
        <w:t>Step 9</w:t>
      </w:r>
      <w:r w:rsidR="00A01EA6">
        <w:t>:</w:t>
      </w:r>
      <w:r w:rsidRPr="00D45B1A">
        <w:t xml:space="preserve"> Cost </w:t>
      </w:r>
      <w:r w:rsidR="008A6B15">
        <w:t>d</w:t>
      </w:r>
      <w:r w:rsidRPr="00D45B1A">
        <w:t xml:space="preserve">ata </w:t>
      </w:r>
      <w:r w:rsidR="008A6B15">
        <w:t>r</w:t>
      </w:r>
      <w:r w:rsidRPr="00D45B1A">
        <w:t xml:space="preserve">eview with relevant </w:t>
      </w:r>
      <w:r w:rsidR="008A6B15">
        <w:t>s</w:t>
      </w:r>
      <w:r w:rsidRPr="00D45B1A">
        <w:t xml:space="preserve">takeholders </w:t>
      </w:r>
    </w:p>
    <w:p w14:paraId="68D63D47" w14:textId="7944B152" w:rsidR="00C27FB2" w:rsidRPr="00D45B1A" w:rsidRDefault="00C27FB2" w:rsidP="004738A8">
      <w:pPr>
        <w:pStyle w:val="Level3"/>
      </w:pPr>
      <w:r w:rsidRPr="00D45B1A">
        <w:t>Costing practitioners should meet with their relevant non-admitted stakeholders to report on the costs calculated.</w:t>
      </w:r>
    </w:p>
    <w:p w14:paraId="68D63D48" w14:textId="7419E5B6" w:rsidR="00C27FB2" w:rsidRPr="00D45B1A" w:rsidRDefault="00C27FB2" w:rsidP="004738A8">
      <w:pPr>
        <w:pStyle w:val="Level3"/>
      </w:pPr>
      <w:r w:rsidRPr="00D45B1A">
        <w:t>Cost data should be reviewed for, amongst other checks, cost relativity per</w:t>
      </w:r>
      <w:r w:rsidR="000654C7">
        <w:t xml:space="preserve"> the</w:t>
      </w:r>
      <w:r w:rsidRPr="00D45B1A">
        <w:t xml:space="preserve"> Tier 2 classification and resource completeness per service event to decipher if the cost data captures resources that have been provided at service event level. For example, medical clinics should incorporate medical costs whilst nurse led clinics should demonstrate nursing costs as they are mainly driven by nurses and midwives.</w:t>
      </w:r>
      <w:r w:rsidRPr="00D45B1A">
        <w:br w:type="page"/>
      </w:r>
    </w:p>
    <w:p w14:paraId="68D63D49" w14:textId="2F16D3FE" w:rsidR="00C27FB2" w:rsidRPr="00D45B1A" w:rsidRDefault="00C27FB2" w:rsidP="00D97D20">
      <w:pPr>
        <w:pStyle w:val="Heading2"/>
      </w:pPr>
      <w:bookmarkStart w:id="32" w:name="_Toc478631943"/>
      <w:bookmarkStart w:id="33" w:name="_Toc480492975"/>
      <w:bookmarkStart w:id="34" w:name="_Toc80778502"/>
      <w:r w:rsidRPr="00D45B1A">
        <w:lastRenderedPageBreak/>
        <w:t xml:space="preserve">Mental </w:t>
      </w:r>
      <w:r w:rsidR="00952713">
        <w:t>H</w:t>
      </w:r>
      <w:r w:rsidRPr="00D45B1A">
        <w:t xml:space="preserve">ealth </w:t>
      </w:r>
      <w:r w:rsidR="00952713">
        <w:t>S</w:t>
      </w:r>
      <w:r w:rsidRPr="00D45B1A">
        <w:t>ervices</w:t>
      </w:r>
      <w:bookmarkEnd w:id="32"/>
      <w:bookmarkEnd w:id="33"/>
      <w:bookmarkEnd w:id="34"/>
    </w:p>
    <w:p w14:paraId="68D63D4A" w14:textId="77777777" w:rsidR="00C27FB2" w:rsidRPr="00D45B1A" w:rsidRDefault="00C27FB2" w:rsidP="00897CD3">
      <w:pPr>
        <w:pStyle w:val="Heading3"/>
      </w:pPr>
      <w:r w:rsidRPr="00D45B1A">
        <w:t>Scope</w:t>
      </w:r>
    </w:p>
    <w:p w14:paraId="68D63D4B" w14:textId="3DD13088" w:rsidR="00C27FB2" w:rsidRPr="00D45B1A" w:rsidRDefault="00C27FB2" w:rsidP="004738A8">
      <w:pPr>
        <w:pStyle w:val="Level3"/>
      </w:pPr>
      <w:r w:rsidRPr="00D45B1A">
        <w:t>Th</w:t>
      </w:r>
      <w:r w:rsidR="00952713">
        <w:t xml:space="preserve">is </w:t>
      </w:r>
      <w:r w:rsidR="00B63007">
        <w:t>guideline</w:t>
      </w:r>
      <w:r w:rsidRPr="00D45B1A">
        <w:t xml:space="preserve"> provides </w:t>
      </w:r>
      <w:r w:rsidR="00061CAC">
        <w:t>outlines an</w:t>
      </w:r>
      <w:r w:rsidRPr="00D45B1A">
        <w:t xml:space="preserve"> approach to cost </w:t>
      </w:r>
      <w:r w:rsidR="006F7202">
        <w:t>m</w:t>
      </w:r>
      <w:r w:rsidRPr="00D45B1A">
        <w:t xml:space="preserve">ental </w:t>
      </w:r>
      <w:r w:rsidR="006F7202">
        <w:t>h</w:t>
      </w:r>
      <w:r w:rsidRPr="00D45B1A">
        <w:t>ealth encounter activity.</w:t>
      </w:r>
    </w:p>
    <w:p w14:paraId="68D63D4C" w14:textId="2A8C7A0B" w:rsidR="00C27FB2" w:rsidRPr="00D45B1A" w:rsidRDefault="00C27FB2" w:rsidP="004738A8">
      <w:pPr>
        <w:pStyle w:val="Level3"/>
      </w:pPr>
      <w:r w:rsidRPr="00D45B1A">
        <w:t>Th</w:t>
      </w:r>
      <w:r w:rsidR="00952713">
        <w:t>is</w:t>
      </w:r>
      <w:r w:rsidR="00B63007">
        <w:t xml:space="preserve"> guideline</w:t>
      </w:r>
      <w:r w:rsidRPr="00D45B1A">
        <w:t xml:space="preserve"> also provides practical steps and examples to guide staff on the patient costing process for these activities.</w:t>
      </w:r>
    </w:p>
    <w:p w14:paraId="68D63D4D" w14:textId="4FEDA051" w:rsidR="00C27FB2" w:rsidRDefault="00C27FB2" w:rsidP="004738A8">
      <w:pPr>
        <w:pStyle w:val="Level3"/>
      </w:pPr>
      <w:r w:rsidRPr="00D45B1A">
        <w:t>Th</w:t>
      </w:r>
      <w:r w:rsidR="00952713">
        <w:t>is</w:t>
      </w:r>
      <w:r w:rsidR="00B63007">
        <w:t xml:space="preserve"> guideline</w:t>
      </w:r>
      <w:r w:rsidRPr="00D45B1A">
        <w:t xml:space="preserve"> encompasses admitted mental health and community mental health encounters. Mental health services may take place in admitted, ambulatory, emergency department or residential settings.</w:t>
      </w:r>
    </w:p>
    <w:p w14:paraId="68D63D4E" w14:textId="77777777" w:rsidR="00897BF9" w:rsidRPr="00D45B1A" w:rsidRDefault="00897BF9" w:rsidP="00897BF9">
      <w:pPr>
        <w:pStyle w:val="Level3Heading"/>
      </w:pPr>
      <w:r w:rsidRPr="00D45B1A">
        <w:t xml:space="preserve">Mental </w:t>
      </w:r>
      <w:r w:rsidR="008A6B15">
        <w:t>h</w:t>
      </w:r>
      <w:r w:rsidRPr="00D45B1A">
        <w:t xml:space="preserve">ealth </w:t>
      </w:r>
      <w:r w:rsidR="008A6B15">
        <w:t>s</w:t>
      </w:r>
      <w:r w:rsidRPr="00D45B1A">
        <w:t>cope</w:t>
      </w:r>
    </w:p>
    <w:p w14:paraId="68D63D4F" w14:textId="6A2C3670" w:rsidR="00897BF9" w:rsidRPr="00D45B1A" w:rsidRDefault="00897BF9" w:rsidP="004738A8">
      <w:pPr>
        <w:pStyle w:val="Level3"/>
      </w:pPr>
      <w:r w:rsidRPr="00D45B1A">
        <w:t xml:space="preserve">A hospital or organisation that is costing </w:t>
      </w:r>
      <w:r w:rsidR="006F7202">
        <w:t>m</w:t>
      </w:r>
      <w:r w:rsidRPr="00D45B1A">
        <w:t>ental health products will identify all expenses that meet the definition of the mental health care, including services provided as assessment only activities. Costing practitioners should also consider expenses incurred for the provision of:</w:t>
      </w:r>
    </w:p>
    <w:p w14:paraId="72AAE310" w14:textId="77777777" w:rsidR="000654C7" w:rsidRDefault="000654C7" w:rsidP="00A27C5B">
      <w:pPr>
        <w:pStyle w:val="ListBullet"/>
        <w:spacing w:after="120"/>
      </w:pPr>
      <w:r w:rsidRPr="00D45B1A">
        <w:t>ambulatory mental health care services</w:t>
      </w:r>
      <w:r>
        <w:t xml:space="preserve"> </w:t>
      </w:r>
    </w:p>
    <w:p w14:paraId="6D252F74" w14:textId="2DFBAB30" w:rsidR="000654C7" w:rsidRDefault="000654C7" w:rsidP="00A27C5B">
      <w:pPr>
        <w:pStyle w:val="ListBullet"/>
        <w:spacing w:after="120"/>
      </w:pPr>
      <w:r>
        <w:t>inpatient services</w:t>
      </w:r>
    </w:p>
    <w:p w14:paraId="68D63D50" w14:textId="3D315FEC" w:rsidR="00897BF9" w:rsidRPr="00D45B1A" w:rsidRDefault="00897BF9" w:rsidP="00A27C5B">
      <w:pPr>
        <w:pStyle w:val="ListBullet"/>
        <w:spacing w:after="120"/>
      </w:pPr>
      <w:r w:rsidRPr="00D45B1A">
        <w:t>residential mental health care services</w:t>
      </w:r>
      <w:r w:rsidR="000654C7">
        <w:t>.</w:t>
      </w:r>
    </w:p>
    <w:p w14:paraId="68D63D53" w14:textId="77777777" w:rsidR="00C27FB2" w:rsidRPr="00D45B1A" w:rsidRDefault="00C27FB2" w:rsidP="00927F40">
      <w:pPr>
        <w:pStyle w:val="Heading3"/>
        <w:ind w:left="993" w:hanging="993"/>
      </w:pPr>
      <w:r w:rsidRPr="00D45B1A">
        <w:t>Objective</w:t>
      </w:r>
    </w:p>
    <w:p w14:paraId="68D63D54" w14:textId="51F0892F" w:rsidR="00C27FB2" w:rsidRPr="00D45B1A" w:rsidRDefault="00C27FB2" w:rsidP="004738A8">
      <w:pPr>
        <w:pStyle w:val="Level3"/>
      </w:pPr>
      <w:r w:rsidRPr="00D45B1A">
        <w:t>The objective of this</w:t>
      </w:r>
      <w:r w:rsidR="00B63007">
        <w:t xml:space="preserve"> guideline</w:t>
      </w:r>
      <w:r w:rsidRPr="00D45B1A">
        <w:t xml:space="preserve"> is to guide costing practitioners of the end to end steps required to ensure that all mental health activities and expenses contributing to the day to day production of mental health services are included in the patient costing process to determine the full cost of production.</w:t>
      </w:r>
    </w:p>
    <w:p w14:paraId="68D63D55" w14:textId="13CBBDFF" w:rsidR="00C27FB2" w:rsidRPr="00D45B1A" w:rsidRDefault="00B63007" w:rsidP="00897CD3">
      <w:pPr>
        <w:pStyle w:val="Heading3"/>
      </w:pPr>
      <w:r>
        <w:t xml:space="preserve">Costing </w:t>
      </w:r>
      <w:r w:rsidR="00952713">
        <w:t>G</w:t>
      </w:r>
      <w:r>
        <w:t>uideline</w:t>
      </w:r>
    </w:p>
    <w:p w14:paraId="68D63D56" w14:textId="77777777" w:rsidR="00C27FB2" w:rsidRPr="00D45B1A" w:rsidRDefault="00C27FB2" w:rsidP="00897BF9">
      <w:pPr>
        <w:pStyle w:val="Level3Heading"/>
      </w:pPr>
      <w:r w:rsidRPr="00D45B1A">
        <w:t>Step 1</w:t>
      </w:r>
      <w:r w:rsidR="00A01EA6">
        <w:t>:</w:t>
      </w:r>
      <w:r w:rsidRPr="00D45B1A">
        <w:t xml:space="preserve"> Stakeholder </w:t>
      </w:r>
      <w:r w:rsidR="008A6B15">
        <w:t>i</w:t>
      </w:r>
      <w:r w:rsidRPr="00D45B1A">
        <w:t xml:space="preserve">dentification and </w:t>
      </w:r>
      <w:r w:rsidR="008A6B15">
        <w:t>s</w:t>
      </w:r>
      <w:r w:rsidR="008A6B15" w:rsidRPr="00D45B1A">
        <w:t xml:space="preserve">ervice </w:t>
      </w:r>
      <w:r w:rsidR="008A6B15">
        <w:t>s</w:t>
      </w:r>
      <w:r w:rsidR="008A6B15" w:rsidRPr="00D45B1A">
        <w:t xml:space="preserve">cale </w:t>
      </w:r>
      <w:r w:rsidRPr="00D45B1A">
        <w:t xml:space="preserve">and </w:t>
      </w:r>
      <w:r w:rsidR="008A6B15">
        <w:t>s</w:t>
      </w:r>
      <w:r w:rsidR="008A6B15" w:rsidRPr="00D45B1A">
        <w:t>cope</w:t>
      </w:r>
    </w:p>
    <w:p w14:paraId="68D63D57" w14:textId="77777777" w:rsidR="00C27FB2" w:rsidRPr="00D45B1A" w:rsidRDefault="00C27FB2" w:rsidP="004738A8">
      <w:pPr>
        <w:pStyle w:val="Level3"/>
      </w:pPr>
      <w:r w:rsidRPr="00D45B1A">
        <w:t xml:space="preserve">Costing practitioners should be aware of the scope, counting rules and classification of mental health services. </w:t>
      </w:r>
    </w:p>
    <w:p w14:paraId="68D63D58" w14:textId="53DEAE4F" w:rsidR="00C27FB2" w:rsidRPr="00D45B1A" w:rsidRDefault="00C27FB2" w:rsidP="004738A8">
      <w:pPr>
        <w:pStyle w:val="Level3"/>
      </w:pPr>
      <w:r w:rsidRPr="00D45B1A">
        <w:t xml:space="preserve">Costing practitioners should meet with </w:t>
      </w:r>
      <w:r w:rsidR="006F7202">
        <w:t>m</w:t>
      </w:r>
      <w:r w:rsidRPr="00D45B1A">
        <w:t xml:space="preserve">ental </w:t>
      </w:r>
      <w:r w:rsidR="006F7202">
        <w:t>h</w:t>
      </w:r>
      <w:r w:rsidR="008A2B19">
        <w:t xml:space="preserve">ealth stakeholders and </w:t>
      </w:r>
      <w:r w:rsidR="006F7202">
        <w:t>f</w:t>
      </w:r>
      <w:r w:rsidR="008A2B19">
        <w:t>inance d</w:t>
      </w:r>
      <w:r w:rsidRPr="00D45B1A">
        <w:t xml:space="preserve">epartment stakeholders to identify both the expense and activity related to the </w:t>
      </w:r>
      <w:r w:rsidR="006F7202">
        <w:t>m</w:t>
      </w:r>
      <w:r w:rsidRPr="00D45B1A">
        <w:t xml:space="preserve">ental </w:t>
      </w:r>
      <w:r w:rsidR="00A27C5B">
        <w:t>h</w:t>
      </w:r>
      <w:r w:rsidRPr="00D45B1A">
        <w:t xml:space="preserve">ealth services and to familiarise themselves with the overview of the operation of the </w:t>
      </w:r>
      <w:r w:rsidR="006F7202">
        <w:t>m</w:t>
      </w:r>
      <w:r w:rsidRPr="00D45B1A">
        <w:t xml:space="preserve">ental </w:t>
      </w:r>
      <w:r w:rsidR="006F7202">
        <w:t>h</w:t>
      </w:r>
      <w:r w:rsidRPr="00D45B1A">
        <w:t xml:space="preserve">ealth services in the organisation. </w:t>
      </w:r>
    </w:p>
    <w:p w14:paraId="68D63D59" w14:textId="1461B53D" w:rsidR="00C27FB2" w:rsidRPr="00D45B1A" w:rsidDel="00575EF1" w:rsidRDefault="00C27FB2" w:rsidP="004738A8">
      <w:pPr>
        <w:pStyle w:val="Level3"/>
      </w:pPr>
      <w:r w:rsidRPr="00D45B1A">
        <w:t xml:space="preserve">Within a hospital, </w:t>
      </w:r>
      <w:r w:rsidR="006F7202">
        <w:t>m</w:t>
      </w:r>
      <w:r w:rsidRPr="00D45B1A">
        <w:t xml:space="preserve">ental </w:t>
      </w:r>
      <w:r w:rsidR="006F7202">
        <w:t>h</w:t>
      </w:r>
      <w:r w:rsidRPr="00D45B1A">
        <w:t xml:space="preserve">ealth services </w:t>
      </w:r>
      <w:r w:rsidRPr="00D45B1A" w:rsidDel="00575EF1">
        <w:t>may be reported by their service settings</w:t>
      </w:r>
      <w:r w:rsidRPr="00D45B1A">
        <w:t>, these include</w:t>
      </w:r>
      <w:r w:rsidRPr="00D45B1A" w:rsidDel="00575EF1">
        <w:t>:</w:t>
      </w:r>
      <w:r w:rsidRPr="00D45B1A" w:rsidDel="00D850E9">
        <w:t xml:space="preserve"> </w:t>
      </w:r>
    </w:p>
    <w:p w14:paraId="68D63D5A" w14:textId="7219A236" w:rsidR="00C27FB2" w:rsidRPr="00D45B1A" w:rsidDel="00575EF1" w:rsidRDefault="00A773DC" w:rsidP="00A27C5B">
      <w:pPr>
        <w:pStyle w:val="ListBullet"/>
        <w:spacing w:after="120"/>
      </w:pPr>
      <w:r>
        <w:t>a</w:t>
      </w:r>
      <w:r w:rsidR="00C27FB2" w:rsidRPr="00D45B1A" w:rsidDel="00575EF1">
        <w:t xml:space="preserve">dmitted patient services in public psychiatric hospital and public acute hospitals with specialised psychiatric units or wards </w:t>
      </w:r>
    </w:p>
    <w:p w14:paraId="68D63D5B" w14:textId="5A42A842" w:rsidR="00C27FB2" w:rsidRPr="00D45B1A" w:rsidDel="00575EF1" w:rsidRDefault="00A773DC" w:rsidP="00A27C5B">
      <w:pPr>
        <w:pStyle w:val="ListBullet"/>
        <w:spacing w:after="120"/>
      </w:pPr>
      <w:r>
        <w:t>a</w:t>
      </w:r>
      <w:r w:rsidR="00C27FB2" w:rsidRPr="00D45B1A" w:rsidDel="00575EF1">
        <w:t>mbulatory</w:t>
      </w:r>
      <w:r w:rsidR="009236A1">
        <w:t xml:space="preserve"> or </w:t>
      </w:r>
      <w:r w:rsidR="006F7202">
        <w:t>c</w:t>
      </w:r>
      <w:r w:rsidR="00C27FB2" w:rsidRPr="00D45B1A" w:rsidDel="00575EF1">
        <w:t>ommunity mental health care services.</w:t>
      </w:r>
    </w:p>
    <w:p w14:paraId="68D63D5C" w14:textId="5E311891" w:rsidR="00C27FB2" w:rsidRPr="00D45B1A" w:rsidDel="00575EF1" w:rsidRDefault="00C27FB2" w:rsidP="004738A8">
      <w:pPr>
        <w:pStyle w:val="Level3"/>
      </w:pPr>
      <w:r w:rsidRPr="00D45B1A" w:rsidDel="00575EF1">
        <w:t>This includes all mental health services</w:t>
      </w:r>
      <w:r w:rsidR="000654C7">
        <w:t xml:space="preserve"> or </w:t>
      </w:r>
      <w:r w:rsidRPr="00D45B1A" w:rsidDel="00575EF1">
        <w:t xml:space="preserve">activities delivered by ambulatory specialist mental health service units (for example, crisis or mobile assessment and treatment services, day programs, outreach services); all mental health services delivered by inpatient or residential specialist mental health service units to non-admitted and non-residential </w:t>
      </w:r>
      <w:r w:rsidRPr="00D45B1A" w:rsidDel="00575EF1">
        <w:lastRenderedPageBreak/>
        <w:t xml:space="preserve">clients; and all client related activities delivered by specialist mental health consultation liaison teams. </w:t>
      </w:r>
    </w:p>
    <w:p w14:paraId="68D63D5D" w14:textId="553CBF82" w:rsidR="00C27FB2" w:rsidRPr="00762477" w:rsidDel="00575EF1" w:rsidRDefault="00C27FB2" w:rsidP="00762477">
      <w:pPr>
        <w:pStyle w:val="ListBullet"/>
        <w:numPr>
          <w:ilvl w:val="0"/>
          <w:numId w:val="0"/>
        </w:numPr>
        <w:ind w:left="2552" w:hanging="284"/>
        <w:rPr>
          <w:b/>
        </w:rPr>
      </w:pPr>
      <w:r w:rsidRPr="00762477" w:rsidDel="00575EF1">
        <w:rPr>
          <w:b/>
        </w:rPr>
        <w:t>Res</w:t>
      </w:r>
      <w:r w:rsidR="00762477" w:rsidRPr="00762477">
        <w:rPr>
          <w:b/>
        </w:rPr>
        <w:t>idential mental health services</w:t>
      </w:r>
    </w:p>
    <w:p w14:paraId="68D63D5E" w14:textId="1C885B47" w:rsidR="00C27FB2" w:rsidRPr="00D45B1A" w:rsidRDefault="00C27FB2" w:rsidP="004738A8">
      <w:pPr>
        <w:pStyle w:val="Level3"/>
      </w:pPr>
      <w:r w:rsidRPr="00D45B1A">
        <w:t>Cost practitioners must identify all expenses associated with mental health services and create a separate cost are to record these. A key resource in doing this may be to review the organisational chart structure to obtain a list of all mental health programs available in the hospital</w:t>
      </w:r>
      <w:r w:rsidR="000654C7">
        <w:t xml:space="preserve"> or </w:t>
      </w:r>
      <w:r w:rsidRPr="00D45B1A">
        <w:t>entity.</w:t>
      </w:r>
    </w:p>
    <w:p w14:paraId="68D63D5F" w14:textId="042CD9A1" w:rsidR="00C27FB2" w:rsidRPr="00D45B1A" w:rsidRDefault="00C27FB2" w:rsidP="004738A8">
      <w:pPr>
        <w:pStyle w:val="Level3"/>
      </w:pPr>
      <w:r w:rsidRPr="00D45B1A">
        <w:t>This information can be used to identify and to work with relevant stakeholders</w:t>
      </w:r>
      <w:r w:rsidR="00762477">
        <w:t xml:space="preserve"> to define the expense of each mental h</w:t>
      </w:r>
      <w:r w:rsidRPr="00D45B1A">
        <w:t>ealth final cost centre.</w:t>
      </w:r>
    </w:p>
    <w:p w14:paraId="68D63D60" w14:textId="77777777" w:rsidR="00C27FB2" w:rsidRPr="00D45B1A" w:rsidRDefault="00C27FB2" w:rsidP="00897BF9">
      <w:pPr>
        <w:pStyle w:val="Level3Heading"/>
      </w:pPr>
      <w:r w:rsidRPr="00D45B1A">
        <w:t>Step 2</w:t>
      </w:r>
      <w:r w:rsidR="00A01EA6">
        <w:t>:</w:t>
      </w:r>
      <w:r w:rsidRPr="00D45B1A">
        <w:t xml:space="preserve"> Align </w:t>
      </w:r>
      <w:r w:rsidR="008A6B15">
        <w:t>e</w:t>
      </w:r>
      <w:r w:rsidR="008A6B15" w:rsidRPr="00D45B1A">
        <w:t xml:space="preserve">xpense </w:t>
      </w:r>
      <w:r w:rsidRPr="00D45B1A">
        <w:t xml:space="preserve">to the </w:t>
      </w:r>
      <w:r w:rsidR="008A6B15">
        <w:t>m</w:t>
      </w:r>
      <w:r w:rsidR="008A6B15" w:rsidRPr="00D45B1A">
        <w:t xml:space="preserve">ental </w:t>
      </w:r>
      <w:r w:rsidR="008A6B15">
        <w:t>h</w:t>
      </w:r>
      <w:r w:rsidR="008A6B15" w:rsidRPr="00D45B1A">
        <w:t xml:space="preserve">ealth </w:t>
      </w:r>
      <w:r w:rsidR="008A6B15">
        <w:t>s</w:t>
      </w:r>
      <w:r w:rsidR="008A6B15" w:rsidRPr="00D45B1A">
        <w:t xml:space="preserve">ervice </w:t>
      </w:r>
      <w:r w:rsidR="008A6B15">
        <w:t>d</w:t>
      </w:r>
      <w:r w:rsidR="008A6B15" w:rsidRPr="00D45B1A">
        <w:t xml:space="preserve">epartment </w:t>
      </w:r>
      <w:r w:rsidRPr="00D45B1A">
        <w:t xml:space="preserve">and </w:t>
      </w:r>
      <w:r w:rsidR="008A6B15">
        <w:t>d</w:t>
      </w:r>
      <w:r w:rsidR="008A6B15" w:rsidRPr="00D45B1A">
        <w:t xml:space="preserve">efine </w:t>
      </w:r>
      <w:r w:rsidR="008A6B15">
        <w:t>o</w:t>
      </w:r>
      <w:r w:rsidR="008A6B15" w:rsidRPr="00D45B1A">
        <w:t xml:space="preserve">verhead </w:t>
      </w:r>
      <w:r w:rsidRPr="00D45B1A">
        <w:t xml:space="preserve">and </w:t>
      </w:r>
      <w:r w:rsidR="008A6B15">
        <w:t>d</w:t>
      </w:r>
      <w:r w:rsidR="008A6B15" w:rsidRPr="00D45B1A">
        <w:t xml:space="preserve">irect </w:t>
      </w:r>
      <w:r w:rsidR="008A6B15">
        <w:t>e</w:t>
      </w:r>
      <w:r w:rsidR="008A6B15" w:rsidRPr="00D45B1A">
        <w:t>xpenses</w:t>
      </w:r>
      <w:r w:rsidRPr="00D45B1A">
        <w:t xml:space="preserve">, including </w:t>
      </w:r>
      <w:r w:rsidR="008A6B15">
        <w:t>o</w:t>
      </w:r>
      <w:r w:rsidR="008A6B15" w:rsidRPr="00D45B1A">
        <w:t xml:space="preserve">verhead </w:t>
      </w:r>
      <w:r w:rsidR="008A6B15">
        <w:t>a</w:t>
      </w:r>
      <w:r w:rsidR="008A6B15" w:rsidRPr="00D45B1A">
        <w:t xml:space="preserve">llocation </w:t>
      </w:r>
      <w:r w:rsidR="008A6B15">
        <w:t>m</w:t>
      </w:r>
      <w:r w:rsidR="008A6B15" w:rsidRPr="00D45B1A">
        <w:t>ethods</w:t>
      </w:r>
      <w:r w:rsidRPr="00D45B1A">
        <w:t xml:space="preserve"> </w:t>
      </w:r>
    </w:p>
    <w:p w14:paraId="68D63D61" w14:textId="7DB1B5A0" w:rsidR="00C27FB2" w:rsidRPr="00D45B1A" w:rsidRDefault="00C27FB2" w:rsidP="004738A8">
      <w:pPr>
        <w:pStyle w:val="Level3"/>
      </w:pPr>
      <w:r w:rsidRPr="00D45B1A">
        <w:t xml:space="preserve">Programs and cost centres identified by and consulted with stakeholders need to be mapped to the mental health units for costing purposes. It is important </w:t>
      </w:r>
      <w:r w:rsidR="00762477">
        <w:t>to note that some ward/clinics/m</w:t>
      </w:r>
      <w:r w:rsidRPr="00D45B1A">
        <w:t>ental health programs do not normally have a one to one mapping to a cost centre code. Expenses may need to be moved to/from other cost centres.</w:t>
      </w:r>
    </w:p>
    <w:p w14:paraId="68D63D62" w14:textId="77777777" w:rsidR="00C27FB2" w:rsidRPr="00D45B1A" w:rsidRDefault="00C27FB2" w:rsidP="004738A8">
      <w:pPr>
        <w:pStyle w:val="Level3"/>
      </w:pPr>
      <w:r w:rsidRPr="00D45B1A">
        <w:t xml:space="preserve">In consultation with stakeholders, agreement should be reached on the methods and assumptions to transfer expense from or to other products. </w:t>
      </w:r>
    </w:p>
    <w:p w14:paraId="68D63D63" w14:textId="0722934C" w:rsidR="00C27FB2" w:rsidRPr="00D45B1A" w:rsidRDefault="00C27FB2" w:rsidP="004738A8">
      <w:pPr>
        <w:pStyle w:val="Level3"/>
      </w:pPr>
      <w:r w:rsidRPr="00D45B1A">
        <w:t>An example of where this occurs is electroconvulsive therapy (ECT). ECT is a common procedure for patients in specialist mental health is regarded as high cost treatment. Generally, ECT is administered only to clients that are admitted to hospital</w:t>
      </w:r>
      <w:r w:rsidR="006D0AB7">
        <w:t>.</w:t>
      </w:r>
      <w:r w:rsidRPr="00D45B1A">
        <w:t xml:space="preserve"> </w:t>
      </w:r>
      <w:r w:rsidR="006D0AB7">
        <w:t>I</w:t>
      </w:r>
      <w:r w:rsidR="006D0AB7" w:rsidRPr="00D45B1A">
        <w:t xml:space="preserve">t </w:t>
      </w:r>
      <w:r w:rsidRPr="00D45B1A">
        <w:t xml:space="preserve">may be done for community mental health </w:t>
      </w:r>
      <w:r w:rsidR="006D0AB7">
        <w:t>who</w:t>
      </w:r>
      <w:r w:rsidR="006D0AB7" w:rsidRPr="00D45B1A">
        <w:t xml:space="preserve"> </w:t>
      </w:r>
      <w:r w:rsidRPr="00D45B1A">
        <w:t>are generally a same-day patient admission.</w:t>
      </w:r>
    </w:p>
    <w:p w14:paraId="68D63D64" w14:textId="40E2FD31" w:rsidR="00C27FB2" w:rsidRPr="00D45B1A" w:rsidRDefault="00C27FB2" w:rsidP="004738A8">
      <w:pPr>
        <w:pStyle w:val="Level3"/>
      </w:pPr>
      <w:r w:rsidRPr="00D45B1A">
        <w:t xml:space="preserve">These expenses may be reported against the </w:t>
      </w:r>
      <w:r w:rsidR="009236A1">
        <w:t>o</w:t>
      </w:r>
      <w:r w:rsidRPr="00D45B1A">
        <w:t xml:space="preserve">perating </w:t>
      </w:r>
      <w:r w:rsidR="009236A1">
        <w:t>r</w:t>
      </w:r>
      <w:r w:rsidRPr="00D45B1A">
        <w:t>oom. Costing practitioners should move these expenses to separate SPS final cost centres so that they can be mapped and costed accordingly. The full cost of administering ECT should be included in the designated final cost centre and may include:</w:t>
      </w:r>
    </w:p>
    <w:p w14:paraId="68D63D65" w14:textId="77777777" w:rsidR="00C27FB2" w:rsidRPr="00D45B1A" w:rsidRDefault="00C27FB2" w:rsidP="007C6433">
      <w:pPr>
        <w:pStyle w:val="ListBullet"/>
      </w:pPr>
      <w:r w:rsidRPr="00D45B1A">
        <w:t>labour cost of medical health specialists, anaesthetists, nurses and other supporting staff</w:t>
      </w:r>
    </w:p>
    <w:p w14:paraId="68D63D66" w14:textId="0A9C4848" w:rsidR="00C27FB2" w:rsidRPr="00D45B1A" w:rsidRDefault="00C27FB2" w:rsidP="007C6433">
      <w:pPr>
        <w:pStyle w:val="ListBullet"/>
      </w:pPr>
      <w:r w:rsidRPr="00D45B1A">
        <w:t xml:space="preserve">depreciation of medical equipment and devices used in the procedure </w:t>
      </w:r>
    </w:p>
    <w:p w14:paraId="68D63D67" w14:textId="3358C66A" w:rsidR="00C27FB2" w:rsidRPr="00D45B1A" w:rsidRDefault="00A773DC" w:rsidP="007C6433">
      <w:pPr>
        <w:pStyle w:val="ListBullet"/>
      </w:pPr>
      <w:r>
        <w:t>consumables and drugs</w:t>
      </w:r>
    </w:p>
    <w:p w14:paraId="68D63D68" w14:textId="01B22B1E" w:rsidR="00C27FB2" w:rsidRPr="00D45B1A" w:rsidRDefault="00C27FB2" w:rsidP="004738A8">
      <w:pPr>
        <w:pStyle w:val="Level3"/>
      </w:pPr>
      <w:r w:rsidRPr="00D45B1A">
        <w:t>Many hospitals</w:t>
      </w:r>
      <w:r w:rsidR="009236A1">
        <w:t xml:space="preserve"> or </w:t>
      </w:r>
      <w:r w:rsidRPr="00D45B1A">
        <w:t>organisations do not collect patient level data in their ambulatory</w:t>
      </w:r>
      <w:r w:rsidR="009236A1">
        <w:t xml:space="preserve"> or c</w:t>
      </w:r>
      <w:r w:rsidRPr="00D45B1A">
        <w:t>ommunity mental health care services. Costing practitioners may consider the use of product fractions to move cost across program</w:t>
      </w:r>
      <w:r w:rsidR="009236A1">
        <w:t xml:space="preserve"> or </w:t>
      </w:r>
      <w:r w:rsidRPr="00D45B1A">
        <w:t>product type.</w:t>
      </w:r>
    </w:p>
    <w:p w14:paraId="68D63D69" w14:textId="77777777" w:rsidR="00C27FB2" w:rsidRPr="00D45B1A" w:rsidRDefault="00C27FB2" w:rsidP="004738A8">
      <w:pPr>
        <w:pStyle w:val="Level3"/>
      </w:pPr>
      <w:r w:rsidRPr="00D45B1A">
        <w:t xml:space="preserve">A key driver of mental health costs relates to the provision a secure environment for the treatment of forensic mental health patients. These additional costs have been attributed to need for strict protocols, and mental health legislative requirements. </w:t>
      </w:r>
    </w:p>
    <w:p w14:paraId="68D63D6A" w14:textId="77777777" w:rsidR="00C27FB2" w:rsidRPr="00D45B1A" w:rsidRDefault="00C27FB2" w:rsidP="004738A8">
      <w:pPr>
        <w:pStyle w:val="Level3"/>
      </w:pPr>
      <w:r w:rsidRPr="00D45B1A">
        <w:t>Costing practitioners should work with their mental health stakeholders to understand the resources required to treat</w:t>
      </w:r>
      <w:r w:rsidR="008401A6">
        <w:t xml:space="preserve"> an</w:t>
      </w:r>
      <w:r w:rsidRPr="00D45B1A">
        <w:t xml:space="preserve"> involuntary patient. Such patients will have specific statutory requirements that will influence treatment and administrative resources used.</w:t>
      </w:r>
    </w:p>
    <w:p w14:paraId="68D63D6B" w14:textId="73D6059D" w:rsidR="000B5336" w:rsidRDefault="00C27FB2" w:rsidP="004738A8">
      <w:pPr>
        <w:pStyle w:val="Level3"/>
      </w:pPr>
      <w:r w:rsidRPr="00D45B1A">
        <w:lastRenderedPageBreak/>
        <w:t xml:space="preserve">Expenses for </w:t>
      </w:r>
      <w:r w:rsidR="009236A1">
        <w:t>c</w:t>
      </w:r>
      <w:r w:rsidRPr="00D45B1A">
        <w:t>onsultati</w:t>
      </w:r>
      <w:r w:rsidR="00762477">
        <w:t xml:space="preserve">on </w:t>
      </w:r>
      <w:r w:rsidR="009236A1">
        <w:t>l</w:t>
      </w:r>
      <w:r w:rsidR="00762477">
        <w:t>iaison services to or from m</w:t>
      </w:r>
      <w:r w:rsidRPr="00D45B1A">
        <w:t xml:space="preserve">ental </w:t>
      </w:r>
      <w:r w:rsidR="00762477">
        <w:t>h</w:t>
      </w:r>
      <w:r w:rsidRPr="00D45B1A">
        <w:t xml:space="preserve">ealth units should be appropriately defined. </w:t>
      </w:r>
    </w:p>
    <w:p w14:paraId="68D63D6C" w14:textId="441433FF" w:rsidR="00C27FB2" w:rsidRPr="00D45B1A" w:rsidRDefault="00762477" w:rsidP="004738A8">
      <w:pPr>
        <w:pStyle w:val="Level3"/>
      </w:pPr>
      <w:r>
        <w:t>Consultation l</w:t>
      </w:r>
      <w:r w:rsidR="00C27FB2" w:rsidRPr="00D45B1A">
        <w:t>iaison includes services provided by specialist mental health clinicians as:</w:t>
      </w:r>
    </w:p>
    <w:p w14:paraId="68D63D6D" w14:textId="74A240A2" w:rsidR="00C27FB2" w:rsidRPr="00D45B1A" w:rsidRDefault="00C27FB2" w:rsidP="007C6433">
      <w:pPr>
        <w:pStyle w:val="ListBullet"/>
      </w:pPr>
      <w:r w:rsidRPr="00D45B1A">
        <w:t>consultation services by providing an opinion to the patient’s</w:t>
      </w:r>
      <w:r w:rsidR="009236A1">
        <w:t xml:space="preserve"> or </w:t>
      </w:r>
      <w:r w:rsidRPr="00D45B1A">
        <w:t>client’s primary clinician</w:t>
      </w:r>
    </w:p>
    <w:p w14:paraId="68D63D6E" w14:textId="1A4F9249" w:rsidR="00C27FB2" w:rsidRPr="00D45B1A" w:rsidRDefault="00C27FB2" w:rsidP="007C6433">
      <w:pPr>
        <w:pStyle w:val="ListBullet"/>
      </w:pPr>
      <w:r w:rsidRPr="00D45B1A">
        <w:t>liaison services by discussing the case of a patient</w:t>
      </w:r>
      <w:r w:rsidR="009236A1">
        <w:t xml:space="preserve"> or </w:t>
      </w:r>
      <w:r w:rsidRPr="00D45B1A">
        <w:t>client with the patient’s</w:t>
      </w:r>
      <w:r w:rsidR="009236A1">
        <w:t xml:space="preserve"> or </w:t>
      </w:r>
      <w:r w:rsidRPr="00D45B1A">
        <w:t>client’s primary clinician.</w:t>
      </w:r>
    </w:p>
    <w:p w14:paraId="68D63D6F" w14:textId="79ABCCCA" w:rsidR="00C27FB2" w:rsidRPr="00D45B1A" w:rsidRDefault="00C27FB2" w:rsidP="004738A8">
      <w:pPr>
        <w:pStyle w:val="Level3"/>
      </w:pPr>
      <w:r w:rsidRPr="00D45B1A">
        <w:t xml:space="preserve">Expenses for these services provided to and from the hospital or organisation need to be identified and </w:t>
      </w:r>
      <w:r w:rsidR="00336AB2">
        <w:t>linked</w:t>
      </w:r>
      <w:r w:rsidR="00336AB2" w:rsidRPr="00D45B1A">
        <w:t xml:space="preserve"> </w:t>
      </w:r>
      <w:r w:rsidRPr="00D45B1A">
        <w:t>with the hospital’s</w:t>
      </w:r>
      <w:r w:rsidR="009236A1">
        <w:t xml:space="preserve"> or </w:t>
      </w:r>
      <w:r w:rsidRPr="00D45B1A">
        <w:t>organisation’s products.</w:t>
      </w:r>
    </w:p>
    <w:p w14:paraId="68D63D70" w14:textId="74626E39" w:rsidR="00C27FB2" w:rsidRPr="00D45B1A" w:rsidRDefault="00C27FB2" w:rsidP="004738A8">
      <w:pPr>
        <w:pStyle w:val="Level3"/>
      </w:pPr>
      <w:r w:rsidRPr="00D45B1A">
        <w:t xml:space="preserve">Attention should be provided to </w:t>
      </w:r>
      <w:r w:rsidR="009236A1">
        <w:t>c</w:t>
      </w:r>
      <w:r w:rsidRPr="00D45B1A">
        <w:t xml:space="preserve">onsultation </w:t>
      </w:r>
      <w:r w:rsidR="009236A1">
        <w:t>l</w:t>
      </w:r>
      <w:r w:rsidRPr="00D45B1A">
        <w:t>iaison services that are provided as an outreach service. Whilst the process of expense identification should follow the same processes as other mental health services, further discussion may be required to ensure that activity is captured to enable expense alignment to activity and the ability to allocate costs.</w:t>
      </w:r>
    </w:p>
    <w:p w14:paraId="68D63D71" w14:textId="425F236E" w:rsidR="00C27FB2" w:rsidRPr="00D45B1A" w:rsidRDefault="00C27FB2" w:rsidP="004738A8">
      <w:pPr>
        <w:pStyle w:val="Level3"/>
      </w:pPr>
      <w:r w:rsidRPr="00A27C5B">
        <w:t xml:space="preserve">Expense </w:t>
      </w:r>
      <w:r w:rsidR="009236A1">
        <w:t>a</w:t>
      </w:r>
      <w:r w:rsidRPr="00A27C5B">
        <w:t xml:space="preserve">lignment </w:t>
      </w:r>
      <w:r w:rsidR="009236A1">
        <w:t>d</w:t>
      </w:r>
      <w:r w:rsidRPr="00A27C5B">
        <w:t>ecisions</w:t>
      </w:r>
      <w:r w:rsidRPr="00D45B1A">
        <w:rPr>
          <w:i/>
        </w:rPr>
        <w:t xml:space="preserve"> – </w:t>
      </w:r>
      <w:r w:rsidR="00762477">
        <w:t>c</w:t>
      </w:r>
      <w:r w:rsidRPr="00D45B1A">
        <w:t xml:space="preserve">osting practitioners should utilise the costing system or another medium to document all information used as the basis to identify and align mental health expense, including: </w:t>
      </w:r>
    </w:p>
    <w:p w14:paraId="1B4A0839" w14:textId="17231808" w:rsidR="00762477" w:rsidRDefault="00762477" w:rsidP="007C6433">
      <w:pPr>
        <w:pStyle w:val="ListBullet"/>
      </w:pPr>
      <w:r>
        <w:t>a date for future review of mental h</w:t>
      </w:r>
      <w:r w:rsidRPr="00D45B1A">
        <w:t xml:space="preserve">ealth expense alignment </w:t>
      </w:r>
    </w:p>
    <w:p w14:paraId="68D63D72" w14:textId="2737F482" w:rsidR="00C27FB2" w:rsidRPr="00D45B1A" w:rsidRDefault="00C27FB2" w:rsidP="007C6433">
      <w:pPr>
        <w:pStyle w:val="ListBullet"/>
      </w:pPr>
      <w:r w:rsidRPr="00D45B1A">
        <w:t>the clas</w:t>
      </w:r>
      <w:r w:rsidR="00762477">
        <w:t>sification of expense into the mental h</w:t>
      </w:r>
      <w:r w:rsidRPr="00D45B1A">
        <w:t xml:space="preserve">ealth final cost centre </w:t>
      </w:r>
    </w:p>
    <w:p w14:paraId="64CB9987" w14:textId="77777777" w:rsidR="00762477" w:rsidRPr="00D45B1A" w:rsidRDefault="00762477" w:rsidP="00762477">
      <w:pPr>
        <w:pStyle w:val="ListBullet"/>
      </w:pPr>
      <w:r w:rsidRPr="00D45B1A">
        <w:t xml:space="preserve">the date of the meeting </w:t>
      </w:r>
    </w:p>
    <w:p w14:paraId="68D63D73" w14:textId="583861E2" w:rsidR="00C27FB2" w:rsidRPr="00D45B1A" w:rsidRDefault="00A773DC" w:rsidP="007C6433">
      <w:pPr>
        <w:pStyle w:val="ListBullet"/>
      </w:pPr>
      <w:r>
        <w:t xml:space="preserve">the stakeholders </w:t>
      </w:r>
      <w:r w:rsidR="00762477">
        <w:t xml:space="preserve">they </w:t>
      </w:r>
      <w:r>
        <w:t>met with</w:t>
      </w:r>
      <w:r w:rsidR="00762477">
        <w:t>.</w:t>
      </w:r>
    </w:p>
    <w:p w14:paraId="68D63D75" w14:textId="4788053B" w:rsidR="00C27FB2" w:rsidRPr="00D45B1A" w:rsidRDefault="00C27FB2" w:rsidP="00762477">
      <w:pPr>
        <w:pStyle w:val="ListBullet"/>
        <w:numPr>
          <w:ilvl w:val="0"/>
          <w:numId w:val="0"/>
        </w:numPr>
        <w:ind w:left="2268"/>
      </w:pPr>
    </w:p>
    <w:p w14:paraId="68D63D76" w14:textId="20A2B300" w:rsidR="00C27FB2" w:rsidRPr="00D45B1A" w:rsidRDefault="00C27FB2" w:rsidP="004738A8">
      <w:pPr>
        <w:pStyle w:val="Level3"/>
      </w:pPr>
      <w:r w:rsidRPr="00D45B1A">
        <w:t xml:space="preserve">Hospital overheads need to be allocated appropriately to the mental health final cost centre. However, where a hospital has identifiable </w:t>
      </w:r>
      <w:r w:rsidR="00762477">
        <w:t>mental h</w:t>
      </w:r>
      <w:r w:rsidRPr="00D45B1A">
        <w:t>ealth service rela</w:t>
      </w:r>
      <w:r w:rsidR="00762477">
        <w:t>ted overhead expenses, such as m</w:t>
      </w:r>
      <w:r w:rsidRPr="00D45B1A">
        <w:t xml:space="preserve">ental </w:t>
      </w:r>
      <w:r w:rsidR="00762477">
        <w:t>health a</w:t>
      </w:r>
      <w:r w:rsidRPr="00D45B1A">
        <w:t xml:space="preserve">dministration, these must be allocated solely to the </w:t>
      </w:r>
      <w:r w:rsidR="00762477">
        <w:t>m</w:t>
      </w:r>
      <w:r w:rsidRPr="00D45B1A">
        <w:t xml:space="preserve">ental </w:t>
      </w:r>
      <w:r w:rsidR="00762477">
        <w:t>h</w:t>
      </w:r>
      <w:r w:rsidRPr="00D45B1A">
        <w:t>ealth final cost centre.</w:t>
      </w:r>
    </w:p>
    <w:p w14:paraId="68D63D77" w14:textId="77777777" w:rsidR="00C27FB2" w:rsidRPr="00D45B1A" w:rsidRDefault="00C27FB2" w:rsidP="004738A8">
      <w:pPr>
        <w:pStyle w:val="Level3"/>
      </w:pPr>
      <w:r w:rsidRPr="00D45B1A">
        <w:t>Mental health services often receive support services from an auspice organisation; if these support services are essential to the production process, then hospital need to ensure that these expenses are included as third party expenses and brought to account in the costing process.</w:t>
      </w:r>
    </w:p>
    <w:p w14:paraId="68D63D78" w14:textId="77777777" w:rsidR="00C27FB2" w:rsidRPr="00D45B1A" w:rsidRDefault="00C27FB2" w:rsidP="000B5336">
      <w:pPr>
        <w:pStyle w:val="Level3Heading"/>
      </w:pPr>
      <w:r w:rsidRPr="00D45B1A">
        <w:t>Step 3</w:t>
      </w:r>
      <w:r w:rsidR="00A01EA6">
        <w:t>:</w:t>
      </w:r>
      <w:r w:rsidRPr="00D45B1A">
        <w:t xml:space="preserve"> Identify </w:t>
      </w:r>
      <w:r w:rsidR="008A6B15">
        <w:t>p</w:t>
      </w:r>
      <w:r w:rsidRPr="00D45B1A">
        <w:t xml:space="preserve">atient </w:t>
      </w:r>
      <w:r w:rsidR="008A6B15">
        <w:t>l</w:t>
      </w:r>
      <w:r w:rsidR="008A6B15" w:rsidRPr="00D45B1A">
        <w:t xml:space="preserve">evel </w:t>
      </w:r>
      <w:r w:rsidR="008A6B15">
        <w:t>a</w:t>
      </w:r>
      <w:r w:rsidRPr="00D45B1A">
        <w:t xml:space="preserve">ctivity and </w:t>
      </w:r>
      <w:r w:rsidR="008A6B15">
        <w:t>m</w:t>
      </w:r>
      <w:r w:rsidR="008A6B15" w:rsidRPr="00D45B1A">
        <w:t xml:space="preserve">ental </w:t>
      </w:r>
      <w:r w:rsidR="008A6B15">
        <w:t>h</w:t>
      </w:r>
      <w:r w:rsidR="008A6B15" w:rsidRPr="00D45B1A">
        <w:t xml:space="preserve">ealth </w:t>
      </w:r>
      <w:r w:rsidR="008A6B15">
        <w:t>f</w:t>
      </w:r>
      <w:r w:rsidR="008A6B15" w:rsidRPr="00D45B1A">
        <w:t xml:space="preserve">eeder </w:t>
      </w:r>
      <w:r w:rsidR="008A6B15">
        <w:t>d</w:t>
      </w:r>
      <w:r w:rsidR="008A6B15" w:rsidRPr="00D45B1A">
        <w:t xml:space="preserve">ata </w:t>
      </w:r>
      <w:r w:rsidRPr="00D45B1A">
        <w:t xml:space="preserve">and </w:t>
      </w:r>
      <w:r w:rsidR="008A6B15">
        <w:t>p</w:t>
      </w:r>
      <w:r w:rsidR="008A6B15" w:rsidRPr="00D45B1A">
        <w:t xml:space="preserve">erform </w:t>
      </w:r>
      <w:r w:rsidR="008A6B15">
        <w:t>q</w:t>
      </w:r>
      <w:r w:rsidR="008A6B15" w:rsidRPr="00D45B1A">
        <w:t xml:space="preserve">uality </w:t>
      </w:r>
      <w:r w:rsidR="008A6B15">
        <w:t>a</w:t>
      </w:r>
      <w:r w:rsidR="008A6B15" w:rsidRPr="00D45B1A">
        <w:t xml:space="preserve">ssurance </w:t>
      </w:r>
      <w:r w:rsidR="008A6B15">
        <w:t>c</w:t>
      </w:r>
      <w:r w:rsidRPr="00D45B1A">
        <w:t xml:space="preserve">hecks </w:t>
      </w:r>
    </w:p>
    <w:p w14:paraId="68D63D79" w14:textId="56DF08E7" w:rsidR="00C27FB2" w:rsidRPr="00D45B1A" w:rsidRDefault="00C27FB2" w:rsidP="004738A8">
      <w:pPr>
        <w:pStyle w:val="Level3"/>
        <w:rPr>
          <w:i/>
        </w:rPr>
      </w:pPr>
      <w:r w:rsidRPr="00D45B1A">
        <w:t xml:space="preserve">Costing practitioners should refer to IHPA’s Australian Mental Health Care Classification </w:t>
      </w:r>
      <w:r w:rsidR="009236A1">
        <w:t>V</w:t>
      </w:r>
      <w:r w:rsidRPr="00D45B1A">
        <w:t xml:space="preserve">ersion 1.0 User manual for guidance and understanding on the classification and reporting of the </w:t>
      </w:r>
      <w:r w:rsidR="00952713">
        <w:t>m</w:t>
      </w:r>
      <w:r w:rsidRPr="00D45B1A">
        <w:t xml:space="preserve">ental </w:t>
      </w:r>
      <w:r w:rsidR="00952713">
        <w:t>h</w:t>
      </w:r>
      <w:r w:rsidRPr="00D45B1A">
        <w:t>ealth activities.</w:t>
      </w:r>
      <w:r w:rsidRPr="00D45B1A">
        <w:rPr>
          <w:i/>
        </w:rPr>
        <w:t xml:space="preserve"> </w:t>
      </w:r>
      <w:r w:rsidRPr="00D45B1A">
        <w:t xml:space="preserve">Costing practitioners should also note that </w:t>
      </w:r>
      <w:r w:rsidR="00952713">
        <w:t>m</w:t>
      </w:r>
      <w:r w:rsidR="000F34EC">
        <w:t>ental health services in each j</w:t>
      </w:r>
      <w:r w:rsidRPr="00D45B1A">
        <w:t xml:space="preserve">urisdiction are regulated by </w:t>
      </w:r>
      <w:r w:rsidR="00360078">
        <w:t>j</w:t>
      </w:r>
      <w:r w:rsidRPr="00D45B1A">
        <w:t>urisdictional legislation and guidelines and must ensure that these are considered for different reporting purposes.</w:t>
      </w:r>
    </w:p>
    <w:p w14:paraId="68D63D7A" w14:textId="77777777" w:rsidR="00C27FB2" w:rsidRPr="00D45B1A" w:rsidRDefault="00C27FB2" w:rsidP="004738A8">
      <w:pPr>
        <w:pStyle w:val="Level3"/>
      </w:pPr>
      <w:r w:rsidRPr="00D45B1A">
        <w:t xml:space="preserve">Given the statutory requirements of mental health services, many systems already exist that may act as feeders for costing purposes. Common mental health feeder systems should capture and report amongst other items, the following fields: </w:t>
      </w:r>
    </w:p>
    <w:p w14:paraId="65EA2F94" w14:textId="77777777" w:rsidR="009236A1" w:rsidRPr="00D45B1A" w:rsidRDefault="009236A1" w:rsidP="009236A1">
      <w:pPr>
        <w:pStyle w:val="ListBullet"/>
      </w:pPr>
      <w:r w:rsidRPr="00D45B1A">
        <w:lastRenderedPageBreak/>
        <w:t>multiple health care provider indicator</w:t>
      </w:r>
    </w:p>
    <w:p w14:paraId="4062FC5C" w14:textId="77777777" w:rsidR="009236A1" w:rsidRPr="00D45B1A" w:rsidRDefault="009236A1" w:rsidP="009236A1">
      <w:pPr>
        <w:pStyle w:val="ListBullet"/>
      </w:pPr>
      <w:r>
        <w:t>p</w:t>
      </w:r>
      <w:r w:rsidRPr="00D45B1A">
        <w:t xml:space="preserve">rogram </w:t>
      </w:r>
      <w:r>
        <w:t>code</w:t>
      </w:r>
      <w:r w:rsidRPr="00D45B1A">
        <w:t xml:space="preserve"> </w:t>
      </w:r>
    </w:p>
    <w:p w14:paraId="20B5E6CF" w14:textId="77777777" w:rsidR="009236A1" w:rsidRPr="00D45B1A" w:rsidRDefault="009236A1" w:rsidP="009236A1">
      <w:pPr>
        <w:pStyle w:val="ListBullet"/>
      </w:pPr>
      <w:r w:rsidRPr="00D45B1A">
        <w:t>provider type</w:t>
      </w:r>
    </w:p>
    <w:p w14:paraId="43CB1907" w14:textId="136B2C90" w:rsidR="009236A1" w:rsidRDefault="009236A1">
      <w:pPr>
        <w:pStyle w:val="ListBullet"/>
      </w:pPr>
      <w:r>
        <w:t>the date of service</w:t>
      </w:r>
    </w:p>
    <w:p w14:paraId="68D63D7B" w14:textId="1611CBFB" w:rsidR="00C27FB2" w:rsidRPr="00D45B1A" w:rsidRDefault="00C27FB2" w:rsidP="007C6433">
      <w:pPr>
        <w:pStyle w:val="ListBullet"/>
      </w:pPr>
      <w:r w:rsidRPr="00D45B1A">
        <w:t xml:space="preserve">the patient’s unique </w:t>
      </w:r>
      <w:r w:rsidR="002E230A">
        <w:t>identifier</w:t>
      </w:r>
    </w:p>
    <w:p w14:paraId="68D63D7C" w14:textId="4C614149" w:rsidR="00C27FB2" w:rsidRPr="00D45B1A" w:rsidRDefault="00C27FB2" w:rsidP="007C6433">
      <w:pPr>
        <w:pStyle w:val="ListBullet"/>
      </w:pPr>
      <w:r w:rsidRPr="00D45B1A">
        <w:t>the patient unique episode identifier</w:t>
      </w:r>
    </w:p>
    <w:p w14:paraId="68D63D7D" w14:textId="77777777" w:rsidR="00C27FB2" w:rsidRPr="00D45B1A" w:rsidRDefault="00C27FB2" w:rsidP="007C6433">
      <w:pPr>
        <w:pStyle w:val="ListBullet"/>
      </w:pPr>
      <w:r w:rsidRPr="00D45B1A">
        <w:t xml:space="preserve">the phase of care </w:t>
      </w:r>
    </w:p>
    <w:p w14:paraId="68D63D82" w14:textId="593C8268" w:rsidR="00C27FB2" w:rsidRPr="00D45B1A" w:rsidRDefault="00C27FB2" w:rsidP="007C6433">
      <w:pPr>
        <w:pStyle w:val="ListBullet"/>
      </w:pPr>
      <w:r w:rsidRPr="00D45B1A">
        <w:t xml:space="preserve">the time into and out of the unit </w:t>
      </w:r>
    </w:p>
    <w:p w14:paraId="68D63D83" w14:textId="64815C67" w:rsidR="00C27FB2" w:rsidRPr="00D45B1A" w:rsidRDefault="00C27FB2" w:rsidP="007C6433">
      <w:pPr>
        <w:pStyle w:val="ListBullet"/>
      </w:pPr>
      <w:r w:rsidRPr="00D45B1A">
        <w:t>other patient demographic factors such as sex and age</w:t>
      </w:r>
      <w:r w:rsidR="004844AB">
        <w:t>.</w:t>
      </w:r>
    </w:p>
    <w:p w14:paraId="68D63D84" w14:textId="5F0E7084" w:rsidR="00C27FB2" w:rsidRPr="00D45B1A" w:rsidRDefault="00C27FB2" w:rsidP="004738A8">
      <w:pPr>
        <w:pStyle w:val="Level3"/>
      </w:pPr>
      <w:r w:rsidRPr="00D45B1A">
        <w:t>Costing practitioners should perform quality assurance checks on the mental health extracts prior to the costing process. For example, checks should be made on the date of service (to test reliability to remove error dates, check time into and out of the unit, and ensure dates are relevant to the period being costed). If ward</w:t>
      </w:r>
      <w:r w:rsidR="009236A1">
        <w:t xml:space="preserve"> or </w:t>
      </w:r>
      <w:r w:rsidRPr="00D45B1A">
        <w:t xml:space="preserve">appointment duration is used as a cost driver, checks should be performed to ensure that the duration of the service event is reasonable. </w:t>
      </w:r>
    </w:p>
    <w:p w14:paraId="68D63D85" w14:textId="77777777" w:rsidR="00C27FB2" w:rsidRPr="00D45B1A" w:rsidRDefault="00C27FB2" w:rsidP="000B5336">
      <w:pPr>
        <w:pStyle w:val="Level3Heading"/>
      </w:pPr>
      <w:r w:rsidRPr="00D45B1A">
        <w:t>Step 4</w:t>
      </w:r>
      <w:r w:rsidR="00A01EA6">
        <w:t>:</w:t>
      </w:r>
      <w:r w:rsidRPr="00D45B1A">
        <w:t xml:space="preserve"> Creating and </w:t>
      </w:r>
      <w:r w:rsidR="008A6B15">
        <w:t>m</w:t>
      </w:r>
      <w:r w:rsidRPr="00D45B1A">
        <w:t xml:space="preserve">apping </w:t>
      </w:r>
      <w:r w:rsidR="008A6B15">
        <w:t>m</w:t>
      </w:r>
      <w:r w:rsidRPr="00D45B1A">
        <w:t xml:space="preserve">ental </w:t>
      </w:r>
      <w:r w:rsidR="008A6B15">
        <w:t>h</w:t>
      </w:r>
      <w:r w:rsidRPr="00D45B1A">
        <w:t xml:space="preserve">ealth </w:t>
      </w:r>
      <w:r w:rsidR="008A6B15">
        <w:t>s</w:t>
      </w:r>
      <w:r w:rsidRPr="00D45B1A">
        <w:t xml:space="preserve">ervice </w:t>
      </w:r>
      <w:r w:rsidR="008A6B15">
        <w:t>c</w:t>
      </w:r>
      <w:r w:rsidRPr="00D45B1A">
        <w:t xml:space="preserve">osting </w:t>
      </w:r>
      <w:r w:rsidR="008A6B15">
        <w:t>p</w:t>
      </w:r>
      <w:r w:rsidR="008A6B15" w:rsidRPr="00D45B1A">
        <w:t xml:space="preserve">roducts </w:t>
      </w:r>
      <w:r w:rsidRPr="00D45B1A">
        <w:t xml:space="preserve">or </w:t>
      </w:r>
      <w:r w:rsidR="008A6B15">
        <w:t>i</w:t>
      </w:r>
      <w:r w:rsidR="008A6B15" w:rsidRPr="00D45B1A">
        <w:t xml:space="preserve">ntermediate </w:t>
      </w:r>
      <w:r w:rsidR="008A6B15">
        <w:t>p</w:t>
      </w:r>
      <w:r w:rsidRPr="00D45B1A">
        <w:t xml:space="preserve">roducts </w:t>
      </w:r>
    </w:p>
    <w:p w14:paraId="68D63D86" w14:textId="77777777" w:rsidR="00C27FB2" w:rsidRPr="00D45B1A" w:rsidRDefault="00C27FB2" w:rsidP="004738A8">
      <w:pPr>
        <w:pStyle w:val="Level3"/>
      </w:pPr>
      <w:r w:rsidRPr="00D45B1A">
        <w:t>Intermediate products are created for services listed in the feeder. Once the intermediate products are created, costing practitioners will be required to ensure these are mapped in the costing system to the appropriate cost centre. For example, services in a secluded inpatient ward intermediate product.</w:t>
      </w:r>
    </w:p>
    <w:p w14:paraId="68D63D87" w14:textId="47FF590F" w:rsidR="00C27FB2" w:rsidRPr="00D45B1A" w:rsidRDefault="00C27FB2" w:rsidP="004738A8">
      <w:pPr>
        <w:pStyle w:val="Level3"/>
      </w:pPr>
      <w:r w:rsidRPr="00D45B1A">
        <w:t>‘Ward 3North-Sec-Nursing’, where ‘Ward 3North’ describes the ward, ‘Sec’ describes the function in this case seclusion and ‘</w:t>
      </w:r>
      <w:r w:rsidR="009236A1">
        <w:t>n</w:t>
      </w:r>
      <w:r w:rsidRPr="00D45B1A">
        <w:t xml:space="preserve">ursing’ the treatment type. In this example the intermediate product would be used to define the nursing resources used to care for patients on this ward </w:t>
      </w:r>
    </w:p>
    <w:p w14:paraId="68D63D88" w14:textId="77777777" w:rsidR="00C27FB2" w:rsidRPr="00D45B1A" w:rsidRDefault="00C27FB2" w:rsidP="004738A8">
      <w:pPr>
        <w:pStyle w:val="Level3"/>
      </w:pPr>
      <w:r w:rsidRPr="00D45B1A">
        <w:t>Aggregated (dummy) episode records and intermediate product codes may be created for a cost centre or mental health program with no feeder system or patient-level activities.</w:t>
      </w:r>
    </w:p>
    <w:p w14:paraId="68D63D89" w14:textId="69CB4215" w:rsidR="00C27FB2" w:rsidRPr="00D45B1A" w:rsidRDefault="00C27FB2" w:rsidP="000B5336">
      <w:pPr>
        <w:pStyle w:val="Level3Heading"/>
      </w:pPr>
      <w:r w:rsidRPr="00D45B1A">
        <w:t>Step 5</w:t>
      </w:r>
      <w:r w:rsidR="00A01EA6">
        <w:t>:</w:t>
      </w:r>
      <w:r w:rsidRPr="00D45B1A">
        <w:t xml:space="preserve"> Apply </w:t>
      </w:r>
      <w:r w:rsidR="00E867EF">
        <w:t>r</w:t>
      </w:r>
      <w:r w:rsidRPr="00D45B1A">
        <w:t xml:space="preserve">elative </w:t>
      </w:r>
      <w:r w:rsidR="00E867EF">
        <w:t>v</w:t>
      </w:r>
      <w:r w:rsidRPr="00D45B1A">
        <w:t xml:space="preserve">alue </w:t>
      </w:r>
      <w:r w:rsidR="00E867EF">
        <w:t>u</w:t>
      </w:r>
      <w:r w:rsidRPr="00D45B1A">
        <w:t xml:space="preserve">nits </w:t>
      </w:r>
    </w:p>
    <w:p w14:paraId="68D63D8A" w14:textId="7AD9AE07" w:rsidR="00C27FB2" w:rsidRPr="00D45B1A" w:rsidRDefault="00C27FB2" w:rsidP="004738A8">
      <w:pPr>
        <w:pStyle w:val="Level3"/>
      </w:pPr>
      <w:r w:rsidRPr="00D45B1A">
        <w:t>Costing practitioners may wish to consider the following methods for allocating ex</w:t>
      </w:r>
      <w:r w:rsidR="00762477">
        <w:t>penses to m</w:t>
      </w:r>
      <w:r w:rsidRPr="00D45B1A">
        <w:t xml:space="preserve">ental </w:t>
      </w:r>
      <w:r w:rsidR="00762477">
        <w:t>h</w:t>
      </w:r>
      <w:r w:rsidRPr="00D45B1A">
        <w:t>ealth service events:</w:t>
      </w:r>
    </w:p>
    <w:p w14:paraId="68D63D8B" w14:textId="0BE7594C" w:rsidR="00C27FB2" w:rsidRPr="00D45B1A" w:rsidRDefault="00A773DC" w:rsidP="007C6433">
      <w:pPr>
        <w:pStyle w:val="ListBullet"/>
      </w:pPr>
      <w:r>
        <w:t>a</w:t>
      </w:r>
      <w:r w:rsidR="00C27FB2" w:rsidRPr="00D45B1A">
        <w:t>ctual duration</w:t>
      </w:r>
    </w:p>
    <w:p w14:paraId="68D63D8C" w14:textId="22D1C3A8" w:rsidR="00C27FB2" w:rsidRPr="00D45B1A" w:rsidRDefault="00A773DC" w:rsidP="007C6433">
      <w:pPr>
        <w:pStyle w:val="ListBullet"/>
      </w:pPr>
      <w:r>
        <w:t>a</w:t>
      </w:r>
      <w:r w:rsidR="00C27FB2" w:rsidRPr="00D45B1A">
        <w:t>verage</w:t>
      </w:r>
      <w:r w:rsidR="009236A1">
        <w:t xml:space="preserve"> or </w:t>
      </w:r>
      <w:r>
        <w:t>w</w:t>
      </w:r>
      <w:r w:rsidR="00C27FB2" w:rsidRPr="00D45B1A">
        <w:t>eighted time in ward</w:t>
      </w:r>
      <w:r w:rsidR="009236A1">
        <w:t xml:space="preserve"> or </w:t>
      </w:r>
      <w:r w:rsidR="00C27FB2" w:rsidRPr="00D45B1A">
        <w:t>clinic</w:t>
      </w:r>
    </w:p>
    <w:p w14:paraId="30F152B2" w14:textId="4B805D38" w:rsidR="00762477" w:rsidRPr="00D45B1A" w:rsidRDefault="00762477" w:rsidP="00762477">
      <w:pPr>
        <w:pStyle w:val="ListBullet"/>
      </w:pPr>
      <w:r>
        <w:t>r</w:t>
      </w:r>
      <w:r w:rsidRPr="00D45B1A">
        <w:t xml:space="preserve">elative </w:t>
      </w:r>
      <w:r w:rsidR="009236A1">
        <w:t>v</w:t>
      </w:r>
      <w:r w:rsidRPr="00D45B1A">
        <w:t xml:space="preserve">alue </w:t>
      </w:r>
      <w:r w:rsidR="009236A1">
        <w:t>u</w:t>
      </w:r>
      <w:r w:rsidRPr="00D45B1A">
        <w:t>nit (RVU) derived within or outside hospital</w:t>
      </w:r>
    </w:p>
    <w:p w14:paraId="68D63D8D" w14:textId="16851BDE" w:rsidR="00C27FB2" w:rsidRPr="00D45B1A" w:rsidRDefault="00A773DC" w:rsidP="007C6433">
      <w:pPr>
        <w:pStyle w:val="ListBullet"/>
      </w:pPr>
      <w:r>
        <w:t>t</w:t>
      </w:r>
      <w:r w:rsidR="00C27FB2" w:rsidRPr="00D45B1A">
        <w:t>raceable cost</w:t>
      </w:r>
      <w:r w:rsidR="009236A1">
        <w:t xml:space="preserve">s or </w:t>
      </w:r>
      <w:r w:rsidR="00C27FB2" w:rsidRPr="00D45B1A">
        <w:t>charges (for example, charges on outsourced services)</w:t>
      </w:r>
      <w:r w:rsidR="00762477">
        <w:t>.</w:t>
      </w:r>
    </w:p>
    <w:p w14:paraId="68D63D8F" w14:textId="0B8AC40E" w:rsidR="00C27FB2" w:rsidRPr="00D45B1A" w:rsidRDefault="00C27FB2" w:rsidP="004738A8">
      <w:pPr>
        <w:pStyle w:val="Level3"/>
      </w:pPr>
      <w:r w:rsidRPr="00D45B1A">
        <w:t xml:space="preserve">To demonstrate the relative cost of service provision within the mental setting, costing practitioners should consider developing or applying RVU’s which consider the following factors to demonstrate the type of services offered (which are generally the intermediate product build) and the relative resource intensity required for each: </w:t>
      </w:r>
    </w:p>
    <w:p w14:paraId="68D63D90" w14:textId="2CDDC5A4" w:rsidR="00C27FB2" w:rsidRPr="00D45B1A" w:rsidRDefault="00A773DC" w:rsidP="007C6433">
      <w:pPr>
        <w:pStyle w:val="ListBullet"/>
      </w:pPr>
      <w:r>
        <w:t>c</w:t>
      </w:r>
      <w:r w:rsidR="00C27FB2" w:rsidRPr="00D45B1A">
        <w:t>onsumer related factors – such as diagnoses, complications and comorbidities, symptoms severity, function and ethnicity</w:t>
      </w:r>
    </w:p>
    <w:p w14:paraId="68D63D91" w14:textId="46FC41B2" w:rsidR="00C27FB2" w:rsidRPr="00D45B1A" w:rsidRDefault="00A773DC" w:rsidP="007C6433">
      <w:pPr>
        <w:pStyle w:val="ListBullet"/>
      </w:pPr>
      <w:r>
        <w:lastRenderedPageBreak/>
        <w:t>s</w:t>
      </w:r>
      <w:r w:rsidR="004844AB">
        <w:t>ervice</w:t>
      </w:r>
      <w:r w:rsidR="009236A1">
        <w:t xml:space="preserve"> or </w:t>
      </w:r>
      <w:r w:rsidR="004844AB">
        <w:t>s</w:t>
      </w:r>
      <w:r w:rsidR="00C27FB2" w:rsidRPr="00D45B1A">
        <w:t>etting types</w:t>
      </w:r>
      <w:r w:rsidR="009236A1">
        <w:t xml:space="preserve"> – </w:t>
      </w:r>
      <w:r w:rsidR="00C27FB2" w:rsidRPr="00D45B1A">
        <w:t>such as face</w:t>
      </w:r>
      <w:r w:rsidR="009236A1">
        <w:t>-</w:t>
      </w:r>
      <w:r w:rsidR="00C27FB2" w:rsidRPr="00D45B1A">
        <w:t>to</w:t>
      </w:r>
      <w:r w:rsidR="009236A1">
        <w:t>-</w:t>
      </w:r>
      <w:r w:rsidR="00C27FB2" w:rsidRPr="00D45B1A">
        <w:t xml:space="preserve">face vs telephone, group settings, multiple health care providers, seclusion </w:t>
      </w:r>
    </w:p>
    <w:p w14:paraId="68D63D92" w14:textId="7B9431D6" w:rsidR="00C27FB2" w:rsidRPr="00D45B1A" w:rsidRDefault="00A773DC" w:rsidP="007C6433">
      <w:pPr>
        <w:pStyle w:val="ListBullet"/>
      </w:pPr>
      <w:r>
        <w:t>t</w:t>
      </w:r>
      <w:r w:rsidR="00C27FB2" w:rsidRPr="00D45B1A">
        <w:t>reatment types</w:t>
      </w:r>
      <w:r w:rsidR="009236A1">
        <w:t xml:space="preserve"> –</w:t>
      </w:r>
      <w:r w:rsidR="00C27FB2" w:rsidRPr="00D45B1A">
        <w:t xml:space="preserve"> for example, administration of </w:t>
      </w:r>
      <w:r w:rsidR="00C17B61" w:rsidRPr="00D45B1A">
        <w:t>electroconvulsive therapy</w:t>
      </w:r>
      <w:r w:rsidR="00C17B61">
        <w:t>,</w:t>
      </w:r>
      <w:r w:rsidR="00C27FB2" w:rsidRPr="00D45B1A">
        <w:t xml:space="preserve"> psychologic</w:t>
      </w:r>
      <w:r>
        <w:t>al therapies, pharmacotherapies</w:t>
      </w:r>
      <w:r w:rsidR="00C27FB2" w:rsidRPr="00D45B1A">
        <w:t xml:space="preserve"> </w:t>
      </w:r>
    </w:p>
    <w:p w14:paraId="68D63D93" w14:textId="7F48CFCE" w:rsidR="00C27FB2" w:rsidRPr="00D45B1A" w:rsidRDefault="00A773DC" w:rsidP="007C6433">
      <w:pPr>
        <w:pStyle w:val="ListBullet"/>
      </w:pPr>
      <w:r>
        <w:t>l</w:t>
      </w:r>
      <w:r w:rsidR="00C27FB2" w:rsidRPr="00D45B1A">
        <w:t>egal status, safety and emergency care</w:t>
      </w:r>
      <w:r w:rsidR="009236A1">
        <w:t xml:space="preserve"> –</w:t>
      </w:r>
      <w:r w:rsidR="00C27FB2" w:rsidRPr="00D45B1A">
        <w:t xml:space="preserve"> </w:t>
      </w:r>
      <w:r w:rsidR="00633ACE" w:rsidRPr="00D45B1A">
        <w:t>for</w:t>
      </w:r>
      <w:r w:rsidR="00C27FB2" w:rsidRPr="00D45B1A">
        <w:t xml:space="preserve"> example, voluntary vs involuntary patient, m</w:t>
      </w:r>
      <w:r>
        <w:t>echanical or physical restraint</w:t>
      </w:r>
    </w:p>
    <w:p w14:paraId="68D63D94" w14:textId="0EB16BFE" w:rsidR="00C27FB2" w:rsidRPr="00D45B1A" w:rsidRDefault="00A773DC" w:rsidP="007C6433">
      <w:pPr>
        <w:pStyle w:val="ListBullet"/>
      </w:pPr>
      <w:r>
        <w:t>c</w:t>
      </w:r>
      <w:r w:rsidR="00C27FB2" w:rsidRPr="00D45B1A">
        <w:t>hronic disease management</w:t>
      </w:r>
    </w:p>
    <w:p w14:paraId="68D63D95" w14:textId="275915C9" w:rsidR="00C27FB2" w:rsidRPr="00D45B1A" w:rsidRDefault="00A773DC" w:rsidP="007C6433">
      <w:pPr>
        <w:pStyle w:val="ListBullet"/>
      </w:pPr>
      <w:r>
        <w:t>r</w:t>
      </w:r>
      <w:r w:rsidR="00C27FB2" w:rsidRPr="00D45B1A">
        <w:t xml:space="preserve">emoteness of </w:t>
      </w:r>
      <w:r w:rsidR="009236A1">
        <w:t>c</w:t>
      </w:r>
      <w:r w:rsidR="00C27FB2" w:rsidRPr="00D45B1A">
        <w:t>linic or location of service</w:t>
      </w:r>
      <w:r>
        <w:t>.</w:t>
      </w:r>
    </w:p>
    <w:p w14:paraId="68D63D96" w14:textId="77777777" w:rsidR="00C27FB2" w:rsidRPr="00D45B1A" w:rsidRDefault="00C27FB2" w:rsidP="000B5336">
      <w:pPr>
        <w:pStyle w:val="Level3Heading"/>
      </w:pPr>
      <w:r w:rsidRPr="00D45B1A">
        <w:t>Step 6</w:t>
      </w:r>
      <w:r w:rsidR="00A01EA6">
        <w:t>:</w:t>
      </w:r>
      <w:r w:rsidRPr="00D45B1A">
        <w:t xml:space="preserve"> Create </w:t>
      </w:r>
      <w:r w:rsidR="008A6B15">
        <w:t>i</w:t>
      </w:r>
      <w:r w:rsidRPr="00D45B1A">
        <w:t xml:space="preserve">ntermediate </w:t>
      </w:r>
      <w:r w:rsidR="008A6B15">
        <w:t>p</w:t>
      </w:r>
      <w:r w:rsidR="008A6B15" w:rsidRPr="00D45B1A">
        <w:t xml:space="preserve">roduct </w:t>
      </w:r>
      <w:r w:rsidR="008A6B15">
        <w:t>c</w:t>
      </w:r>
      <w:r w:rsidR="008A6B15" w:rsidRPr="00D45B1A">
        <w:t xml:space="preserve">osts </w:t>
      </w:r>
      <w:r w:rsidRPr="00D45B1A">
        <w:t xml:space="preserve">in </w:t>
      </w:r>
      <w:r w:rsidR="008A6B15">
        <w:t>f</w:t>
      </w:r>
      <w:r w:rsidR="008A6B15" w:rsidRPr="00D45B1A">
        <w:t xml:space="preserve">inal </w:t>
      </w:r>
      <w:r w:rsidR="008A6B15">
        <w:t>c</w:t>
      </w:r>
      <w:r w:rsidR="008A6B15" w:rsidRPr="00D45B1A">
        <w:t xml:space="preserve">ost </w:t>
      </w:r>
      <w:r w:rsidR="008A6B15">
        <w:t>c</w:t>
      </w:r>
      <w:r w:rsidR="008A6B15" w:rsidRPr="00D45B1A">
        <w:t>entres</w:t>
      </w:r>
    </w:p>
    <w:p w14:paraId="68D63D97" w14:textId="77777777" w:rsidR="004A5C83" w:rsidRDefault="004A5C83" w:rsidP="004738A8">
      <w:pPr>
        <w:pStyle w:val="Level3"/>
      </w:pPr>
      <w:r>
        <w:t>Two allocation processes are performed:</w:t>
      </w:r>
    </w:p>
    <w:p w14:paraId="68D63D98" w14:textId="77580EB1" w:rsidR="004A5C83" w:rsidRPr="00D46BB1" w:rsidRDefault="00A773DC" w:rsidP="004738A8">
      <w:pPr>
        <w:pStyle w:val="ListBullet"/>
      </w:pPr>
      <w:r>
        <w:t>w</w:t>
      </w:r>
      <w:r w:rsidR="004A5C83" w:rsidRPr="00D46BB1">
        <w:t xml:space="preserve">hen overhead costs are allocated to the </w:t>
      </w:r>
      <w:r w:rsidR="009B2BDB">
        <w:t>p</w:t>
      </w:r>
      <w:r w:rsidR="004A5C83" w:rsidRPr="00D46BB1">
        <w:t xml:space="preserve">roduction </w:t>
      </w:r>
      <w:r w:rsidR="009B2BDB">
        <w:t>c</w:t>
      </w:r>
      <w:r w:rsidR="004A5C83" w:rsidRPr="00D46BB1">
        <w:t xml:space="preserve">ost </w:t>
      </w:r>
      <w:r w:rsidR="009B2BDB">
        <w:t>c</w:t>
      </w:r>
      <w:r w:rsidR="004A5C83" w:rsidRPr="00D46BB1">
        <w:t>entre (using an appropriate allocation statistic)</w:t>
      </w:r>
    </w:p>
    <w:p w14:paraId="68D63D99" w14:textId="4CEF0606" w:rsidR="004A5C83" w:rsidRPr="00D46BB1" w:rsidRDefault="00A773DC" w:rsidP="004738A8">
      <w:pPr>
        <w:pStyle w:val="ListBullet"/>
      </w:pPr>
      <w:r>
        <w:t>w</w:t>
      </w:r>
      <w:r w:rsidR="004A5C83" w:rsidRPr="00D46BB1">
        <w:t xml:space="preserve">hen the </w:t>
      </w:r>
      <w:r w:rsidR="009B2BDB">
        <w:t>p</w:t>
      </w:r>
      <w:r w:rsidR="004A5C83" w:rsidRPr="00D46BB1">
        <w:t xml:space="preserve">roduction </w:t>
      </w:r>
      <w:r w:rsidR="009B2BDB">
        <w:t>c</w:t>
      </w:r>
      <w:r w:rsidR="004A5C83" w:rsidRPr="00D46BB1">
        <w:t xml:space="preserve">ost </w:t>
      </w:r>
      <w:r w:rsidR="009B2BDB">
        <w:t>c</w:t>
      </w:r>
      <w:r w:rsidR="004A5C83" w:rsidRPr="00D46BB1">
        <w:t>entre costs (overhead and direct) are allocated to the intermediate products.</w:t>
      </w:r>
    </w:p>
    <w:p w14:paraId="68D63D9A" w14:textId="77777777" w:rsidR="00C27FB2" w:rsidRPr="00D45B1A" w:rsidRDefault="00C27FB2" w:rsidP="000B5336">
      <w:pPr>
        <w:pStyle w:val="Level3Heading"/>
      </w:pPr>
      <w:r w:rsidRPr="00D45B1A">
        <w:t>Step 7</w:t>
      </w:r>
      <w:r w:rsidR="00A01EA6">
        <w:t>:</w:t>
      </w:r>
      <w:r w:rsidRPr="00D45B1A">
        <w:t xml:space="preserve"> Match </w:t>
      </w:r>
      <w:r w:rsidR="008A6B15">
        <w:t>i</w:t>
      </w:r>
      <w:r w:rsidRPr="00D45B1A">
        <w:t xml:space="preserve">ntermediate </w:t>
      </w:r>
      <w:r w:rsidR="008A6B15">
        <w:t>p</w:t>
      </w:r>
      <w:r w:rsidR="008A6B15" w:rsidRPr="00D45B1A">
        <w:t xml:space="preserve">roducts </w:t>
      </w:r>
      <w:r w:rsidRPr="00D45B1A">
        <w:t xml:space="preserve">and their </w:t>
      </w:r>
      <w:r w:rsidR="008A6B15">
        <w:t>c</w:t>
      </w:r>
      <w:r w:rsidR="008A6B15" w:rsidRPr="00D45B1A">
        <w:t xml:space="preserve">osts </w:t>
      </w:r>
      <w:r w:rsidRPr="00D45B1A">
        <w:t xml:space="preserve">to </w:t>
      </w:r>
      <w:r w:rsidR="008A6B15">
        <w:t>m</w:t>
      </w:r>
      <w:r w:rsidR="008A6B15" w:rsidRPr="00D45B1A">
        <w:t xml:space="preserve">ental </w:t>
      </w:r>
      <w:r w:rsidR="008A6B15">
        <w:t>h</w:t>
      </w:r>
      <w:r w:rsidR="008A6B15" w:rsidRPr="00D45B1A">
        <w:t xml:space="preserve">ealth </w:t>
      </w:r>
      <w:r w:rsidR="008A6B15">
        <w:t>p</w:t>
      </w:r>
      <w:r w:rsidR="008A6B15" w:rsidRPr="00D45B1A">
        <w:t xml:space="preserve">atient </w:t>
      </w:r>
      <w:r w:rsidR="008A6B15">
        <w:t>a</w:t>
      </w:r>
      <w:r w:rsidR="008A6B15" w:rsidRPr="00D45B1A">
        <w:t>ctivity</w:t>
      </w:r>
      <w:r w:rsidRPr="00D45B1A">
        <w:t xml:space="preserve"> </w:t>
      </w:r>
    </w:p>
    <w:p w14:paraId="68D63D9B" w14:textId="3A6B7798" w:rsidR="00C27FB2" w:rsidRPr="00D45B1A" w:rsidRDefault="00C27FB2" w:rsidP="004738A8">
      <w:pPr>
        <w:pStyle w:val="Level3"/>
      </w:pPr>
      <w:r w:rsidRPr="00D45B1A">
        <w:t xml:space="preserve">Mental health patients will consume resources from other hospital departments, such as imaging, pathology, pharmacy, and allied health on their journey of care. The consumption of these resources </w:t>
      </w:r>
      <w:r w:rsidR="00992E92" w:rsidRPr="00D45B1A">
        <w:t>represents</w:t>
      </w:r>
      <w:r w:rsidRPr="00D45B1A">
        <w:t xml:space="preserve"> the production function of output.</w:t>
      </w:r>
    </w:p>
    <w:p w14:paraId="68D63D9C" w14:textId="1FA594EA" w:rsidR="00C27FB2" w:rsidRPr="00D45B1A" w:rsidRDefault="00C27FB2" w:rsidP="004738A8">
      <w:pPr>
        <w:pStyle w:val="Level3"/>
      </w:pPr>
      <w:r w:rsidRPr="00D45B1A">
        <w:t>Costing practitioners must ensure that services from other departments provided to mental health patients are matched appropriately to the encounter</w:t>
      </w:r>
      <w:r w:rsidR="00C76532">
        <w:t xml:space="preserve"> or </w:t>
      </w:r>
      <w:r w:rsidRPr="00D45B1A">
        <w:t xml:space="preserve">service event. </w:t>
      </w:r>
    </w:p>
    <w:p w14:paraId="68D63D9D" w14:textId="77777777" w:rsidR="00C27FB2" w:rsidRPr="00D45B1A" w:rsidRDefault="00C27FB2" w:rsidP="000B5336">
      <w:pPr>
        <w:pStyle w:val="Level3Heading"/>
      </w:pPr>
      <w:r w:rsidRPr="00D45B1A">
        <w:t>Step 8</w:t>
      </w:r>
      <w:r w:rsidR="00A01EA6">
        <w:t>:</w:t>
      </w:r>
      <w:r w:rsidRPr="00D45B1A">
        <w:t xml:space="preserve"> </w:t>
      </w:r>
      <w:r w:rsidR="008A6B15">
        <w:t>Report costs</w:t>
      </w:r>
    </w:p>
    <w:p w14:paraId="68D63D9E" w14:textId="77777777" w:rsidR="00C27FB2" w:rsidRPr="00D45B1A" w:rsidRDefault="00C27FB2" w:rsidP="004738A8">
      <w:pPr>
        <w:pStyle w:val="Level3"/>
      </w:pPr>
      <w:r w:rsidRPr="00D45B1A">
        <w:t xml:space="preserve">Costing practitioners should then perform the required steps to </w:t>
      </w:r>
      <w:r w:rsidR="00116978">
        <w:t xml:space="preserve">consolidate and report </w:t>
      </w:r>
      <w:r w:rsidRPr="00D45B1A">
        <w:t>costs of the mental health activity</w:t>
      </w:r>
    </w:p>
    <w:p w14:paraId="68D63D9F" w14:textId="77777777" w:rsidR="00C27FB2" w:rsidRPr="00D45B1A" w:rsidRDefault="00C27FB2" w:rsidP="004738A8">
      <w:pPr>
        <w:pStyle w:val="Level3"/>
      </w:pPr>
      <w:r w:rsidRPr="00D45B1A">
        <w:t xml:space="preserve">This data should be reported as per the relevant mental health counting rules (such as episode or phase of care level). </w:t>
      </w:r>
    </w:p>
    <w:p w14:paraId="68D63DA0" w14:textId="617FD9E0" w:rsidR="00C27FB2" w:rsidRPr="00D45B1A" w:rsidRDefault="00C27FB2" w:rsidP="004738A8">
      <w:pPr>
        <w:pStyle w:val="Level3"/>
      </w:pPr>
      <w:r w:rsidRPr="00D45B1A">
        <w:t>Some encounters may occur in more than one financial year. Costing practitioners should ensure that all cost</w:t>
      </w:r>
      <w:r w:rsidR="00992E92">
        <w:t>s</w:t>
      </w:r>
      <w:r w:rsidRPr="00D45B1A">
        <w:t xml:space="preserve"> are assigned and accumulated over periods for the complete encounter.</w:t>
      </w:r>
    </w:p>
    <w:p w14:paraId="68D63DA1" w14:textId="77777777" w:rsidR="00C27FB2" w:rsidRPr="00D45B1A" w:rsidRDefault="00C27FB2" w:rsidP="000B5336">
      <w:pPr>
        <w:pStyle w:val="Level3Heading"/>
      </w:pPr>
      <w:r w:rsidRPr="00D45B1A">
        <w:t>Step 9</w:t>
      </w:r>
      <w:r w:rsidR="00A01EA6">
        <w:t>:</w:t>
      </w:r>
      <w:r w:rsidRPr="00D45B1A">
        <w:t xml:space="preserve"> </w:t>
      </w:r>
      <w:r w:rsidR="008A6B15">
        <w:t>Cost data review with relevant stakeholders</w:t>
      </w:r>
      <w:r w:rsidRPr="00D45B1A">
        <w:t xml:space="preserve"> </w:t>
      </w:r>
    </w:p>
    <w:p w14:paraId="68D63DA2" w14:textId="6C703810" w:rsidR="00C27FB2" w:rsidRPr="00D45B1A" w:rsidRDefault="00C27FB2" w:rsidP="004738A8">
      <w:pPr>
        <w:pStyle w:val="Level3"/>
      </w:pPr>
      <w:r w:rsidRPr="00D45B1A">
        <w:t>Costing practitioners s</w:t>
      </w:r>
      <w:r w:rsidR="00762477">
        <w:t>hould meet with their relevant m</w:t>
      </w:r>
      <w:r w:rsidRPr="00D45B1A">
        <w:t xml:space="preserve">ental </w:t>
      </w:r>
      <w:r w:rsidR="00762477">
        <w:t>h</w:t>
      </w:r>
      <w:r w:rsidRPr="00D45B1A">
        <w:t>ealth stakeholders to report on the costs calculated.</w:t>
      </w:r>
    </w:p>
    <w:p w14:paraId="68D63DA3" w14:textId="77777777" w:rsidR="00C27FB2" w:rsidRPr="00D45B1A" w:rsidRDefault="00C27FB2" w:rsidP="004738A8">
      <w:pPr>
        <w:pStyle w:val="Level3"/>
      </w:pPr>
      <w:r w:rsidRPr="00D45B1A">
        <w:t>Cost data should be reviewed for amongst other checks cost relativity classification and resource completeness per service event to decipher if the cost data captures resources that have been provided at service event level.</w:t>
      </w:r>
    </w:p>
    <w:p w14:paraId="68D63DA4" w14:textId="77777777" w:rsidR="00C27FB2" w:rsidRPr="00D45B1A" w:rsidRDefault="00C27FB2" w:rsidP="00C27FB2">
      <w:pPr>
        <w:rPr>
          <w:rFonts w:cs="Arial"/>
        </w:rPr>
      </w:pPr>
      <w:r w:rsidRPr="00D45B1A">
        <w:rPr>
          <w:rFonts w:cs="Arial"/>
        </w:rPr>
        <w:br w:type="page"/>
      </w:r>
    </w:p>
    <w:p w14:paraId="68D63DA5" w14:textId="32EA6AC9" w:rsidR="00C27FB2" w:rsidRPr="00D45B1A" w:rsidRDefault="00C27FB2" w:rsidP="00D97D20">
      <w:pPr>
        <w:pStyle w:val="Heading2"/>
      </w:pPr>
      <w:bookmarkStart w:id="35" w:name="_Toc478631944"/>
      <w:bookmarkStart w:id="36" w:name="_Toc480492976"/>
      <w:bookmarkStart w:id="37" w:name="_Toc80778503"/>
      <w:r w:rsidRPr="00D45B1A">
        <w:lastRenderedPageBreak/>
        <w:t xml:space="preserve">Outreach and </w:t>
      </w:r>
      <w:r w:rsidR="00E867EF">
        <w:t>S</w:t>
      </w:r>
      <w:r w:rsidR="008A6B15" w:rsidRPr="00D45B1A">
        <w:t xml:space="preserve">pecialist </w:t>
      </w:r>
      <w:r w:rsidR="00E867EF">
        <w:t>S</w:t>
      </w:r>
      <w:r w:rsidR="008A6B15" w:rsidRPr="00D45B1A">
        <w:t>ervices</w:t>
      </w:r>
      <w:bookmarkEnd w:id="35"/>
      <w:bookmarkEnd w:id="36"/>
      <w:bookmarkEnd w:id="37"/>
    </w:p>
    <w:p w14:paraId="68D63DA6" w14:textId="77777777" w:rsidR="00C27FB2" w:rsidRPr="00D45B1A" w:rsidRDefault="00C27FB2" w:rsidP="00897CD3">
      <w:pPr>
        <w:pStyle w:val="Heading3"/>
      </w:pPr>
      <w:r w:rsidRPr="00D45B1A">
        <w:t>Scope</w:t>
      </w:r>
    </w:p>
    <w:p w14:paraId="68D63DA7" w14:textId="4001CECE" w:rsidR="00C27FB2" w:rsidRPr="00D45B1A" w:rsidRDefault="00C27FB2" w:rsidP="004738A8">
      <w:pPr>
        <w:pStyle w:val="Level3"/>
      </w:pPr>
      <w:r w:rsidRPr="00D45B1A">
        <w:t xml:space="preserve">This </w:t>
      </w:r>
      <w:r w:rsidR="00B63007">
        <w:t>guideline</w:t>
      </w:r>
      <w:r w:rsidRPr="00D45B1A">
        <w:t xml:space="preserve"> </w:t>
      </w:r>
      <w:r w:rsidR="00061CAC">
        <w:t>outlines an</w:t>
      </w:r>
      <w:r w:rsidRPr="00D45B1A">
        <w:t xml:space="preserve"> approach to cost community outreach and specialist services activit</w:t>
      </w:r>
      <w:r w:rsidR="00061CAC">
        <w:t>y</w:t>
      </w:r>
      <w:r w:rsidRPr="00D45B1A">
        <w:t>.</w:t>
      </w:r>
    </w:p>
    <w:p w14:paraId="68D63DA8" w14:textId="206779C6" w:rsidR="00C27FB2" w:rsidRPr="00D45B1A" w:rsidRDefault="00C27FB2" w:rsidP="004738A8">
      <w:pPr>
        <w:pStyle w:val="Level3"/>
      </w:pPr>
      <w:r w:rsidRPr="00D45B1A">
        <w:t xml:space="preserve">This </w:t>
      </w:r>
      <w:r w:rsidR="00B63007">
        <w:t>guideline</w:t>
      </w:r>
      <w:r w:rsidRPr="00D45B1A">
        <w:t xml:space="preserve"> also provides practical steps and examples to guide staff on the costing process for this activity.</w:t>
      </w:r>
    </w:p>
    <w:p w14:paraId="68D63DA9" w14:textId="77777777" w:rsidR="00C27FB2" w:rsidRPr="00D45B1A" w:rsidRDefault="00C27FB2" w:rsidP="00897CD3">
      <w:pPr>
        <w:pStyle w:val="Heading3"/>
      </w:pPr>
      <w:r w:rsidRPr="00D45B1A">
        <w:t>Objective</w:t>
      </w:r>
    </w:p>
    <w:p w14:paraId="68D63DAA" w14:textId="60CEE436" w:rsidR="00C27FB2" w:rsidRPr="00D45B1A" w:rsidRDefault="00C27FB2" w:rsidP="004738A8">
      <w:pPr>
        <w:pStyle w:val="Level3"/>
      </w:pPr>
      <w:r w:rsidRPr="00D45B1A">
        <w:t xml:space="preserve">The objective of this </w:t>
      </w:r>
      <w:r w:rsidR="00B63007">
        <w:t>guideline</w:t>
      </w:r>
      <w:r w:rsidRPr="00D45B1A">
        <w:t xml:space="preserve"> is to guide costing practitioners of the end to end steps required to identify and allocate expense associated with the provision of community outreach and specialist services to related products.</w:t>
      </w:r>
    </w:p>
    <w:p w14:paraId="68D63DAB" w14:textId="7C15C467" w:rsidR="00C27FB2" w:rsidRPr="00D45B1A" w:rsidRDefault="00B63007" w:rsidP="00897CD3">
      <w:pPr>
        <w:pStyle w:val="Heading3"/>
      </w:pPr>
      <w:r>
        <w:t xml:space="preserve">Costing </w:t>
      </w:r>
      <w:r w:rsidR="00952713">
        <w:t>G</w:t>
      </w:r>
      <w:r>
        <w:t>uideline</w:t>
      </w:r>
    </w:p>
    <w:p w14:paraId="68D63DAC" w14:textId="77777777" w:rsidR="00C27FB2" w:rsidRPr="00D45B1A" w:rsidRDefault="00C27FB2" w:rsidP="004738A8">
      <w:pPr>
        <w:pStyle w:val="Level3"/>
      </w:pPr>
      <w:r w:rsidRPr="00D45B1A">
        <w:t>Outreach services involve travel by the service provider, or services provided by a service provider via ICT (including but not limited to telephone and telehealth consultations). Such services may also be provided in the home, place of work or other non-hospital site. Generally, outreach and specialist services provided by a hospital may include:</w:t>
      </w:r>
    </w:p>
    <w:p w14:paraId="799100F6" w14:textId="77777777" w:rsidR="00422677" w:rsidRPr="00D45B1A" w:rsidRDefault="00422677" w:rsidP="00A27C5B">
      <w:pPr>
        <w:pStyle w:val="ListBullet"/>
        <w:spacing w:after="120"/>
      </w:pPr>
      <w:r>
        <w:t>c</w:t>
      </w:r>
      <w:r w:rsidRPr="00D45B1A">
        <w:t>ommunity based palliative care</w:t>
      </w:r>
    </w:p>
    <w:p w14:paraId="61E509C9" w14:textId="2E4EA721" w:rsidR="00422677" w:rsidRPr="00D45B1A" w:rsidRDefault="00422677" w:rsidP="00A27C5B">
      <w:pPr>
        <w:pStyle w:val="ListBullet"/>
        <w:spacing w:after="120"/>
      </w:pPr>
      <w:r>
        <w:t>c</w:t>
      </w:r>
      <w:r w:rsidRPr="00D45B1A">
        <w:t>ommunity social work</w:t>
      </w:r>
      <w:r w:rsidR="00C76532">
        <w:t xml:space="preserve"> or </w:t>
      </w:r>
      <w:r w:rsidRPr="00D45B1A">
        <w:t>counselling</w:t>
      </w:r>
    </w:p>
    <w:p w14:paraId="68D63DAD" w14:textId="135324E5" w:rsidR="00C27FB2" w:rsidRPr="00D45B1A" w:rsidRDefault="00422677" w:rsidP="00A27C5B">
      <w:pPr>
        <w:pStyle w:val="ListBullet"/>
        <w:spacing w:after="120"/>
      </w:pPr>
      <w:r>
        <w:t>d</w:t>
      </w:r>
      <w:r w:rsidR="00A773DC">
        <w:t>istrict and home nursing</w:t>
      </w:r>
    </w:p>
    <w:p w14:paraId="3A14B274" w14:textId="77777777" w:rsidR="00422677" w:rsidRPr="00D45B1A" w:rsidRDefault="00422677" w:rsidP="00A27C5B">
      <w:pPr>
        <w:pStyle w:val="ListBullet"/>
        <w:spacing w:after="120"/>
      </w:pPr>
      <w:r>
        <w:t>e</w:t>
      </w:r>
      <w:r w:rsidRPr="00D45B1A">
        <w:t>arly childhood intervention programs</w:t>
      </w:r>
    </w:p>
    <w:p w14:paraId="6C01DA49" w14:textId="77777777" w:rsidR="00422677" w:rsidRPr="00D45B1A" w:rsidRDefault="00422677" w:rsidP="00A27C5B">
      <w:pPr>
        <w:pStyle w:val="ListBullet"/>
        <w:spacing w:after="120"/>
      </w:pPr>
      <w:r>
        <w:t>genetic counselling services</w:t>
      </w:r>
    </w:p>
    <w:p w14:paraId="144C97AD" w14:textId="77777777" w:rsidR="00422677" w:rsidRPr="00D45B1A" w:rsidRDefault="00422677" w:rsidP="00A27C5B">
      <w:pPr>
        <w:pStyle w:val="ListBullet"/>
        <w:spacing w:after="120"/>
      </w:pPr>
      <w:r>
        <w:t>home, personal, or respite care</w:t>
      </w:r>
    </w:p>
    <w:p w14:paraId="6DF4D5B1" w14:textId="77777777" w:rsidR="00422677" w:rsidRPr="00D45B1A" w:rsidRDefault="00422677" w:rsidP="00A27C5B">
      <w:pPr>
        <w:pStyle w:val="ListBullet"/>
        <w:spacing w:after="120"/>
      </w:pPr>
      <w:r>
        <w:t>m</w:t>
      </w:r>
      <w:r w:rsidRPr="00D45B1A">
        <w:t>aternal and child health programs</w:t>
      </w:r>
    </w:p>
    <w:p w14:paraId="504FD1AD" w14:textId="77777777" w:rsidR="00422677" w:rsidRPr="00D45B1A" w:rsidRDefault="00422677" w:rsidP="00A27C5B">
      <w:pPr>
        <w:pStyle w:val="ListBullet"/>
        <w:spacing w:after="120"/>
      </w:pPr>
      <w:r>
        <w:t>meals on wheels</w:t>
      </w:r>
    </w:p>
    <w:p w14:paraId="68D63DAE" w14:textId="1E0F9746" w:rsidR="00C27FB2" w:rsidRPr="00D45B1A" w:rsidRDefault="00422677" w:rsidP="00A27C5B">
      <w:pPr>
        <w:pStyle w:val="ListBullet"/>
        <w:spacing w:after="120"/>
      </w:pPr>
      <w:r>
        <w:t>n</w:t>
      </w:r>
      <w:r w:rsidR="00C27FB2" w:rsidRPr="00D45B1A">
        <w:t xml:space="preserve">eedle and </w:t>
      </w:r>
      <w:r>
        <w:t>s</w:t>
      </w:r>
      <w:r w:rsidR="00C27FB2" w:rsidRPr="00D45B1A">
        <w:t>yringe programs</w:t>
      </w:r>
    </w:p>
    <w:p w14:paraId="68D63DB0" w14:textId="52BA5A66" w:rsidR="00C27FB2" w:rsidRPr="00D45B1A" w:rsidRDefault="00422677" w:rsidP="00A27C5B">
      <w:pPr>
        <w:pStyle w:val="ListBullet"/>
        <w:spacing w:after="120"/>
      </w:pPr>
      <w:r>
        <w:t>p</w:t>
      </w:r>
      <w:r w:rsidR="00A773DC">
        <w:t>ost-acute care programs</w:t>
      </w:r>
      <w:r>
        <w:t>.</w:t>
      </w:r>
    </w:p>
    <w:p w14:paraId="68D63DB7" w14:textId="1A6E79D4" w:rsidR="00C27FB2" w:rsidRPr="00D45B1A" w:rsidRDefault="00C27FB2" w:rsidP="004738A8">
      <w:pPr>
        <w:pStyle w:val="Level3"/>
      </w:pPr>
      <w:r w:rsidRPr="00D45B1A">
        <w:t>It is important to note that for the purpose of national reporting, some s</w:t>
      </w:r>
      <w:r w:rsidR="00422677">
        <w:t>ervices excluded from scope of o</w:t>
      </w:r>
      <w:r w:rsidRPr="00D45B1A">
        <w:t xml:space="preserve">utpatient care (METeOR: 584108). To ensure correct alignment between expenses and products, these rules should be understood and reflected in how expenses are matched with different products. Specifically, non-admitted products exclude service events which deliver non-clinical care, </w:t>
      </w:r>
      <w:r w:rsidR="00C76532">
        <w:t xml:space="preserve">for example, </w:t>
      </w:r>
      <w:r w:rsidRPr="00D45B1A">
        <w:t>activities such as home cleaning, meals on wheels or home maintenance.</w:t>
      </w:r>
    </w:p>
    <w:p w14:paraId="68D63DB8" w14:textId="77777777" w:rsidR="00C27FB2" w:rsidRPr="00D45B1A" w:rsidRDefault="00C27FB2" w:rsidP="000B5336">
      <w:pPr>
        <w:pStyle w:val="Level3Heading"/>
      </w:pPr>
      <w:r w:rsidRPr="00D45B1A">
        <w:t>Step 1</w:t>
      </w:r>
      <w:r w:rsidR="00A01EA6">
        <w:t>:</w:t>
      </w:r>
      <w:r w:rsidRPr="00D45B1A">
        <w:t xml:space="preserve"> Identify scope of activities and stakeholders</w:t>
      </w:r>
    </w:p>
    <w:p w14:paraId="68D63DB9" w14:textId="00F2B4E8" w:rsidR="00C27FB2" w:rsidRPr="00D45B1A" w:rsidRDefault="00C27FB2" w:rsidP="004738A8">
      <w:pPr>
        <w:pStyle w:val="Level3"/>
      </w:pPr>
      <w:r w:rsidRPr="00D45B1A">
        <w:t>Costing practitioners should meet with the appropriate stakeholders within the hospital to identify both the expense and activi</w:t>
      </w:r>
      <w:r w:rsidR="00422677">
        <w:t>ty related to the provision of c</w:t>
      </w:r>
      <w:r w:rsidRPr="00D45B1A">
        <w:t xml:space="preserve">ommunity </w:t>
      </w:r>
      <w:r w:rsidR="00422677">
        <w:t>o</w:t>
      </w:r>
      <w:r w:rsidRPr="00D45B1A">
        <w:t xml:space="preserve">utreach and </w:t>
      </w:r>
      <w:r w:rsidR="00422677">
        <w:t>s</w:t>
      </w:r>
      <w:r w:rsidRPr="00D45B1A">
        <w:t xml:space="preserve">pecialist </w:t>
      </w:r>
      <w:r w:rsidR="00422677">
        <w:t>s</w:t>
      </w:r>
      <w:r w:rsidRPr="00D45B1A">
        <w:t>ervices.</w:t>
      </w:r>
    </w:p>
    <w:p w14:paraId="68D63DBA" w14:textId="3905BD08" w:rsidR="00C27FB2" w:rsidRPr="00D45B1A" w:rsidRDefault="00C27FB2" w:rsidP="004738A8">
      <w:pPr>
        <w:pStyle w:val="Level3"/>
      </w:pPr>
      <w:r w:rsidRPr="00D45B1A">
        <w:t xml:space="preserve">The general ledger will provide a useful guide to establish if discreet cost centres exist for community outreach and specialist services. Costing practitioners will need to establish which programs are provided, and the staff member responsible for managing the budgets or cost centres of </w:t>
      </w:r>
      <w:r w:rsidRPr="00D45B1A">
        <w:lastRenderedPageBreak/>
        <w:t xml:space="preserve">these programs. This information will be available </w:t>
      </w:r>
      <w:r w:rsidR="008A2B19">
        <w:t>from the Finance d</w:t>
      </w:r>
      <w:r w:rsidRPr="00D45B1A">
        <w:t xml:space="preserve">epartment. </w:t>
      </w:r>
    </w:p>
    <w:p w14:paraId="68D63DBB" w14:textId="1B446F84" w:rsidR="00C27FB2" w:rsidRPr="00D45B1A" w:rsidRDefault="00C27FB2" w:rsidP="004738A8">
      <w:pPr>
        <w:pStyle w:val="Level3"/>
      </w:pPr>
      <w:r w:rsidRPr="00D45B1A">
        <w:t>Stakeholders that s</w:t>
      </w:r>
      <w:r w:rsidR="00422677">
        <w:t>hould be consulted include the d</w:t>
      </w:r>
      <w:r w:rsidRPr="00D45B1A">
        <w:t xml:space="preserve">irectors of </w:t>
      </w:r>
      <w:r w:rsidR="00422677">
        <w:t>n</w:t>
      </w:r>
      <w:r w:rsidRPr="00D45B1A">
        <w:t xml:space="preserve">ursing and </w:t>
      </w:r>
      <w:r w:rsidR="00422677">
        <w:t>a</w:t>
      </w:r>
      <w:r w:rsidRPr="00D45B1A">
        <w:t xml:space="preserve">llied </w:t>
      </w:r>
      <w:r w:rsidR="00422677">
        <w:t>h</w:t>
      </w:r>
      <w:r w:rsidRPr="00D45B1A">
        <w:t xml:space="preserve">ealth. The agenda of this meeting should include a request </w:t>
      </w:r>
      <w:r w:rsidR="00422677">
        <w:t>for information of the various o</w:t>
      </w:r>
      <w:r w:rsidRPr="00D45B1A">
        <w:t xml:space="preserve">utreach and </w:t>
      </w:r>
      <w:r w:rsidR="00422677">
        <w:t>s</w:t>
      </w:r>
      <w:r w:rsidRPr="00D45B1A">
        <w:t xml:space="preserve">pecialist </w:t>
      </w:r>
      <w:r w:rsidR="00422677">
        <w:t>s</w:t>
      </w:r>
      <w:r w:rsidRPr="00D45B1A">
        <w:t>ervices provided; the availability of data (</w:t>
      </w:r>
      <w:r w:rsidR="009236A1">
        <w:t>for example</w:t>
      </w:r>
      <w:r w:rsidRPr="00D45B1A">
        <w:t xml:space="preserve">, patient contact or occasion of services) for the services; and the expense associated with these services. </w:t>
      </w:r>
    </w:p>
    <w:p w14:paraId="68D63DBC" w14:textId="4B5A69EC" w:rsidR="00C27FB2" w:rsidRPr="00D45B1A" w:rsidRDefault="00C27FB2" w:rsidP="004738A8">
      <w:pPr>
        <w:pStyle w:val="Level3"/>
      </w:pPr>
      <w:r w:rsidRPr="00D45B1A">
        <w:t xml:space="preserve">Costing practitioners must be aware that expenses associated with these services </w:t>
      </w:r>
      <w:r w:rsidR="00422677">
        <w:t>may not reside within discrete o</w:t>
      </w:r>
      <w:r w:rsidRPr="00D45B1A">
        <w:t xml:space="preserve">utreach and </w:t>
      </w:r>
      <w:r w:rsidR="00422677">
        <w:t>s</w:t>
      </w:r>
      <w:r w:rsidRPr="00D45B1A">
        <w:t xml:space="preserve">pecialist </w:t>
      </w:r>
      <w:r w:rsidR="00422677">
        <w:t>s</w:t>
      </w:r>
      <w:r w:rsidRPr="00D45B1A">
        <w:t xml:space="preserve">ervices cost centres. For example, a social worker may be paid from the social work cost centre, but rostered to provide community based counselling services one day per week. The costing practitioner will need to seek this information from the stakeholders. </w:t>
      </w:r>
    </w:p>
    <w:p w14:paraId="68D63DBD" w14:textId="77777777" w:rsidR="00C27FB2" w:rsidRPr="00D45B1A" w:rsidRDefault="00C27FB2" w:rsidP="004738A8">
      <w:pPr>
        <w:pStyle w:val="Level3"/>
      </w:pPr>
      <w:r w:rsidRPr="00D45B1A">
        <w:t>Where staff are based in a particular hospital/establishment and provide outreach across a number of locations, their expenses should be reported against the location where the activity is provided. This ensures compliance with the fundamental principal of matching expense with activity.</w:t>
      </w:r>
    </w:p>
    <w:p w14:paraId="68D63DBE" w14:textId="77777777" w:rsidR="00C27FB2" w:rsidRPr="00D45B1A" w:rsidRDefault="00C27FB2" w:rsidP="000B5336">
      <w:pPr>
        <w:pStyle w:val="Level3Heading"/>
      </w:pPr>
      <w:r w:rsidRPr="00D45B1A">
        <w:t>Step 2</w:t>
      </w:r>
      <w:r w:rsidR="00A01EA6">
        <w:t>:</w:t>
      </w:r>
      <w:r w:rsidRPr="00D45B1A">
        <w:t xml:space="preserve"> </w:t>
      </w:r>
      <w:r w:rsidR="00D05D7A">
        <w:t>Align expense to the outreach and specialist service department, and define overhead and direct expenses, including overhead allocation methods</w:t>
      </w:r>
    </w:p>
    <w:p w14:paraId="68D63DBF" w14:textId="58FCAD43" w:rsidR="00C27FB2" w:rsidRPr="00D45B1A" w:rsidRDefault="00C27FB2" w:rsidP="004738A8">
      <w:pPr>
        <w:pStyle w:val="Level3"/>
      </w:pPr>
      <w:r w:rsidRPr="00D45B1A">
        <w:t xml:space="preserve">Costing practitioners should work with stakeholders to identify the expense within the </w:t>
      </w:r>
      <w:r w:rsidR="00422677">
        <w:t>o</w:t>
      </w:r>
      <w:r w:rsidRPr="00D45B1A">
        <w:t>u</w:t>
      </w:r>
      <w:r w:rsidR="008A2B19">
        <w:t xml:space="preserve">treach and </w:t>
      </w:r>
      <w:r w:rsidR="00422677">
        <w:t>s</w:t>
      </w:r>
      <w:r w:rsidR="008A2B19">
        <w:t xml:space="preserve">pecialist </w:t>
      </w:r>
      <w:r w:rsidR="00422677">
        <w:t>s</w:t>
      </w:r>
      <w:r w:rsidR="008A2B19">
        <w:t>ervices d</w:t>
      </w:r>
      <w:r w:rsidRPr="00D45B1A">
        <w:t xml:space="preserve">epartments. This includes obtaining agreement on the cost centre/s to map to the </w:t>
      </w:r>
      <w:r w:rsidR="00422677">
        <w:t>o</w:t>
      </w:r>
      <w:r w:rsidRPr="00D45B1A">
        <w:t xml:space="preserve">utreach and </w:t>
      </w:r>
      <w:r w:rsidR="00422677">
        <w:t>s</w:t>
      </w:r>
      <w:r w:rsidRPr="00D45B1A">
        <w:t xml:space="preserve">pecialist </w:t>
      </w:r>
      <w:r w:rsidR="00422677">
        <w:t>s</w:t>
      </w:r>
      <w:r w:rsidRPr="00D45B1A">
        <w:t xml:space="preserve">ervices </w:t>
      </w:r>
      <w:r w:rsidR="00422677">
        <w:t>d</w:t>
      </w:r>
      <w:r w:rsidRPr="00D45B1A">
        <w:t xml:space="preserve">epartments for costing purposes in the costing software. </w:t>
      </w:r>
    </w:p>
    <w:p w14:paraId="68D63DC0" w14:textId="312EF5B8" w:rsidR="00C27FB2" w:rsidRPr="00D45B1A" w:rsidRDefault="00C27FB2" w:rsidP="004738A8">
      <w:pPr>
        <w:pStyle w:val="Level3"/>
      </w:pPr>
      <w:r w:rsidRPr="00D45B1A">
        <w:t>Usually, these expenses will eventuall</w:t>
      </w:r>
      <w:r w:rsidR="00FE2A9F">
        <w:t>y map in the costing system to c</w:t>
      </w:r>
      <w:r w:rsidR="008A2B19">
        <w:t xml:space="preserve">ommunity </w:t>
      </w:r>
      <w:r w:rsidR="00FE2A9F">
        <w:t>o</w:t>
      </w:r>
      <w:r w:rsidR="008A2B19">
        <w:t xml:space="preserve">utreach or </w:t>
      </w:r>
      <w:r w:rsidR="00FE2A9F">
        <w:t>o</w:t>
      </w:r>
      <w:r w:rsidR="008A2B19">
        <w:t xml:space="preserve">ther </w:t>
      </w:r>
      <w:r w:rsidR="00FE2A9F">
        <w:t>n</w:t>
      </w:r>
      <w:r w:rsidR="008A2B19">
        <w:t>on-a</w:t>
      </w:r>
      <w:r w:rsidRPr="00D45B1A">
        <w:t>dmitted products. Care should be taken to ensure expense for outreach service that that are also excluded for non-admitted products are correctly matched to community outreach or as appropriate.</w:t>
      </w:r>
    </w:p>
    <w:p w14:paraId="68D63DC1" w14:textId="0F8A4FB9" w:rsidR="00C27FB2" w:rsidRPr="00D45B1A" w:rsidRDefault="00C27FB2" w:rsidP="004738A8">
      <w:pPr>
        <w:pStyle w:val="Level3"/>
      </w:pPr>
      <w:r w:rsidRPr="00A27C5B">
        <w:t xml:space="preserve">Align </w:t>
      </w:r>
      <w:r w:rsidR="00FE2A9F" w:rsidRPr="00A27C5B">
        <w:t>e</w:t>
      </w:r>
      <w:r w:rsidRPr="00A27C5B">
        <w:t xml:space="preserve">xpense to </w:t>
      </w:r>
      <w:r w:rsidR="00FE2A9F" w:rsidRPr="00A27C5B">
        <w:t>f</w:t>
      </w:r>
      <w:r w:rsidRPr="00A27C5B">
        <w:t>inal cost centres</w:t>
      </w:r>
      <w:r w:rsidRPr="00D45B1A">
        <w:rPr>
          <w:i/>
        </w:rPr>
        <w:t xml:space="preserve"> – </w:t>
      </w:r>
      <w:r w:rsidR="00422677">
        <w:t>w</w:t>
      </w:r>
      <w:r w:rsidRPr="00D45B1A">
        <w:t>here the general ledger</w:t>
      </w:r>
      <w:r w:rsidR="00FE2A9F">
        <w:t xml:space="preserve"> has consolidated expenses for o</w:t>
      </w:r>
      <w:r w:rsidRPr="00D45B1A">
        <w:t xml:space="preserve">utreach and </w:t>
      </w:r>
      <w:r w:rsidR="00FE2A9F">
        <w:t>s</w:t>
      </w:r>
      <w:r w:rsidRPr="00D45B1A">
        <w:t xml:space="preserve">pecialist </w:t>
      </w:r>
      <w:r w:rsidR="00FE2A9F">
        <w:t>s</w:t>
      </w:r>
      <w:r w:rsidRPr="00D45B1A">
        <w:t>ervices within oth</w:t>
      </w:r>
      <w:r w:rsidR="00FE2A9F">
        <w:t>er cost centres (for example, social w</w:t>
      </w:r>
      <w:r w:rsidRPr="00D45B1A">
        <w:t xml:space="preserve">ork), costing practitioners should work with the stakeholders to develop an appropriate method to transfer expenses to the </w:t>
      </w:r>
      <w:r w:rsidR="00FE2A9F">
        <w:t>o</w:t>
      </w:r>
      <w:r w:rsidRPr="00D45B1A">
        <w:t xml:space="preserve">utreach and </w:t>
      </w:r>
      <w:r w:rsidR="00FE2A9F">
        <w:t>s</w:t>
      </w:r>
      <w:r w:rsidRPr="00D45B1A">
        <w:t xml:space="preserve">pecialist </w:t>
      </w:r>
      <w:r w:rsidR="00FE2A9F">
        <w:t>s</w:t>
      </w:r>
      <w:r w:rsidRPr="00D45B1A">
        <w:t>ervices related products.</w:t>
      </w:r>
    </w:p>
    <w:p w14:paraId="68D63DC2" w14:textId="211EAC3E" w:rsidR="00C27FB2" w:rsidRPr="00D45B1A" w:rsidRDefault="00C27FB2" w:rsidP="004738A8">
      <w:pPr>
        <w:pStyle w:val="Level3"/>
      </w:pPr>
      <w:r w:rsidRPr="00D45B1A">
        <w:t>Using stakeholder insights, expenses need to</w:t>
      </w:r>
      <w:r w:rsidR="00FE2A9F">
        <w:t xml:space="preserve"> be appropriately moved to the o</w:t>
      </w:r>
      <w:r w:rsidRPr="00D45B1A">
        <w:t xml:space="preserve">utreach and </w:t>
      </w:r>
      <w:r w:rsidR="00FE2A9F">
        <w:t>s</w:t>
      </w:r>
      <w:r w:rsidRPr="00D45B1A">
        <w:t xml:space="preserve">pecialist </w:t>
      </w:r>
      <w:r w:rsidR="00FE2A9F">
        <w:t>s</w:t>
      </w:r>
      <w:r w:rsidRPr="00D45B1A">
        <w:t xml:space="preserve">ervices final cost centre. </w:t>
      </w:r>
    </w:p>
    <w:p w14:paraId="68D63DC3" w14:textId="56D55A5C" w:rsidR="00C27FB2" w:rsidRPr="00D45B1A" w:rsidRDefault="00C27FB2" w:rsidP="004738A8">
      <w:pPr>
        <w:pStyle w:val="Level3"/>
      </w:pPr>
      <w:r w:rsidRPr="00D45B1A">
        <w:t xml:space="preserve">Any stakeholder insights and decision made </w:t>
      </w:r>
      <w:r w:rsidR="00422677">
        <w:t>to movement of expenses to the outreach and specialist s</w:t>
      </w:r>
      <w:r w:rsidRPr="00D45B1A">
        <w:t>ervices final cost centre need to be documented, including the:</w:t>
      </w:r>
    </w:p>
    <w:p w14:paraId="68D63DC4" w14:textId="7EEBF8AB" w:rsidR="00C27FB2" w:rsidRPr="00D45B1A" w:rsidRDefault="00C27FB2" w:rsidP="007C6433">
      <w:pPr>
        <w:pStyle w:val="ListBullet"/>
      </w:pPr>
      <w:r w:rsidRPr="00D45B1A">
        <w:t xml:space="preserve">classification of </w:t>
      </w:r>
      <w:r w:rsidR="00FE2A9F">
        <w:t>o</w:t>
      </w:r>
      <w:r w:rsidRPr="00D45B1A">
        <w:t xml:space="preserve">utreach and </w:t>
      </w:r>
      <w:r w:rsidR="00FE2A9F">
        <w:t>s</w:t>
      </w:r>
      <w:r w:rsidRPr="00D45B1A">
        <w:t xml:space="preserve">pecialist </w:t>
      </w:r>
      <w:r w:rsidR="00FE2A9F">
        <w:t>s</w:t>
      </w:r>
      <w:r w:rsidRPr="00D45B1A">
        <w:t xml:space="preserve">ervices expenses into the </w:t>
      </w:r>
      <w:r w:rsidR="00FE2A9F">
        <w:t>o</w:t>
      </w:r>
      <w:r w:rsidRPr="00D45B1A">
        <w:t xml:space="preserve">utreach and </w:t>
      </w:r>
      <w:r w:rsidR="00FE2A9F">
        <w:t>s</w:t>
      </w:r>
      <w:r w:rsidRPr="00D45B1A">
        <w:t xml:space="preserve">pecialist </w:t>
      </w:r>
      <w:r w:rsidR="00FE2A9F">
        <w:t>s</w:t>
      </w:r>
      <w:r w:rsidRPr="00D45B1A">
        <w:t xml:space="preserve">ervices final cost centres </w:t>
      </w:r>
    </w:p>
    <w:p w14:paraId="68D63DC5" w14:textId="4E984C9F" w:rsidR="00C27FB2" w:rsidRPr="00D45B1A" w:rsidRDefault="00C27FB2" w:rsidP="007C6433">
      <w:pPr>
        <w:pStyle w:val="ListBullet"/>
      </w:pPr>
      <w:r w:rsidRPr="00D45B1A">
        <w:t xml:space="preserve">stakeholder/s who were consulted </w:t>
      </w:r>
    </w:p>
    <w:p w14:paraId="68D63DC6" w14:textId="049D487B" w:rsidR="00C27FB2" w:rsidRPr="00D45B1A" w:rsidRDefault="00A773DC" w:rsidP="007C6433">
      <w:pPr>
        <w:pStyle w:val="ListBullet"/>
      </w:pPr>
      <w:r>
        <w:t>date of the meeting/s</w:t>
      </w:r>
    </w:p>
    <w:p w14:paraId="68D63DC7" w14:textId="32B35828" w:rsidR="00C27FB2" w:rsidRDefault="00C27FB2" w:rsidP="007C6433">
      <w:pPr>
        <w:pStyle w:val="ListBullet"/>
      </w:pPr>
      <w:r w:rsidRPr="00D45B1A">
        <w:t xml:space="preserve">date for future review of </w:t>
      </w:r>
      <w:r w:rsidR="00FE2A9F">
        <w:t>o</w:t>
      </w:r>
      <w:r w:rsidRPr="00D45B1A">
        <w:t xml:space="preserve">utreach and </w:t>
      </w:r>
      <w:r w:rsidR="00FE2A9F">
        <w:t>s</w:t>
      </w:r>
      <w:r w:rsidRPr="00D45B1A">
        <w:t xml:space="preserve">pecialist </w:t>
      </w:r>
      <w:r w:rsidR="00FE2A9F">
        <w:t>s</w:t>
      </w:r>
      <w:r w:rsidRPr="00D45B1A">
        <w:t>ervices expenses alignment.</w:t>
      </w:r>
    </w:p>
    <w:p w14:paraId="1FA0B67C" w14:textId="5386C044" w:rsidR="00E867EF" w:rsidRDefault="00E867EF" w:rsidP="00927F40">
      <w:pPr>
        <w:pStyle w:val="ListBullet"/>
        <w:numPr>
          <w:ilvl w:val="0"/>
          <w:numId w:val="0"/>
        </w:numPr>
        <w:ind w:left="2552" w:hanging="284"/>
      </w:pPr>
    </w:p>
    <w:p w14:paraId="738ACE23" w14:textId="77777777" w:rsidR="00E867EF" w:rsidRPr="00D45B1A" w:rsidRDefault="00E867EF" w:rsidP="00927F40">
      <w:pPr>
        <w:pStyle w:val="ListBullet"/>
        <w:numPr>
          <w:ilvl w:val="0"/>
          <w:numId w:val="0"/>
        </w:numPr>
        <w:ind w:left="2552" w:hanging="284"/>
      </w:pPr>
    </w:p>
    <w:p w14:paraId="68D63DC8" w14:textId="77777777" w:rsidR="00C27FB2" w:rsidRPr="00D45B1A" w:rsidRDefault="00C27FB2" w:rsidP="000B5336">
      <w:pPr>
        <w:pStyle w:val="Level3Heading"/>
      </w:pPr>
      <w:r w:rsidRPr="00D45B1A">
        <w:lastRenderedPageBreak/>
        <w:t>Step 3</w:t>
      </w:r>
      <w:r w:rsidR="00A01EA6">
        <w:t>:</w:t>
      </w:r>
      <w:r w:rsidRPr="00D45B1A">
        <w:t xml:space="preserve"> Identify </w:t>
      </w:r>
      <w:r w:rsidR="00D05D7A">
        <w:t>o</w:t>
      </w:r>
      <w:r w:rsidRPr="00D45B1A">
        <w:t xml:space="preserve">utreach and </w:t>
      </w:r>
      <w:r w:rsidR="00D05D7A">
        <w:t>s</w:t>
      </w:r>
      <w:r w:rsidR="00D05D7A" w:rsidRPr="00D45B1A">
        <w:t xml:space="preserve">pecialist </w:t>
      </w:r>
      <w:r w:rsidR="00D05D7A">
        <w:t>s</w:t>
      </w:r>
      <w:r w:rsidR="00D05D7A" w:rsidRPr="00D45B1A">
        <w:t xml:space="preserve">ervice </w:t>
      </w:r>
      <w:r w:rsidR="00D05D7A">
        <w:t>a</w:t>
      </w:r>
      <w:r w:rsidR="00D05D7A" w:rsidRPr="00D45B1A">
        <w:t xml:space="preserve">ctivity </w:t>
      </w:r>
      <w:r w:rsidRPr="00D45B1A">
        <w:t xml:space="preserve">and </w:t>
      </w:r>
      <w:r w:rsidR="00D05D7A">
        <w:t>f</w:t>
      </w:r>
      <w:r w:rsidRPr="00D45B1A">
        <w:t xml:space="preserve">eeder </w:t>
      </w:r>
      <w:r w:rsidR="00D05D7A">
        <w:t>d</w:t>
      </w:r>
      <w:r w:rsidR="00D05D7A" w:rsidRPr="00D45B1A">
        <w:t xml:space="preserve">ata </w:t>
      </w:r>
      <w:r w:rsidRPr="00D45B1A">
        <w:t xml:space="preserve">and </w:t>
      </w:r>
      <w:r w:rsidR="00D05D7A">
        <w:t>p</w:t>
      </w:r>
      <w:r w:rsidR="00D05D7A" w:rsidRPr="00D45B1A">
        <w:t xml:space="preserve">erform </w:t>
      </w:r>
      <w:r w:rsidR="00D05D7A">
        <w:t>q</w:t>
      </w:r>
      <w:r w:rsidR="00D05D7A" w:rsidRPr="00D45B1A">
        <w:t xml:space="preserve">uality </w:t>
      </w:r>
      <w:r w:rsidR="00D05D7A">
        <w:t>a</w:t>
      </w:r>
      <w:r w:rsidR="00D05D7A" w:rsidRPr="00D45B1A">
        <w:t xml:space="preserve">ssurance </w:t>
      </w:r>
      <w:r w:rsidR="00D05D7A">
        <w:t>c</w:t>
      </w:r>
      <w:r w:rsidR="00D05D7A" w:rsidRPr="00D45B1A">
        <w:t>hecks</w:t>
      </w:r>
      <w:r w:rsidRPr="00D45B1A">
        <w:t xml:space="preserve"> </w:t>
      </w:r>
    </w:p>
    <w:p w14:paraId="68D63DC9" w14:textId="77777777" w:rsidR="00C27FB2" w:rsidRPr="00D45B1A" w:rsidRDefault="00C27FB2" w:rsidP="004738A8">
      <w:pPr>
        <w:pStyle w:val="Level3"/>
      </w:pPr>
      <w:r w:rsidRPr="00D45B1A">
        <w:t>The maturity of information systems that collect outreach and specialist services are generally not as developed when compared to other hospital information systems.</w:t>
      </w:r>
    </w:p>
    <w:p w14:paraId="68D63DCA" w14:textId="77777777" w:rsidR="00C27FB2" w:rsidRPr="00D45B1A" w:rsidRDefault="00C27FB2" w:rsidP="004738A8">
      <w:pPr>
        <w:pStyle w:val="Level3"/>
      </w:pPr>
      <w:r w:rsidRPr="00D45B1A">
        <w:t>It is important that where patient level data is captured, such as that provided in the national non-admitted care data collection, that this should also be incorporated into the costing system.</w:t>
      </w:r>
    </w:p>
    <w:p w14:paraId="68D63DCB" w14:textId="77777777" w:rsidR="00C27FB2" w:rsidRPr="00D45B1A" w:rsidRDefault="00C27FB2" w:rsidP="004738A8">
      <w:pPr>
        <w:pStyle w:val="Level3"/>
      </w:pPr>
      <w:r w:rsidRPr="00D45B1A">
        <w:t xml:space="preserve">Ideally, information systems should provide patient details such as the number of patient/client contacts or occasions of service to assist with costing. </w:t>
      </w:r>
    </w:p>
    <w:p w14:paraId="68D63DCC" w14:textId="77777777" w:rsidR="00C27FB2" w:rsidRPr="00D45B1A" w:rsidRDefault="00C27FB2" w:rsidP="000B5336">
      <w:pPr>
        <w:pStyle w:val="Level3Heading"/>
      </w:pPr>
      <w:r w:rsidRPr="00D45B1A">
        <w:t>Step 4</w:t>
      </w:r>
      <w:r w:rsidR="00A01EA6">
        <w:t>:</w:t>
      </w:r>
      <w:r w:rsidRPr="00D45B1A">
        <w:t xml:space="preserve"> Creating and </w:t>
      </w:r>
      <w:r w:rsidR="00D05D7A">
        <w:t>m</w:t>
      </w:r>
      <w:r w:rsidRPr="00D45B1A">
        <w:t xml:space="preserve">apping </w:t>
      </w:r>
      <w:r w:rsidR="00D05D7A">
        <w:t>o</w:t>
      </w:r>
      <w:r w:rsidR="00D05D7A" w:rsidRPr="00D45B1A">
        <w:t xml:space="preserve">utreach </w:t>
      </w:r>
      <w:r w:rsidRPr="00D45B1A">
        <w:t xml:space="preserve">and </w:t>
      </w:r>
      <w:r w:rsidR="00D05D7A">
        <w:t>s</w:t>
      </w:r>
      <w:r w:rsidR="00D05D7A" w:rsidRPr="00D45B1A">
        <w:t xml:space="preserve">pecialist </w:t>
      </w:r>
      <w:r w:rsidR="00D05D7A">
        <w:t>s</w:t>
      </w:r>
      <w:r w:rsidR="00D05D7A" w:rsidRPr="00D45B1A">
        <w:t xml:space="preserve">ervices </w:t>
      </w:r>
      <w:r w:rsidR="00D05D7A">
        <w:t>s</w:t>
      </w:r>
      <w:r w:rsidR="00D05D7A" w:rsidRPr="00D45B1A">
        <w:t xml:space="preserve">ervice </w:t>
      </w:r>
      <w:r w:rsidR="00D05D7A">
        <w:t>c</w:t>
      </w:r>
      <w:r w:rsidR="00D05D7A" w:rsidRPr="00D45B1A">
        <w:t xml:space="preserve">osting </w:t>
      </w:r>
      <w:r w:rsidR="00D05D7A">
        <w:t>p</w:t>
      </w:r>
      <w:r w:rsidR="00D05D7A" w:rsidRPr="00D45B1A">
        <w:t xml:space="preserve">roducts </w:t>
      </w:r>
      <w:r w:rsidRPr="00D45B1A">
        <w:t xml:space="preserve">or </w:t>
      </w:r>
      <w:r w:rsidR="00D05D7A">
        <w:t>i</w:t>
      </w:r>
      <w:r w:rsidR="00D05D7A" w:rsidRPr="00D45B1A">
        <w:t xml:space="preserve">ntermediate </w:t>
      </w:r>
      <w:r w:rsidR="00D05D7A">
        <w:t>p</w:t>
      </w:r>
      <w:r w:rsidR="00D05D7A" w:rsidRPr="00D45B1A">
        <w:t>roducts</w:t>
      </w:r>
      <w:r w:rsidRPr="00D45B1A">
        <w:t xml:space="preserve"> </w:t>
      </w:r>
    </w:p>
    <w:p w14:paraId="68D63DCD" w14:textId="77777777" w:rsidR="00C27FB2" w:rsidRPr="00D45B1A" w:rsidRDefault="00C27FB2" w:rsidP="004738A8">
      <w:pPr>
        <w:pStyle w:val="Level3"/>
      </w:pPr>
      <w:r w:rsidRPr="00D45B1A">
        <w:t xml:space="preserve">Intermediate products are created for services listed in the feeder. The number and type of intermediate products created will depend upon the level of data capture within relevant outreach systems. Once the intermediate products are created, costing practitioners will be required to ensure these are mapped in the costing system to the appropriate final cost centre. </w:t>
      </w:r>
    </w:p>
    <w:p w14:paraId="68D63DCE" w14:textId="77777777" w:rsidR="00C27FB2" w:rsidRPr="00D45B1A" w:rsidRDefault="00C27FB2" w:rsidP="004738A8">
      <w:pPr>
        <w:pStyle w:val="Level3"/>
      </w:pPr>
      <w:r w:rsidRPr="00D45B1A">
        <w:t>Aggregated (dummy) episode records and intermediate product codes may be created for cost centre or outreach and specialist service program with no feeder system or patient-level activities.</w:t>
      </w:r>
    </w:p>
    <w:p w14:paraId="68D63DCF" w14:textId="77777777" w:rsidR="00C27FB2" w:rsidRPr="00D45B1A" w:rsidRDefault="00C27FB2" w:rsidP="004738A8">
      <w:pPr>
        <w:pStyle w:val="Level3"/>
      </w:pPr>
      <w:r w:rsidRPr="00D45B1A">
        <w:t>Alternatively, depending on the requirements of the jurisdiction, costing practitioners may be required map the relevant intermediate products to the non-admitted product or products within the costing system.</w:t>
      </w:r>
    </w:p>
    <w:p w14:paraId="68D63DD0" w14:textId="52201C0C" w:rsidR="00C27FB2" w:rsidRPr="00D45B1A" w:rsidRDefault="00C27FB2" w:rsidP="000B5336">
      <w:pPr>
        <w:pStyle w:val="Level3Heading"/>
      </w:pPr>
      <w:r w:rsidRPr="00D45B1A">
        <w:t>Step 5</w:t>
      </w:r>
      <w:r w:rsidR="00A01EA6">
        <w:t>:</w:t>
      </w:r>
      <w:r w:rsidRPr="00D45B1A">
        <w:t xml:space="preserve"> Apply </w:t>
      </w:r>
      <w:r w:rsidR="00E867EF">
        <w:t>r</w:t>
      </w:r>
      <w:r w:rsidRPr="00D45B1A">
        <w:t xml:space="preserve">elative </w:t>
      </w:r>
      <w:r w:rsidR="007F1AC6">
        <w:t>v</w:t>
      </w:r>
      <w:r w:rsidRPr="00D45B1A">
        <w:t xml:space="preserve">alue </w:t>
      </w:r>
      <w:r w:rsidR="007F1AC6">
        <w:t>u</w:t>
      </w:r>
      <w:r w:rsidRPr="00D45B1A">
        <w:t xml:space="preserve">nits </w:t>
      </w:r>
    </w:p>
    <w:p w14:paraId="68D63DD1" w14:textId="77777777" w:rsidR="00C27FB2" w:rsidRPr="00D45B1A" w:rsidRDefault="00C27FB2" w:rsidP="004738A8">
      <w:pPr>
        <w:pStyle w:val="Level3"/>
      </w:pPr>
      <w:r w:rsidRPr="00D45B1A">
        <w:t>Costing practitioners will need to assess based upon the level of data available if RVU’s can be derived and applied.</w:t>
      </w:r>
    </w:p>
    <w:p w14:paraId="68D63DD2" w14:textId="77777777" w:rsidR="00C27FB2" w:rsidRPr="00D45B1A" w:rsidRDefault="00C27FB2" w:rsidP="000B5336">
      <w:pPr>
        <w:pStyle w:val="Level3Heading"/>
      </w:pPr>
      <w:r w:rsidRPr="00D45B1A">
        <w:t>Step 6</w:t>
      </w:r>
      <w:r w:rsidR="00A01EA6">
        <w:t>:</w:t>
      </w:r>
      <w:r w:rsidRPr="00D45B1A">
        <w:t xml:space="preserve"> Create </w:t>
      </w:r>
      <w:r w:rsidR="00D05D7A">
        <w:t>i</w:t>
      </w:r>
      <w:r w:rsidRPr="00D45B1A">
        <w:t xml:space="preserve">ntermediate </w:t>
      </w:r>
      <w:r w:rsidR="00D05D7A">
        <w:t>p</w:t>
      </w:r>
      <w:r w:rsidR="00D05D7A" w:rsidRPr="00D45B1A">
        <w:t xml:space="preserve">roduct </w:t>
      </w:r>
      <w:r w:rsidR="00D05D7A">
        <w:t>c</w:t>
      </w:r>
      <w:r w:rsidR="00D05D7A" w:rsidRPr="00D45B1A">
        <w:t xml:space="preserve">osts </w:t>
      </w:r>
      <w:r w:rsidRPr="00D45B1A">
        <w:t xml:space="preserve">in </w:t>
      </w:r>
      <w:r w:rsidR="00D05D7A">
        <w:t>f</w:t>
      </w:r>
      <w:r w:rsidR="00D05D7A" w:rsidRPr="00D45B1A">
        <w:t xml:space="preserve">inal </w:t>
      </w:r>
      <w:r w:rsidR="00D05D7A">
        <w:t>c</w:t>
      </w:r>
      <w:r w:rsidRPr="00D45B1A">
        <w:t xml:space="preserve">ost </w:t>
      </w:r>
      <w:r w:rsidR="00D05D7A">
        <w:t>c</w:t>
      </w:r>
      <w:r w:rsidRPr="00D45B1A">
        <w:t>entres</w:t>
      </w:r>
    </w:p>
    <w:p w14:paraId="68D63DD3" w14:textId="77777777" w:rsidR="00D678EF" w:rsidRDefault="00D678EF" w:rsidP="004738A8">
      <w:pPr>
        <w:pStyle w:val="Level3"/>
      </w:pPr>
      <w:r>
        <w:t xml:space="preserve"> Two allocation processes are performed:</w:t>
      </w:r>
    </w:p>
    <w:p w14:paraId="68D63DD4" w14:textId="5D969EF2" w:rsidR="00D678EF" w:rsidRPr="00D46BB1" w:rsidRDefault="00C86031" w:rsidP="004738A8">
      <w:pPr>
        <w:pStyle w:val="ListBullet"/>
      </w:pPr>
      <w:r>
        <w:t>w</w:t>
      </w:r>
      <w:r w:rsidR="00D678EF" w:rsidRPr="00D46BB1">
        <w:t xml:space="preserve">hen overhead costs are allocated to the </w:t>
      </w:r>
      <w:r w:rsidR="009B2BDB">
        <w:t>p</w:t>
      </w:r>
      <w:r w:rsidR="00D678EF" w:rsidRPr="00D46BB1">
        <w:t xml:space="preserve">roduction </w:t>
      </w:r>
      <w:r w:rsidR="009B2BDB">
        <w:t>c</w:t>
      </w:r>
      <w:r w:rsidR="00D678EF" w:rsidRPr="00D46BB1">
        <w:t xml:space="preserve">ost </w:t>
      </w:r>
      <w:r w:rsidR="009B2BDB">
        <w:t>c</w:t>
      </w:r>
      <w:r w:rsidR="00D678EF" w:rsidRPr="00D46BB1">
        <w:t>entre (using an appropriate allocation statistic)</w:t>
      </w:r>
    </w:p>
    <w:p w14:paraId="68D63DD5" w14:textId="0922A4D5" w:rsidR="00D678EF" w:rsidRPr="00D46BB1" w:rsidRDefault="00C86031" w:rsidP="004738A8">
      <w:pPr>
        <w:pStyle w:val="ListBullet"/>
      </w:pPr>
      <w:r>
        <w:t>w</w:t>
      </w:r>
      <w:r w:rsidR="00D678EF" w:rsidRPr="00D46BB1">
        <w:t xml:space="preserve">hen the </w:t>
      </w:r>
      <w:r w:rsidR="009B2BDB">
        <w:t>p</w:t>
      </w:r>
      <w:r w:rsidR="00D678EF" w:rsidRPr="00D46BB1">
        <w:t xml:space="preserve">roduction </w:t>
      </w:r>
      <w:r w:rsidR="009B2BDB">
        <w:t>c</w:t>
      </w:r>
      <w:r w:rsidR="00D678EF" w:rsidRPr="00D46BB1">
        <w:t xml:space="preserve">ost </w:t>
      </w:r>
      <w:r w:rsidR="009B2BDB">
        <w:t>c</w:t>
      </w:r>
      <w:r w:rsidR="00D678EF" w:rsidRPr="00D46BB1">
        <w:t>entre costs (overhead and direct) are allocated to the intermediate products.</w:t>
      </w:r>
    </w:p>
    <w:p w14:paraId="68D63DD6" w14:textId="77777777" w:rsidR="00C27FB2" w:rsidRPr="00D45B1A" w:rsidRDefault="00C27FB2" w:rsidP="000B5336">
      <w:pPr>
        <w:pStyle w:val="Level3Heading"/>
      </w:pPr>
      <w:r w:rsidRPr="00D45B1A">
        <w:t>Step 7</w:t>
      </w:r>
      <w:r w:rsidR="00A01EA6">
        <w:t>:</w:t>
      </w:r>
      <w:r w:rsidRPr="00D45B1A">
        <w:t xml:space="preserve"> Match </w:t>
      </w:r>
      <w:r w:rsidR="00D05D7A">
        <w:t>i</w:t>
      </w:r>
      <w:r w:rsidRPr="00D45B1A">
        <w:t xml:space="preserve">ntermediate </w:t>
      </w:r>
      <w:r w:rsidR="00D05D7A">
        <w:t>p</w:t>
      </w:r>
      <w:r w:rsidRPr="00D45B1A">
        <w:t xml:space="preserve">roducts and their </w:t>
      </w:r>
      <w:r w:rsidR="00D05D7A">
        <w:t>c</w:t>
      </w:r>
      <w:r w:rsidRPr="00D45B1A">
        <w:t xml:space="preserve">osts to </w:t>
      </w:r>
      <w:r w:rsidR="00D05D7A">
        <w:t>o</w:t>
      </w:r>
      <w:r w:rsidRPr="00D45B1A">
        <w:t xml:space="preserve">utreach and </w:t>
      </w:r>
      <w:r w:rsidR="00D05D7A">
        <w:t>s</w:t>
      </w:r>
      <w:r w:rsidR="00D05D7A" w:rsidRPr="00D45B1A">
        <w:t xml:space="preserve">pecialist </w:t>
      </w:r>
      <w:r w:rsidR="00D05D7A">
        <w:t>s</w:t>
      </w:r>
      <w:r w:rsidRPr="00D45B1A">
        <w:t xml:space="preserve">ervices </w:t>
      </w:r>
      <w:r w:rsidR="00D05D7A">
        <w:t>d</w:t>
      </w:r>
      <w:r w:rsidR="00D05D7A" w:rsidRPr="00D45B1A">
        <w:t>ata</w:t>
      </w:r>
    </w:p>
    <w:p w14:paraId="68D63DD7" w14:textId="77777777" w:rsidR="00C27FB2" w:rsidRPr="00D45B1A" w:rsidRDefault="00C27FB2" w:rsidP="004738A8">
      <w:pPr>
        <w:pStyle w:val="Level3"/>
      </w:pPr>
      <w:r w:rsidRPr="00D45B1A">
        <w:t>Outreach and specialist activity will consume intermediate products from other hospital departments, such as imaging, pathology, pharmacy, and allied health. Costing practitioners must ensure that the intermediate products from these departments are matched to the appropriate outreach activity.</w:t>
      </w:r>
    </w:p>
    <w:p w14:paraId="68D63DD8" w14:textId="77777777" w:rsidR="00C27FB2" w:rsidRPr="00D45B1A" w:rsidRDefault="00C27FB2" w:rsidP="004738A8">
      <w:pPr>
        <w:pStyle w:val="Level3"/>
      </w:pPr>
      <w:r w:rsidRPr="00D45B1A">
        <w:t>Where patient level activity data is available, costing practitioners should ensure that intermediate products are mapped to the appropriate activity. Where the dummy patient is used (as there is only aggregate activity data) these intermediate products and their costs should be mapped to the dummy patient.</w:t>
      </w:r>
    </w:p>
    <w:p w14:paraId="4F094652" w14:textId="77777777" w:rsidR="00C86031" w:rsidRDefault="00C86031" w:rsidP="000B5336">
      <w:pPr>
        <w:pStyle w:val="Level3Heading"/>
      </w:pPr>
    </w:p>
    <w:p w14:paraId="68D63DD9" w14:textId="1185A4A0" w:rsidR="00C27FB2" w:rsidRPr="00D45B1A" w:rsidRDefault="00C27FB2" w:rsidP="000B5336">
      <w:pPr>
        <w:pStyle w:val="Level3Heading"/>
      </w:pPr>
      <w:r w:rsidRPr="00D45B1A">
        <w:t>Step 8</w:t>
      </w:r>
      <w:r w:rsidR="00A01EA6">
        <w:t>:</w:t>
      </w:r>
      <w:r w:rsidRPr="00D45B1A">
        <w:t xml:space="preserve"> </w:t>
      </w:r>
      <w:r w:rsidR="008A6B15">
        <w:t>Report costs</w:t>
      </w:r>
    </w:p>
    <w:p w14:paraId="68D63DDA" w14:textId="77777777" w:rsidR="00C27FB2" w:rsidRPr="00D45B1A" w:rsidRDefault="00C27FB2" w:rsidP="004738A8">
      <w:pPr>
        <w:pStyle w:val="Level3"/>
      </w:pPr>
      <w:r w:rsidRPr="00D45B1A">
        <w:t xml:space="preserve">Costing practitioners should then perform the required steps to </w:t>
      </w:r>
      <w:r w:rsidR="00116978">
        <w:t xml:space="preserve">consolidate and report </w:t>
      </w:r>
      <w:r w:rsidRPr="00D45B1A">
        <w:t>costs of outreach and specialist service activity.</w:t>
      </w:r>
    </w:p>
    <w:p w14:paraId="68D63DDB" w14:textId="77777777" w:rsidR="00C27FB2" w:rsidRPr="00D45B1A" w:rsidRDefault="00C27FB2" w:rsidP="000B5336">
      <w:pPr>
        <w:pStyle w:val="Level3Heading"/>
      </w:pPr>
      <w:r w:rsidRPr="00D45B1A">
        <w:t>Step 9</w:t>
      </w:r>
      <w:r w:rsidR="00A01EA6">
        <w:t>:</w:t>
      </w:r>
      <w:r w:rsidRPr="00D45B1A">
        <w:t xml:space="preserve"> </w:t>
      </w:r>
      <w:r w:rsidR="008A6B15">
        <w:t>Cost data review with relevant stakeholders</w:t>
      </w:r>
      <w:r w:rsidRPr="00D45B1A">
        <w:t xml:space="preserve"> </w:t>
      </w:r>
    </w:p>
    <w:p w14:paraId="68D63DDC" w14:textId="581D272D" w:rsidR="00C27FB2" w:rsidRPr="00D45B1A" w:rsidRDefault="00C27FB2" w:rsidP="004738A8">
      <w:pPr>
        <w:pStyle w:val="Level3"/>
      </w:pPr>
      <w:r w:rsidRPr="00D45B1A">
        <w:t xml:space="preserve">Costing practitioners should meet with their relevant </w:t>
      </w:r>
      <w:r w:rsidR="00422677">
        <w:t>o</w:t>
      </w:r>
      <w:r w:rsidRPr="00D45B1A">
        <w:t xml:space="preserve">utreach and </w:t>
      </w:r>
      <w:r w:rsidR="00422677">
        <w:t>specialist s</w:t>
      </w:r>
      <w:r w:rsidRPr="00D45B1A">
        <w:t>ervices stakeholders to report on the costs calculated.</w:t>
      </w:r>
    </w:p>
    <w:p w14:paraId="68D63DDD" w14:textId="77777777" w:rsidR="00C27FB2" w:rsidRPr="00D45B1A" w:rsidRDefault="00C27FB2" w:rsidP="004738A8">
      <w:pPr>
        <w:pStyle w:val="Level3"/>
      </w:pPr>
      <w:r w:rsidRPr="00D45B1A">
        <w:t>Cost data should be reviewed for amongst other checks, the average cost per product and completeness to decipher if the cost data captures resources that have been provided at product level.</w:t>
      </w:r>
    </w:p>
    <w:p w14:paraId="68D63DDE" w14:textId="77777777" w:rsidR="00C27FB2" w:rsidRPr="00D45B1A" w:rsidRDefault="00C27FB2" w:rsidP="00C27FB2">
      <w:pPr>
        <w:rPr>
          <w:rFonts w:cs="Arial"/>
        </w:rPr>
      </w:pPr>
      <w:r w:rsidRPr="00D45B1A">
        <w:rPr>
          <w:rFonts w:cs="Arial"/>
        </w:rPr>
        <w:br w:type="page"/>
      </w:r>
    </w:p>
    <w:p w14:paraId="68D63DDF" w14:textId="34E0CF0D" w:rsidR="00C27FB2" w:rsidRPr="00D45B1A" w:rsidRDefault="00C27FB2" w:rsidP="00D97D20">
      <w:pPr>
        <w:pStyle w:val="Heading2"/>
      </w:pPr>
      <w:bookmarkStart w:id="38" w:name="_Toc478631945"/>
      <w:bookmarkStart w:id="39" w:name="_Toc480492977"/>
      <w:bookmarkStart w:id="40" w:name="_Toc80778504"/>
      <w:r w:rsidRPr="00D45B1A">
        <w:lastRenderedPageBreak/>
        <w:t xml:space="preserve">Interpreter </w:t>
      </w:r>
      <w:r w:rsidR="00E867EF">
        <w:t>S</w:t>
      </w:r>
      <w:r w:rsidRPr="00D45B1A">
        <w:t>ervices</w:t>
      </w:r>
      <w:bookmarkEnd w:id="38"/>
      <w:bookmarkEnd w:id="39"/>
      <w:bookmarkEnd w:id="40"/>
    </w:p>
    <w:p w14:paraId="68D63DE0" w14:textId="77777777" w:rsidR="00C27FB2" w:rsidRPr="00D45B1A" w:rsidRDefault="00C27FB2" w:rsidP="00897CD3">
      <w:pPr>
        <w:pStyle w:val="Heading3"/>
      </w:pPr>
      <w:r w:rsidRPr="00D45B1A">
        <w:t>Scope</w:t>
      </w:r>
    </w:p>
    <w:p w14:paraId="68D63DE1" w14:textId="2414B39D" w:rsidR="00C27FB2" w:rsidRPr="00D45B1A" w:rsidRDefault="00C27FB2" w:rsidP="004738A8">
      <w:pPr>
        <w:pStyle w:val="Level3"/>
      </w:pPr>
      <w:r w:rsidRPr="00D45B1A">
        <w:t xml:space="preserve">This </w:t>
      </w:r>
      <w:r w:rsidR="00B63007">
        <w:t>guideline</w:t>
      </w:r>
      <w:r w:rsidRPr="00D45B1A">
        <w:t xml:space="preserve"> </w:t>
      </w:r>
      <w:r w:rsidR="00061CAC">
        <w:t>outlines an</w:t>
      </w:r>
      <w:r w:rsidRPr="00D45B1A">
        <w:t xml:space="preserve"> approach to cost interpreter services.</w:t>
      </w:r>
    </w:p>
    <w:p w14:paraId="68D63DE2" w14:textId="493B507F" w:rsidR="00C27FB2" w:rsidRPr="00D45B1A" w:rsidRDefault="00C27FB2" w:rsidP="004738A8">
      <w:pPr>
        <w:pStyle w:val="Level3"/>
      </w:pPr>
      <w:r w:rsidRPr="00D45B1A">
        <w:t xml:space="preserve">This </w:t>
      </w:r>
      <w:r w:rsidR="00B63007">
        <w:t>guideline</w:t>
      </w:r>
      <w:r w:rsidRPr="00D45B1A">
        <w:t xml:space="preserve"> also provides practical steps and examples to guide staff on the patient costing process for this activity.</w:t>
      </w:r>
    </w:p>
    <w:p w14:paraId="68D63DE3" w14:textId="77777777" w:rsidR="000B5336" w:rsidRPr="00D45B1A" w:rsidRDefault="000B5336" w:rsidP="000B5336">
      <w:pPr>
        <w:pStyle w:val="Level3Heading"/>
      </w:pPr>
      <w:r w:rsidRPr="00D45B1A">
        <w:t xml:space="preserve">Interpreter </w:t>
      </w:r>
      <w:r w:rsidR="00D05D7A">
        <w:t>s</w:t>
      </w:r>
      <w:r w:rsidRPr="00D45B1A">
        <w:t xml:space="preserve">ervice </w:t>
      </w:r>
      <w:r w:rsidR="00D05D7A">
        <w:t>s</w:t>
      </w:r>
      <w:r w:rsidRPr="00D45B1A">
        <w:t xml:space="preserve">cope </w:t>
      </w:r>
    </w:p>
    <w:p w14:paraId="68D63DE4" w14:textId="77777777" w:rsidR="000B5336" w:rsidRPr="00D45B1A" w:rsidRDefault="000B5336" w:rsidP="004738A8">
      <w:pPr>
        <w:pStyle w:val="Level3"/>
      </w:pPr>
      <w:r w:rsidRPr="00D45B1A">
        <w:t>The use of accredited interpreters allows health professionals to fulfil their duty of care, including obtaining valid and informed consent.</w:t>
      </w:r>
    </w:p>
    <w:p w14:paraId="68D63DE5" w14:textId="5B6479AF" w:rsidR="000B5336" w:rsidRPr="00D45B1A" w:rsidRDefault="000B5336" w:rsidP="004738A8">
      <w:pPr>
        <w:pStyle w:val="Level3"/>
      </w:pPr>
      <w:r w:rsidRPr="00D45B1A">
        <w:t xml:space="preserve">An accredited interpreter is also engaged when the information to be communicated to the patient is significant for health and/or health outcomes, is requested by the patient or a family member, or the </w:t>
      </w:r>
      <w:r w:rsidR="00992E92" w:rsidRPr="00D45B1A">
        <w:t>patient’s</w:t>
      </w:r>
      <w:r w:rsidRPr="00D45B1A">
        <w:t xml:space="preserve"> English skills are assessed to be inadequate for messages to be conveyed.</w:t>
      </w:r>
    </w:p>
    <w:p w14:paraId="68D63DE6" w14:textId="688AE920" w:rsidR="000B5336" w:rsidRPr="00D45B1A" w:rsidRDefault="000B5336" w:rsidP="004738A8">
      <w:pPr>
        <w:pStyle w:val="Level3"/>
        <w:rPr>
          <w:b/>
        </w:rPr>
      </w:pPr>
      <w:r w:rsidRPr="00D45B1A">
        <w:t xml:space="preserve">Interpreter services can be performed in a number of other areas within the hospital. Expenses can generally be found within </w:t>
      </w:r>
      <w:r w:rsidR="00642AC8">
        <w:t>c</w:t>
      </w:r>
      <w:r w:rsidRPr="00D45B1A">
        <w:t xml:space="preserve">ulturally and </w:t>
      </w:r>
      <w:r w:rsidR="00642AC8">
        <w:t>l</w:t>
      </w:r>
      <w:r w:rsidRPr="00D45B1A">
        <w:t xml:space="preserve">inguistically </w:t>
      </w:r>
      <w:r w:rsidR="00642AC8">
        <w:t>d</w:t>
      </w:r>
      <w:r w:rsidRPr="00D45B1A">
        <w:t xml:space="preserve">iverse departmental cost centres or within </w:t>
      </w:r>
      <w:r w:rsidR="00642AC8">
        <w:t>a</w:t>
      </w:r>
      <w:r w:rsidRPr="00D45B1A">
        <w:t xml:space="preserve">llied </w:t>
      </w:r>
      <w:r w:rsidR="00642AC8">
        <w:t>h</w:t>
      </w:r>
      <w:r w:rsidRPr="00D45B1A">
        <w:t>ealth cost centres.</w:t>
      </w:r>
    </w:p>
    <w:p w14:paraId="68D63DE7" w14:textId="77777777" w:rsidR="000B5336" w:rsidRPr="00D45B1A" w:rsidRDefault="000B5336" w:rsidP="004738A8">
      <w:pPr>
        <w:pStyle w:val="Level3"/>
        <w:rPr>
          <w:b/>
        </w:rPr>
      </w:pPr>
      <w:r w:rsidRPr="00D45B1A">
        <w:t>Interpreter usage is a resource consumed by patients and should be patient level costed as they add to the cost of production.</w:t>
      </w:r>
    </w:p>
    <w:p w14:paraId="68D63DE8" w14:textId="77777777" w:rsidR="00C27FB2" w:rsidRPr="00D45B1A" w:rsidRDefault="00C27FB2" w:rsidP="00897CD3">
      <w:pPr>
        <w:pStyle w:val="Heading3"/>
      </w:pPr>
      <w:r w:rsidRPr="00D45B1A">
        <w:t>Objective</w:t>
      </w:r>
    </w:p>
    <w:p w14:paraId="68D63DE9" w14:textId="2B786DDD" w:rsidR="008401A6" w:rsidRDefault="00C27FB2" w:rsidP="004738A8">
      <w:pPr>
        <w:pStyle w:val="Level3"/>
      </w:pPr>
      <w:r w:rsidRPr="00D45B1A">
        <w:t xml:space="preserve">The objective of this </w:t>
      </w:r>
      <w:r w:rsidR="00B63007">
        <w:t>guideline</w:t>
      </w:r>
      <w:r w:rsidRPr="00D45B1A">
        <w:t xml:space="preserve"> is to guide costing practitioners on the end to end steps required to ensure that where an interpreter is engaged within the hospital; </w:t>
      </w:r>
      <w:r w:rsidR="008401A6" w:rsidRPr="00607D90">
        <w:t xml:space="preserve">the objective of this </w:t>
      </w:r>
      <w:r w:rsidR="00B63007">
        <w:t>guideline</w:t>
      </w:r>
      <w:r w:rsidR="008401A6" w:rsidRPr="00607D90">
        <w:t xml:space="preserve"> is to guide costing practitioners on the end to end steps required to ensure that all interpreter service activity is costed and matched to final products as they contribute to the full cost of production</w:t>
      </w:r>
      <w:r w:rsidR="008401A6">
        <w:t>.</w:t>
      </w:r>
    </w:p>
    <w:p w14:paraId="68D63DEA" w14:textId="461B83B6" w:rsidR="00C27FB2" w:rsidRPr="00D45B1A" w:rsidRDefault="00B63007" w:rsidP="00897CD3">
      <w:pPr>
        <w:pStyle w:val="Heading3"/>
      </w:pPr>
      <w:r>
        <w:t xml:space="preserve">Costing </w:t>
      </w:r>
      <w:r w:rsidR="00952713">
        <w:t>G</w:t>
      </w:r>
      <w:r>
        <w:t>uideline</w:t>
      </w:r>
    </w:p>
    <w:p w14:paraId="68D63DEB" w14:textId="77777777" w:rsidR="00C27FB2" w:rsidRPr="00D45B1A" w:rsidRDefault="00C27FB2" w:rsidP="000B5336">
      <w:pPr>
        <w:pStyle w:val="Level3Heading"/>
      </w:pPr>
      <w:r w:rsidRPr="00D45B1A">
        <w:t>Step 1</w:t>
      </w:r>
      <w:r w:rsidR="00A01EA6">
        <w:t>:</w:t>
      </w:r>
      <w:r w:rsidRPr="00D45B1A">
        <w:t xml:space="preserve"> Identify scope of activities and stakeholders </w:t>
      </w:r>
    </w:p>
    <w:p w14:paraId="68D63DEC" w14:textId="77777777" w:rsidR="00C27FB2" w:rsidRPr="00D45B1A" w:rsidRDefault="00C27FB2" w:rsidP="004738A8">
      <w:pPr>
        <w:pStyle w:val="Level3"/>
      </w:pPr>
      <w:r w:rsidRPr="00D45B1A">
        <w:t>Costing practitioners should obtain their jurisdictional policy with regards to the use of interpreters to define the services offered by interpreters.</w:t>
      </w:r>
    </w:p>
    <w:p w14:paraId="68D63DED" w14:textId="77777777" w:rsidR="00C27FB2" w:rsidRPr="00D45B1A" w:rsidRDefault="00C27FB2" w:rsidP="004738A8">
      <w:pPr>
        <w:pStyle w:val="Level3"/>
      </w:pPr>
      <w:r w:rsidRPr="00D45B1A">
        <w:t>Costing practitioners should identify where these interpreter directorates reside within the hospital. For example, these services may fall within the auspices of allied health, patient liaison or defined specialist departments providing services to culturally and linguistically diverse patient populations.</w:t>
      </w:r>
    </w:p>
    <w:p w14:paraId="68D63DEE" w14:textId="35102D35" w:rsidR="00C27FB2" w:rsidRPr="00D45B1A" w:rsidRDefault="00C27FB2" w:rsidP="004738A8">
      <w:pPr>
        <w:pStyle w:val="Level3"/>
      </w:pPr>
      <w:r w:rsidRPr="00D45B1A">
        <w:t xml:space="preserve">Costing practitioners should meet with the appropriate hospital interpreter stakeholders and </w:t>
      </w:r>
      <w:r w:rsidR="00C76532">
        <w:t>f</w:t>
      </w:r>
      <w:r w:rsidRPr="00D45B1A">
        <w:t xml:space="preserve">inance stakeholders. The agenda of this meeting should include an overview of the interpreter model being used by the hospital. For example, it may be more economically feasible for the hospital to contract interpreters from a third party on a fee for service basis as their </w:t>
      </w:r>
      <w:r w:rsidR="00C76532">
        <w:t>‘</w:t>
      </w:r>
      <w:r w:rsidR="00642AC8">
        <w:t>l</w:t>
      </w:r>
      <w:r w:rsidRPr="00D45B1A">
        <w:t xml:space="preserve">ow English </w:t>
      </w:r>
      <w:r w:rsidR="00642AC8">
        <w:t>p</w:t>
      </w:r>
      <w:r w:rsidRPr="00D45B1A">
        <w:t>roficiency</w:t>
      </w:r>
      <w:r w:rsidR="00C76532">
        <w:t>’</w:t>
      </w:r>
      <w:r w:rsidRPr="00D45B1A">
        <w:t xml:space="preserve"> (LEP) patient cohort requiring these services have arrived from multiple international origins. In some cases, it may be a mixed model, where a number of interpreters are employed by the hospital as it has defined a fixed percentage of its cohort </w:t>
      </w:r>
      <w:r w:rsidRPr="00D45B1A">
        <w:lastRenderedPageBreak/>
        <w:t xml:space="preserve">requiring interpreter service of a particular nature, whilst also contracting with third parties for other interpreters on a needs basis. </w:t>
      </w:r>
    </w:p>
    <w:p w14:paraId="68D63DEF" w14:textId="77777777" w:rsidR="00C27FB2" w:rsidRPr="00D45B1A" w:rsidRDefault="00C27FB2" w:rsidP="000B5336">
      <w:pPr>
        <w:pStyle w:val="Level3Heading"/>
      </w:pPr>
      <w:r w:rsidRPr="00D45B1A">
        <w:t>Step 2</w:t>
      </w:r>
      <w:r w:rsidR="00D05D7A">
        <w:t>:</w:t>
      </w:r>
      <w:r w:rsidRPr="00D45B1A">
        <w:t xml:space="preserve"> Align </w:t>
      </w:r>
      <w:r w:rsidR="00D05D7A">
        <w:t>e</w:t>
      </w:r>
      <w:r w:rsidR="00D05D7A" w:rsidRPr="00D45B1A">
        <w:t xml:space="preserve">xpense </w:t>
      </w:r>
      <w:r w:rsidRPr="00D45B1A">
        <w:t xml:space="preserve">to the </w:t>
      </w:r>
      <w:r w:rsidR="00D05D7A">
        <w:t>I</w:t>
      </w:r>
      <w:r w:rsidR="00D05D7A" w:rsidRPr="00D45B1A">
        <w:t xml:space="preserve">nterpreter </w:t>
      </w:r>
      <w:r w:rsidR="00D05D7A">
        <w:t>s</w:t>
      </w:r>
      <w:r w:rsidR="00D05D7A" w:rsidRPr="00D45B1A">
        <w:t xml:space="preserve">ervice </w:t>
      </w:r>
      <w:r w:rsidR="00D05D7A">
        <w:t>d</w:t>
      </w:r>
      <w:r w:rsidR="00D05D7A" w:rsidRPr="00D45B1A">
        <w:t xml:space="preserve">epartment </w:t>
      </w:r>
      <w:r w:rsidRPr="00D45B1A">
        <w:t xml:space="preserve">and </w:t>
      </w:r>
      <w:r w:rsidR="00D05D7A">
        <w:t>d</w:t>
      </w:r>
      <w:r w:rsidR="00D05D7A" w:rsidRPr="00D45B1A">
        <w:t xml:space="preserve">efine </w:t>
      </w:r>
      <w:r w:rsidR="00D05D7A">
        <w:t>o</w:t>
      </w:r>
      <w:r w:rsidR="00D05D7A" w:rsidRPr="00D45B1A">
        <w:t xml:space="preserve">verhead </w:t>
      </w:r>
      <w:r w:rsidRPr="00D45B1A">
        <w:t xml:space="preserve">and </w:t>
      </w:r>
      <w:r w:rsidR="00D05D7A">
        <w:t>d</w:t>
      </w:r>
      <w:r w:rsidR="00D05D7A" w:rsidRPr="00D45B1A">
        <w:t xml:space="preserve">irect </w:t>
      </w:r>
      <w:r w:rsidRPr="00D45B1A">
        <w:t xml:space="preserve">expenses, including </w:t>
      </w:r>
      <w:r w:rsidR="00D05D7A">
        <w:t>o</w:t>
      </w:r>
      <w:r w:rsidR="00D05D7A" w:rsidRPr="00D45B1A">
        <w:t xml:space="preserve">verhead </w:t>
      </w:r>
      <w:r w:rsidR="00D05D7A">
        <w:t>a</w:t>
      </w:r>
      <w:r w:rsidR="00D05D7A" w:rsidRPr="00D45B1A">
        <w:t xml:space="preserve">llocation </w:t>
      </w:r>
      <w:r w:rsidR="00D05D7A">
        <w:t>m</w:t>
      </w:r>
      <w:r w:rsidR="00D05D7A" w:rsidRPr="00D45B1A">
        <w:t>ethods</w:t>
      </w:r>
      <w:r w:rsidRPr="00D45B1A">
        <w:t xml:space="preserve"> </w:t>
      </w:r>
    </w:p>
    <w:p w14:paraId="68D63DF0" w14:textId="77777777" w:rsidR="00C27FB2" w:rsidRPr="00D45B1A" w:rsidRDefault="00C27FB2" w:rsidP="004738A8">
      <w:pPr>
        <w:pStyle w:val="Level3"/>
      </w:pPr>
      <w:r w:rsidRPr="00D45B1A">
        <w:t>Costing practitioners should work with interpreter services stakeholders to define the expense (as per their interpreter service model) to be allocated to final products.</w:t>
      </w:r>
    </w:p>
    <w:p w14:paraId="68D63DF1" w14:textId="36DD30AF" w:rsidR="00C27FB2" w:rsidRPr="00D45B1A" w:rsidRDefault="00C27FB2" w:rsidP="004738A8">
      <w:pPr>
        <w:pStyle w:val="Level3"/>
      </w:pPr>
      <w:r w:rsidRPr="00A27C5B">
        <w:t xml:space="preserve">Align </w:t>
      </w:r>
      <w:r w:rsidR="00642AC8">
        <w:t>e</w:t>
      </w:r>
      <w:r w:rsidRPr="00A27C5B">
        <w:t xml:space="preserve">xpense to </w:t>
      </w:r>
      <w:r w:rsidR="00642AC8">
        <w:t>f</w:t>
      </w:r>
      <w:r w:rsidRPr="00A27C5B">
        <w:t>inal cost centres</w:t>
      </w:r>
      <w:r w:rsidRPr="00D45B1A">
        <w:rPr>
          <w:i/>
        </w:rPr>
        <w:t xml:space="preserve"> –</w:t>
      </w:r>
      <w:r w:rsidRPr="00D45B1A">
        <w:t>Interpreter services expenses are generally defined within its own cost centre and map directly to a final cost centre for costing purposes. However, there may be instances where interpreter services may hold the expense for interpreters, but that interpreter is engaged directly in another department. For example, as interpreter services encompass services for the hearing impaired, it may be the case that a hospital employed interpreter for this patient cohort may reside within the audiology department of the hospital on a daily basis, but expenses held in the interpreter cost centre. In this case, costing practitioners should work with interpreter services stakeholders to define and agree on the methods and assumptions to be used to transfer that expense to other products.</w:t>
      </w:r>
    </w:p>
    <w:p w14:paraId="68D63DF2" w14:textId="77777777" w:rsidR="00C27FB2" w:rsidRPr="00D45B1A" w:rsidRDefault="00C27FB2" w:rsidP="004738A8">
      <w:pPr>
        <w:pStyle w:val="Level3"/>
      </w:pPr>
      <w:r w:rsidRPr="00D45B1A">
        <w:t xml:space="preserve">Costing practitioners should (within the patient costing system) use stakeholder insights to transfer expense appropriately to the interpreter final cost centre and other relevant final cost centres. </w:t>
      </w:r>
    </w:p>
    <w:p w14:paraId="68D63DF3" w14:textId="058DB363" w:rsidR="00C27FB2" w:rsidRPr="00D45B1A" w:rsidRDefault="00C27FB2" w:rsidP="004738A8">
      <w:pPr>
        <w:pStyle w:val="Level3"/>
      </w:pPr>
      <w:r w:rsidRPr="00A27C5B">
        <w:t xml:space="preserve">Record </w:t>
      </w:r>
      <w:r w:rsidR="00642AC8">
        <w:t>e</w:t>
      </w:r>
      <w:r w:rsidRPr="00A27C5B">
        <w:t xml:space="preserve">xpense </w:t>
      </w:r>
      <w:r w:rsidR="00642AC8">
        <w:t>a</w:t>
      </w:r>
      <w:r w:rsidRPr="00A27C5B">
        <w:t xml:space="preserve">lignment </w:t>
      </w:r>
      <w:r w:rsidR="00642AC8">
        <w:t>d</w:t>
      </w:r>
      <w:r w:rsidRPr="00A27C5B">
        <w:t xml:space="preserve">ecisions </w:t>
      </w:r>
      <w:r w:rsidRPr="00D45B1A">
        <w:rPr>
          <w:i/>
        </w:rPr>
        <w:t xml:space="preserve">– </w:t>
      </w:r>
      <w:r w:rsidR="00642AC8">
        <w:t>c</w:t>
      </w:r>
      <w:r w:rsidRPr="00D45B1A">
        <w:t xml:space="preserve">osting practitioners should utilise the costing system or another medium to record: </w:t>
      </w:r>
    </w:p>
    <w:p w14:paraId="68D63DF4" w14:textId="388D03FF" w:rsidR="00C27FB2" w:rsidRPr="00D45B1A" w:rsidRDefault="00C27FB2" w:rsidP="007C6433">
      <w:pPr>
        <w:pStyle w:val="ListBullet"/>
      </w:pPr>
      <w:r w:rsidRPr="00D45B1A">
        <w:t xml:space="preserve">the interpreter expense and relevant mapping to the interpreter and other final cost centres </w:t>
      </w:r>
    </w:p>
    <w:p w14:paraId="68D63DF5" w14:textId="7BF3234D" w:rsidR="00C27FB2" w:rsidRPr="00D45B1A" w:rsidRDefault="00C27FB2" w:rsidP="007C6433">
      <w:pPr>
        <w:pStyle w:val="ListBullet"/>
      </w:pPr>
      <w:r w:rsidRPr="00D45B1A">
        <w:t xml:space="preserve">the stakeholders met with </w:t>
      </w:r>
    </w:p>
    <w:p w14:paraId="68D63DF6" w14:textId="726C8A42" w:rsidR="00C27FB2" w:rsidRPr="00D45B1A" w:rsidRDefault="00C27FB2" w:rsidP="007C6433">
      <w:pPr>
        <w:pStyle w:val="ListBullet"/>
      </w:pPr>
      <w:r w:rsidRPr="00D45B1A">
        <w:t xml:space="preserve">the date of the meeting </w:t>
      </w:r>
    </w:p>
    <w:p w14:paraId="68D63DF7" w14:textId="77777777" w:rsidR="00C27FB2" w:rsidRPr="00D45B1A" w:rsidRDefault="00C27FB2" w:rsidP="007C6433">
      <w:pPr>
        <w:pStyle w:val="ListBullet"/>
      </w:pPr>
      <w:r w:rsidRPr="00D45B1A">
        <w:t>a date for future review of interpreter services alignment.</w:t>
      </w:r>
    </w:p>
    <w:p w14:paraId="68D63DF8" w14:textId="2898C173" w:rsidR="00C27FB2" w:rsidRPr="00D45B1A" w:rsidRDefault="00C27FB2" w:rsidP="000B5336">
      <w:pPr>
        <w:pStyle w:val="Level3Heading"/>
      </w:pPr>
      <w:r w:rsidRPr="00D45B1A">
        <w:t>Step 3</w:t>
      </w:r>
      <w:r w:rsidR="00A01EA6">
        <w:t>:</w:t>
      </w:r>
      <w:r w:rsidRPr="00D45B1A">
        <w:t xml:space="preserve"> </w:t>
      </w:r>
      <w:r w:rsidR="004749CE" w:rsidRPr="00D45B1A">
        <w:t xml:space="preserve">Identify </w:t>
      </w:r>
      <w:r w:rsidR="007F1AC6">
        <w:t>i</w:t>
      </w:r>
      <w:r w:rsidR="004749CE">
        <w:t xml:space="preserve">nterpreter </w:t>
      </w:r>
      <w:r w:rsidR="00D05D7A">
        <w:t>a</w:t>
      </w:r>
      <w:r w:rsidR="004749CE" w:rsidRPr="00D45B1A">
        <w:t xml:space="preserve">ctivity and </w:t>
      </w:r>
      <w:r w:rsidR="00D05D7A">
        <w:t>feeder data and perform quality assurance checks</w:t>
      </w:r>
    </w:p>
    <w:p w14:paraId="68D63DF9" w14:textId="77777777" w:rsidR="00C27FB2" w:rsidRPr="00D45B1A" w:rsidRDefault="00C27FB2" w:rsidP="004738A8">
      <w:pPr>
        <w:pStyle w:val="Level3"/>
      </w:pPr>
      <w:r w:rsidRPr="00D45B1A">
        <w:t>Costing practitioners should with their interpreter services stakeholders define the type of activity captured with their department. The level of activity detail captured will influence the costing methodology for interpreter services products.</w:t>
      </w:r>
    </w:p>
    <w:p w14:paraId="68D63DFA" w14:textId="77777777" w:rsidR="00C27FB2" w:rsidRPr="00D45B1A" w:rsidRDefault="00C27FB2" w:rsidP="004738A8">
      <w:pPr>
        <w:pStyle w:val="Level3"/>
      </w:pPr>
      <w:r w:rsidRPr="00D45B1A">
        <w:t xml:space="preserve">Ideally, the interpreter feeder system will include some or all of the following fields: </w:t>
      </w:r>
    </w:p>
    <w:p w14:paraId="68D63DFB" w14:textId="6E799119" w:rsidR="00C27FB2" w:rsidRPr="00D45B1A" w:rsidRDefault="00C86031" w:rsidP="00A27C5B">
      <w:pPr>
        <w:pStyle w:val="ListBullet"/>
        <w:spacing w:after="120"/>
      </w:pPr>
      <w:r>
        <w:t>t</w:t>
      </w:r>
      <w:r w:rsidR="00C27FB2" w:rsidRPr="00D45B1A">
        <w:t xml:space="preserve">he patient’s unique </w:t>
      </w:r>
      <w:r w:rsidR="002E230A">
        <w:t>identifier</w:t>
      </w:r>
    </w:p>
    <w:p w14:paraId="68D63DFC" w14:textId="02F8CBCF" w:rsidR="00C27FB2" w:rsidRPr="00D45B1A" w:rsidRDefault="00C86031" w:rsidP="00A27C5B">
      <w:pPr>
        <w:pStyle w:val="ListBullet"/>
        <w:spacing w:after="120"/>
      </w:pPr>
      <w:r>
        <w:t>t</w:t>
      </w:r>
      <w:r w:rsidR="00C27FB2" w:rsidRPr="00D45B1A">
        <w:t xml:space="preserve">he patient unique episode identifier </w:t>
      </w:r>
    </w:p>
    <w:p w14:paraId="68D63DFD" w14:textId="1EA5DA9F" w:rsidR="00C27FB2" w:rsidRPr="00D45B1A" w:rsidRDefault="00C86031" w:rsidP="00A27C5B">
      <w:pPr>
        <w:pStyle w:val="ListBullet"/>
        <w:spacing w:after="120"/>
      </w:pPr>
      <w:r>
        <w:t>t</w:t>
      </w:r>
      <w:r w:rsidR="00C27FB2" w:rsidRPr="00D45B1A">
        <w:t>he unit where the service was requested (for example</w:t>
      </w:r>
      <w:r>
        <w:t>, outpatient clinic A, Ward B)</w:t>
      </w:r>
    </w:p>
    <w:p w14:paraId="68D63DFE" w14:textId="39FA0289" w:rsidR="00C27FB2" w:rsidRPr="00D45B1A" w:rsidRDefault="00C86031" w:rsidP="00A27C5B">
      <w:pPr>
        <w:pStyle w:val="ListBullet"/>
        <w:spacing w:after="120"/>
      </w:pPr>
      <w:r>
        <w:t>t</w:t>
      </w:r>
      <w:r w:rsidR="00C27FB2" w:rsidRPr="00D45B1A">
        <w:t xml:space="preserve">he date of service </w:t>
      </w:r>
    </w:p>
    <w:p w14:paraId="68D63DFF" w14:textId="100C7163" w:rsidR="00C27FB2" w:rsidRPr="00D45B1A" w:rsidRDefault="00C86031" w:rsidP="00A27C5B">
      <w:pPr>
        <w:pStyle w:val="ListBullet"/>
        <w:spacing w:after="120"/>
      </w:pPr>
      <w:r>
        <w:t>t</w:t>
      </w:r>
      <w:r w:rsidR="00C27FB2" w:rsidRPr="00D45B1A">
        <w:t>he type or category of the interpreter service provided (for example language i</w:t>
      </w:r>
      <w:r>
        <w:t>nterpreter, Auslan interpreter)</w:t>
      </w:r>
    </w:p>
    <w:p w14:paraId="68D63E00" w14:textId="7623B24E" w:rsidR="00C27FB2" w:rsidRPr="00D45B1A" w:rsidRDefault="00C86031" w:rsidP="00A27C5B">
      <w:pPr>
        <w:pStyle w:val="ListBullet"/>
        <w:spacing w:after="120"/>
      </w:pPr>
      <w:r>
        <w:lastRenderedPageBreak/>
        <w:t>i</w:t>
      </w:r>
      <w:r w:rsidR="00C27FB2" w:rsidRPr="00D45B1A">
        <w:t>nterpreter delivered - a flag to demonstrate if the patient actual</w:t>
      </w:r>
      <w:r>
        <w:t>ly met with the interpreter</w:t>
      </w:r>
    </w:p>
    <w:p w14:paraId="68D63E01" w14:textId="752C4A41" w:rsidR="00C27FB2" w:rsidRPr="00D45B1A" w:rsidRDefault="00C27FB2" w:rsidP="007C6433">
      <w:pPr>
        <w:pStyle w:val="ListBullet"/>
      </w:pPr>
      <w:r w:rsidRPr="00D45B1A">
        <w:t>the time of the interpreter consultation</w:t>
      </w:r>
      <w:r w:rsidR="004844AB">
        <w:t>.</w:t>
      </w:r>
    </w:p>
    <w:p w14:paraId="68D63E02" w14:textId="59E0B628" w:rsidR="00C27FB2" w:rsidRPr="00D45B1A" w:rsidRDefault="00C27FB2" w:rsidP="004738A8">
      <w:pPr>
        <w:pStyle w:val="Level3"/>
      </w:pPr>
      <w:r w:rsidRPr="00D45B1A">
        <w:t>Where interpreter services are unable to provide detail of interpreter activity at patient level (such as interpreter booked), costing practitioners should also seek the ‘</w:t>
      </w:r>
      <w:r w:rsidR="00642AC8">
        <w:t>i</w:t>
      </w:r>
      <w:r w:rsidRPr="00D45B1A">
        <w:t xml:space="preserve">nterpreter </w:t>
      </w:r>
      <w:r w:rsidR="00642AC8">
        <w:t>r</w:t>
      </w:r>
      <w:r w:rsidRPr="00D45B1A">
        <w:t>equired’ or ‘</w:t>
      </w:r>
      <w:r w:rsidR="00642AC8">
        <w:t>p</w:t>
      </w:r>
      <w:r w:rsidRPr="00D45B1A">
        <w:t xml:space="preserve">referred </w:t>
      </w:r>
      <w:r w:rsidR="00642AC8">
        <w:t>l</w:t>
      </w:r>
      <w:r w:rsidRPr="00D45B1A">
        <w:t>anguage’ field from the hospital Patient Administration System (PAS) or outpatient booking system to help define the LEP cohort.</w:t>
      </w:r>
    </w:p>
    <w:p w14:paraId="68D63E03" w14:textId="77777777" w:rsidR="00C27FB2" w:rsidRPr="00D45B1A" w:rsidRDefault="00C27FB2" w:rsidP="004738A8">
      <w:pPr>
        <w:pStyle w:val="Level3"/>
      </w:pPr>
      <w:r w:rsidRPr="00D45B1A">
        <w:t xml:space="preserve">Costing practitioners should perform quality assurance checks on the interpreter feeder activity file prior to the costing process. For example, checks should be made on the date of service (to test reliability to remove error dates and ensure dates are relevant to the period being costed). </w:t>
      </w:r>
    </w:p>
    <w:p w14:paraId="68D63E04" w14:textId="77777777" w:rsidR="00C27FB2" w:rsidRPr="00D45B1A" w:rsidRDefault="00C27FB2" w:rsidP="004738A8">
      <w:pPr>
        <w:pStyle w:val="Level3"/>
      </w:pPr>
      <w:r w:rsidRPr="00D45B1A">
        <w:t>If the hospital is reliant on the interpreter required field as the trigger for identifying interpreter activity, costing practitioners should seek advice on the reliability of this field as an identifier for interpreter activity and its use for costing purposes. Costing practitioners should be aware that this field:</w:t>
      </w:r>
    </w:p>
    <w:p w14:paraId="5B8EBC36" w14:textId="389CBF20" w:rsidR="00642AC8" w:rsidRDefault="00642AC8">
      <w:pPr>
        <w:pStyle w:val="ListBullet"/>
      </w:pPr>
      <w:r w:rsidRPr="00D45B1A">
        <w:t xml:space="preserve">does not account for the volume or frequency of interpreter interaction at patient or encounter level (as it is a </w:t>
      </w:r>
      <w:r>
        <w:t>‘y</w:t>
      </w:r>
      <w:r w:rsidRPr="00D45B1A">
        <w:t>es</w:t>
      </w:r>
      <w:r>
        <w:t>’ or ‘n</w:t>
      </w:r>
      <w:r w:rsidRPr="00D45B1A">
        <w:t>o</w:t>
      </w:r>
      <w:r>
        <w:t>’ field)</w:t>
      </w:r>
    </w:p>
    <w:p w14:paraId="68D63E05" w14:textId="560010BB" w:rsidR="00C27FB2" w:rsidRPr="00D45B1A" w:rsidRDefault="00C27FB2" w:rsidP="007C6433">
      <w:pPr>
        <w:pStyle w:val="ListBullet"/>
      </w:pPr>
      <w:r w:rsidRPr="00D45B1A">
        <w:t>may be populated, but only represents that the patient or encounter required an interpreter</w:t>
      </w:r>
    </w:p>
    <w:p w14:paraId="68D63E08" w14:textId="7600DEE0" w:rsidR="00C27FB2" w:rsidRDefault="00C27FB2" w:rsidP="007C6433">
      <w:pPr>
        <w:pStyle w:val="ListBullet"/>
      </w:pPr>
      <w:r w:rsidRPr="00D45B1A">
        <w:t>may not be captured across all care settings, hence underestimate the activity at final product level.</w:t>
      </w:r>
    </w:p>
    <w:p w14:paraId="1A732DB0" w14:textId="44DE28E5" w:rsidR="00642AC8" w:rsidRPr="00D45B1A" w:rsidRDefault="00642AC8">
      <w:pPr>
        <w:pStyle w:val="ListBullet"/>
      </w:pPr>
      <w:r w:rsidRPr="00D45B1A">
        <w:t>will require further checks as it may be collected in an ad-hoc manner</w:t>
      </w:r>
      <w:r>
        <w:t>.</w:t>
      </w:r>
    </w:p>
    <w:p w14:paraId="68D63E09" w14:textId="77777777" w:rsidR="00C27FB2" w:rsidRPr="00D45B1A" w:rsidRDefault="00C27FB2" w:rsidP="000B5336">
      <w:pPr>
        <w:pStyle w:val="Level3Heading"/>
      </w:pPr>
      <w:r w:rsidRPr="00D45B1A">
        <w:t>Step 4</w:t>
      </w:r>
      <w:r w:rsidR="00A01EA6">
        <w:t>:</w:t>
      </w:r>
      <w:r w:rsidRPr="00D45B1A">
        <w:t xml:space="preserve"> </w:t>
      </w:r>
      <w:r w:rsidR="00D05D7A">
        <w:t>Creating and mapping</w:t>
      </w:r>
      <w:r w:rsidRPr="00D45B1A">
        <w:t xml:space="preserve"> Interpreter </w:t>
      </w:r>
      <w:r w:rsidR="00D05D7A">
        <w:t>s</w:t>
      </w:r>
      <w:r w:rsidRPr="00D45B1A">
        <w:t xml:space="preserve">ervice </w:t>
      </w:r>
      <w:r w:rsidR="00D05D7A">
        <w:t>costing products or intermediate products</w:t>
      </w:r>
    </w:p>
    <w:p w14:paraId="68D63E0A" w14:textId="77777777" w:rsidR="00C27FB2" w:rsidRPr="00D45B1A" w:rsidRDefault="00C27FB2" w:rsidP="004738A8">
      <w:pPr>
        <w:pStyle w:val="Level3"/>
      </w:pPr>
      <w:r w:rsidRPr="00D45B1A">
        <w:t>The application of interpreter services to costing products will depend on how the costing practitioner establishes the final cost centre in the costing system as either an overhead or final cost centre.</w:t>
      </w:r>
    </w:p>
    <w:p w14:paraId="68D63E0B" w14:textId="77777777" w:rsidR="00C27FB2" w:rsidRPr="00D45B1A" w:rsidRDefault="00C27FB2" w:rsidP="004738A8">
      <w:pPr>
        <w:pStyle w:val="Level3"/>
      </w:pPr>
      <w:r w:rsidRPr="00D45B1A">
        <w:t xml:space="preserve">If interpreter services are treated as an overhead (as the costing practitioner and relevant stakeholders are unable to decipher the frequency of interpreter services by activity), the costing practitioner should assign the most appropriate overhead statistic to distribute these expenses. For example, the interpreter required field might be used to ensure interpreter expenses are only spread to activity where this service was reported. In this case the costing practitioner should inform relevant stakeholders that the methodology does not factor in frequency. </w:t>
      </w:r>
    </w:p>
    <w:p w14:paraId="68D63E0C" w14:textId="77777777" w:rsidR="00C27FB2" w:rsidRPr="00D45B1A" w:rsidRDefault="00C27FB2" w:rsidP="004738A8">
      <w:pPr>
        <w:pStyle w:val="Level3"/>
      </w:pPr>
      <w:r w:rsidRPr="00D45B1A">
        <w:t>If interpreter services are treated as a final cost centre, the costing practitioner should obtain the required detail from the feeder as a means of allocating costs. For example, the costing practitioner might use the type or category of interpreter service and volume of services as a cost driver.</w:t>
      </w:r>
    </w:p>
    <w:p w14:paraId="68D63E0D" w14:textId="19D3C0BF" w:rsidR="00C27FB2" w:rsidRPr="00D45B1A" w:rsidRDefault="00C27FB2" w:rsidP="004738A8">
      <w:pPr>
        <w:pStyle w:val="Level3"/>
      </w:pPr>
      <w:r w:rsidRPr="00D45B1A">
        <w:t>Where the category/type or interpreter service is used for cost allocation, intermediate products will need to be created in the costing system and mapped to the interpreter service final cost centre. An example of such a product is: ‘Interpreter_Language A’, where ‘Interpreter’ is derived from the unit code field, and ‘Language A’ is derived from the Interpreter category</w:t>
      </w:r>
      <w:r w:rsidR="00642AC8">
        <w:t xml:space="preserve"> or </w:t>
      </w:r>
      <w:r w:rsidRPr="00D45B1A">
        <w:t xml:space="preserve">type field of the interpreter service feeder file and describes the service provided (including language spoken). The same would be undertaken for Auslan services where the product would be defined as </w:t>
      </w:r>
      <w:r w:rsidRPr="00D45B1A">
        <w:lastRenderedPageBreak/>
        <w:t>‘Interpreter_ Auslan’. Once the product codes are created, costing practitioners will be required to map this in the costing system to the interpreter service cost centre.</w:t>
      </w:r>
    </w:p>
    <w:p w14:paraId="68D63E0E" w14:textId="05C312C7" w:rsidR="00C27FB2" w:rsidRPr="00D45B1A" w:rsidRDefault="00C27FB2" w:rsidP="000B5336">
      <w:pPr>
        <w:pStyle w:val="Level3Heading"/>
      </w:pPr>
      <w:r w:rsidRPr="00D45B1A">
        <w:t>Step 5</w:t>
      </w:r>
      <w:r w:rsidR="00A01EA6">
        <w:t>:</w:t>
      </w:r>
      <w:r w:rsidRPr="00D45B1A">
        <w:t xml:space="preserve"> Apply </w:t>
      </w:r>
      <w:r w:rsidR="007F1AC6">
        <w:t>r</w:t>
      </w:r>
      <w:r w:rsidRPr="00D45B1A">
        <w:t xml:space="preserve">elative </w:t>
      </w:r>
      <w:r w:rsidR="007F1AC6">
        <w:t>v</w:t>
      </w:r>
      <w:r w:rsidRPr="00D45B1A">
        <w:t xml:space="preserve">alue </w:t>
      </w:r>
      <w:r w:rsidR="007F1AC6">
        <w:t>u</w:t>
      </w:r>
      <w:r w:rsidRPr="00D45B1A">
        <w:t xml:space="preserve">nits </w:t>
      </w:r>
    </w:p>
    <w:p w14:paraId="68D63E0F" w14:textId="7149B71F" w:rsidR="00C27FB2" w:rsidRPr="00D45B1A" w:rsidRDefault="00C27FB2" w:rsidP="004738A8">
      <w:pPr>
        <w:pStyle w:val="Level3"/>
      </w:pPr>
      <w:r w:rsidRPr="00D45B1A">
        <w:t xml:space="preserve">Relative </w:t>
      </w:r>
      <w:r w:rsidR="00642AC8">
        <w:t>v</w:t>
      </w:r>
      <w:r w:rsidR="00A27C5B">
        <w:t xml:space="preserve">alue </w:t>
      </w:r>
      <w:r w:rsidR="00642AC8">
        <w:t>u</w:t>
      </w:r>
      <w:r w:rsidRPr="00D45B1A">
        <w:t>nits</w:t>
      </w:r>
      <w:r w:rsidR="006C54A9">
        <w:t xml:space="preserve"> (RVUs)</w:t>
      </w:r>
      <w:r w:rsidRPr="00D45B1A">
        <w:t xml:space="preserve"> should be determined in consultation with the interpreter service stakeholders. For example, where interpreter services are provided by a third party, the costing practitioner might consider the charge of the service levied by the third party as the appropriate RVU, as it may be considered a cost proxy or represent the value of effort or workflow. </w:t>
      </w:r>
    </w:p>
    <w:p w14:paraId="68D63E10" w14:textId="77777777" w:rsidR="00C27FB2" w:rsidRPr="00D45B1A" w:rsidRDefault="00C27FB2" w:rsidP="000B5336">
      <w:pPr>
        <w:pStyle w:val="Level3Heading"/>
      </w:pPr>
      <w:r w:rsidRPr="00D45B1A">
        <w:t>Step 6</w:t>
      </w:r>
      <w:r w:rsidR="00A01EA6">
        <w:t>:</w:t>
      </w:r>
      <w:r w:rsidRPr="00D45B1A">
        <w:t xml:space="preserve"> </w:t>
      </w:r>
      <w:r w:rsidR="00D05D7A">
        <w:t>Create intermediate product costs in final cost centres</w:t>
      </w:r>
    </w:p>
    <w:p w14:paraId="68D63E11" w14:textId="77777777" w:rsidR="00D678EF" w:rsidRDefault="00D678EF" w:rsidP="004738A8">
      <w:pPr>
        <w:pStyle w:val="Level3"/>
      </w:pPr>
      <w:r>
        <w:t>Two allocation processes are performed:</w:t>
      </w:r>
    </w:p>
    <w:p w14:paraId="68D63E12" w14:textId="3ED8A4F4" w:rsidR="00D678EF" w:rsidRPr="00D46BB1" w:rsidRDefault="00C86031" w:rsidP="004738A8">
      <w:pPr>
        <w:pStyle w:val="ListBullet"/>
      </w:pPr>
      <w:r>
        <w:t>w</w:t>
      </w:r>
      <w:r w:rsidR="00D678EF" w:rsidRPr="00D46BB1">
        <w:t xml:space="preserve">hen overhead costs are allocated to the </w:t>
      </w:r>
      <w:r w:rsidR="009B2BDB">
        <w:t>p</w:t>
      </w:r>
      <w:r w:rsidR="00D678EF" w:rsidRPr="00D46BB1">
        <w:t xml:space="preserve">roduction </w:t>
      </w:r>
      <w:r w:rsidR="009B2BDB">
        <w:t>c</w:t>
      </w:r>
      <w:r w:rsidR="00D678EF" w:rsidRPr="00D46BB1">
        <w:t xml:space="preserve">ost </w:t>
      </w:r>
      <w:r w:rsidR="009B2BDB">
        <w:t>c</w:t>
      </w:r>
      <w:r w:rsidR="00D678EF" w:rsidRPr="00D46BB1">
        <w:t>entre (using an appropriate allocation statistic)</w:t>
      </w:r>
    </w:p>
    <w:p w14:paraId="68D63E13" w14:textId="0DC5E46B" w:rsidR="00D678EF" w:rsidRPr="00D46BB1" w:rsidRDefault="00C86031" w:rsidP="004738A8">
      <w:pPr>
        <w:pStyle w:val="ListBullet"/>
      </w:pPr>
      <w:r>
        <w:t>w</w:t>
      </w:r>
      <w:r w:rsidR="009B2BDB">
        <w:t>hen the p</w:t>
      </w:r>
      <w:r w:rsidR="00D678EF" w:rsidRPr="00D46BB1">
        <w:t xml:space="preserve">roduction </w:t>
      </w:r>
      <w:r w:rsidR="009B2BDB">
        <w:t>c</w:t>
      </w:r>
      <w:r w:rsidR="00D678EF" w:rsidRPr="00D46BB1">
        <w:t xml:space="preserve">ost </w:t>
      </w:r>
      <w:r w:rsidR="009B2BDB">
        <w:t>c</w:t>
      </w:r>
      <w:r w:rsidR="00D678EF" w:rsidRPr="00D46BB1">
        <w:t>entre costs (overhead and direct) are allocated to the intermediate products.</w:t>
      </w:r>
    </w:p>
    <w:p w14:paraId="68D63E14" w14:textId="77777777" w:rsidR="00C27FB2" w:rsidRPr="00D45B1A" w:rsidRDefault="00C27FB2" w:rsidP="000B5336">
      <w:pPr>
        <w:pStyle w:val="Level3Heading"/>
      </w:pPr>
      <w:r w:rsidRPr="00D45B1A">
        <w:t>Step 7</w:t>
      </w:r>
      <w:r w:rsidR="00A01EA6">
        <w:t>:</w:t>
      </w:r>
      <w:r w:rsidRPr="00D45B1A">
        <w:t xml:space="preserve"> </w:t>
      </w:r>
      <w:r w:rsidR="00D05D7A">
        <w:t>Match intermediate products and their costs to patient activity</w:t>
      </w:r>
    </w:p>
    <w:p w14:paraId="68D63E15" w14:textId="77777777" w:rsidR="00C27FB2" w:rsidRPr="00D45B1A" w:rsidRDefault="00C27FB2" w:rsidP="004738A8">
      <w:pPr>
        <w:pStyle w:val="Level3"/>
      </w:pPr>
      <w:r w:rsidRPr="00D45B1A">
        <w:t xml:space="preserve">Where interpreter services are deemed as final care areas, the intermediate products derived such as ‘Interpreter_Language A’ and ‘Interpreter_Auslan’ are matched to the appropriate patient episode or encounter using the appropriate matching criteria. </w:t>
      </w:r>
    </w:p>
    <w:p w14:paraId="68D63E16" w14:textId="77777777" w:rsidR="00C27FB2" w:rsidRPr="00D45B1A" w:rsidRDefault="00C27FB2" w:rsidP="000B5336">
      <w:pPr>
        <w:pStyle w:val="Level3Heading"/>
      </w:pPr>
      <w:r w:rsidRPr="00D45B1A">
        <w:t>Step 8</w:t>
      </w:r>
      <w:r w:rsidR="00A01EA6">
        <w:t>:</w:t>
      </w:r>
      <w:r w:rsidRPr="00D45B1A">
        <w:t xml:space="preserve"> </w:t>
      </w:r>
      <w:r w:rsidR="008A6B15">
        <w:t>Report costs</w:t>
      </w:r>
    </w:p>
    <w:p w14:paraId="68D63E17" w14:textId="77777777" w:rsidR="00C27FB2" w:rsidRPr="00D45B1A" w:rsidRDefault="00C27FB2" w:rsidP="004738A8">
      <w:pPr>
        <w:pStyle w:val="Level3"/>
      </w:pPr>
      <w:r w:rsidRPr="00D45B1A">
        <w:t xml:space="preserve">Costing practitioners should perform the required steps to </w:t>
      </w:r>
      <w:r w:rsidR="00116978">
        <w:t xml:space="preserve">consolidate and report </w:t>
      </w:r>
      <w:r w:rsidRPr="00D45B1A">
        <w:t>costs at patient or encounter level</w:t>
      </w:r>
      <w:r w:rsidRPr="00D45B1A">
        <w:rPr>
          <w:i/>
        </w:rPr>
        <w:t>.</w:t>
      </w:r>
    </w:p>
    <w:p w14:paraId="68D63E18" w14:textId="77777777" w:rsidR="00C27FB2" w:rsidRPr="00D45B1A" w:rsidRDefault="00C27FB2" w:rsidP="000B5336">
      <w:pPr>
        <w:pStyle w:val="Level3Heading"/>
      </w:pPr>
      <w:r w:rsidRPr="00D45B1A">
        <w:t>Step 9</w:t>
      </w:r>
      <w:r w:rsidR="00A01EA6">
        <w:t>:</w:t>
      </w:r>
      <w:r w:rsidRPr="00D45B1A">
        <w:t xml:space="preserve"> </w:t>
      </w:r>
      <w:r w:rsidR="00D05D7A">
        <w:t>Cost data review with</w:t>
      </w:r>
      <w:r w:rsidRPr="00D45B1A">
        <w:t xml:space="preserve"> Interpreter </w:t>
      </w:r>
      <w:r w:rsidR="00D05D7A">
        <w:t>s</w:t>
      </w:r>
      <w:r w:rsidR="00D05D7A" w:rsidRPr="00D45B1A">
        <w:t xml:space="preserve">ervices </w:t>
      </w:r>
      <w:r w:rsidR="00D05D7A">
        <w:t>s</w:t>
      </w:r>
      <w:r w:rsidRPr="00D45B1A">
        <w:t xml:space="preserve">takeholders </w:t>
      </w:r>
    </w:p>
    <w:p w14:paraId="68D63E19" w14:textId="77777777" w:rsidR="00C27FB2" w:rsidRPr="00D45B1A" w:rsidRDefault="00C27FB2" w:rsidP="004738A8">
      <w:pPr>
        <w:pStyle w:val="Level3"/>
      </w:pPr>
      <w:r w:rsidRPr="00D45B1A">
        <w:t>Costing practitioners should meet with their interpreter services stakeholders to report on the costs calculated.</w:t>
      </w:r>
    </w:p>
    <w:p w14:paraId="68D63E1A" w14:textId="77777777" w:rsidR="00C27FB2" w:rsidRPr="00D45B1A" w:rsidRDefault="00C27FB2" w:rsidP="004738A8">
      <w:pPr>
        <w:pStyle w:val="Level3"/>
      </w:pPr>
      <w:r w:rsidRPr="00D45B1A">
        <w:t>Cost data should be reviewed for amongst other checks, the number of costed interpreter interactions against activity collected by interpreter services, such as the number of interpreter interventions to test the reasonableness of the matching criteria</w:t>
      </w:r>
      <w:r w:rsidR="00325D94">
        <w:t xml:space="preserve"> </w:t>
      </w:r>
      <w:r w:rsidRPr="00D45B1A">
        <w:t>collected by the service. The cost relativity per interpreter intervention should also be reviewed.</w:t>
      </w:r>
    </w:p>
    <w:p w14:paraId="68D63E1B" w14:textId="77777777" w:rsidR="00C27FB2" w:rsidRPr="00D45B1A" w:rsidRDefault="00C27FB2" w:rsidP="00C27FB2">
      <w:pPr>
        <w:rPr>
          <w:rFonts w:cs="Arial"/>
        </w:rPr>
      </w:pPr>
      <w:r w:rsidRPr="00D45B1A">
        <w:rPr>
          <w:rFonts w:cs="Arial"/>
        </w:rPr>
        <w:br w:type="page"/>
      </w:r>
    </w:p>
    <w:p w14:paraId="68D63E1C" w14:textId="27B40761" w:rsidR="00C27FB2" w:rsidRPr="00D45B1A" w:rsidRDefault="00C27FB2" w:rsidP="00D97D20">
      <w:pPr>
        <w:pStyle w:val="Heading2"/>
      </w:pPr>
      <w:bookmarkStart w:id="41" w:name="_Toc478631946"/>
      <w:bookmarkStart w:id="42" w:name="_Toc480492978"/>
      <w:bookmarkStart w:id="43" w:name="_Toc80778505"/>
      <w:r w:rsidRPr="00D45B1A">
        <w:lastRenderedPageBreak/>
        <w:t xml:space="preserve">Contracted </w:t>
      </w:r>
      <w:r w:rsidR="00E867EF">
        <w:t>C</w:t>
      </w:r>
      <w:r w:rsidRPr="00D45B1A">
        <w:t>are</w:t>
      </w:r>
      <w:bookmarkEnd w:id="43"/>
    </w:p>
    <w:bookmarkEnd w:id="41"/>
    <w:bookmarkEnd w:id="42"/>
    <w:p w14:paraId="68D63E1D" w14:textId="77777777" w:rsidR="00C27FB2" w:rsidRPr="00D45B1A" w:rsidRDefault="00C27FB2" w:rsidP="00897CD3">
      <w:pPr>
        <w:pStyle w:val="Heading3"/>
      </w:pPr>
      <w:r w:rsidRPr="00D45B1A">
        <w:t>Scope</w:t>
      </w:r>
    </w:p>
    <w:p w14:paraId="68D63E1E" w14:textId="01723DD6" w:rsidR="00C27FB2" w:rsidRPr="000B5336" w:rsidRDefault="00C27FB2" w:rsidP="004738A8">
      <w:pPr>
        <w:pStyle w:val="Level3"/>
      </w:pPr>
      <w:r w:rsidRPr="000B5336">
        <w:t xml:space="preserve">This </w:t>
      </w:r>
      <w:r w:rsidR="00B63007">
        <w:t>guideline</w:t>
      </w:r>
      <w:r w:rsidR="00061CAC">
        <w:t xml:space="preserve"> outlines an approach</w:t>
      </w:r>
      <w:r w:rsidRPr="000B5336">
        <w:t xml:space="preserve"> to identify the scope and source of expenses which relate to contracted care.</w:t>
      </w:r>
    </w:p>
    <w:p w14:paraId="68D63E1F" w14:textId="16BAF484" w:rsidR="00C27FB2" w:rsidRDefault="00C27FB2" w:rsidP="004738A8">
      <w:pPr>
        <w:pStyle w:val="Level3"/>
      </w:pPr>
      <w:r w:rsidRPr="00D45B1A">
        <w:t xml:space="preserve">This </w:t>
      </w:r>
      <w:r w:rsidR="00B63007">
        <w:t>guideline</w:t>
      </w:r>
      <w:r w:rsidRPr="00D45B1A">
        <w:t xml:space="preserve"> also provides practical steps and examples to guide staff on the patient costing process for this activity.</w:t>
      </w:r>
    </w:p>
    <w:p w14:paraId="68D63E20" w14:textId="1D432128" w:rsidR="000B5336" w:rsidRPr="00D45B1A" w:rsidRDefault="000B5336" w:rsidP="000B5336">
      <w:pPr>
        <w:pStyle w:val="Level3Heading"/>
      </w:pPr>
      <w:r w:rsidRPr="00D45B1A">
        <w:t xml:space="preserve">Scope of </w:t>
      </w:r>
      <w:r w:rsidR="007F1AC6">
        <w:t>c</w:t>
      </w:r>
      <w:r w:rsidRPr="00D45B1A">
        <w:t xml:space="preserve">ontracted </w:t>
      </w:r>
      <w:r w:rsidR="00D05D7A">
        <w:t>c</w:t>
      </w:r>
      <w:r w:rsidRPr="00D45B1A">
        <w:t>are</w:t>
      </w:r>
    </w:p>
    <w:p w14:paraId="68D63E21" w14:textId="77777777" w:rsidR="000B5336" w:rsidRPr="00D45B1A" w:rsidRDefault="000B5336" w:rsidP="004738A8">
      <w:pPr>
        <w:pStyle w:val="Level3"/>
      </w:pPr>
      <w:r w:rsidRPr="00D45B1A">
        <w:t xml:space="preserve">Many hospitals have outsourced or purchased contracted care services from another hospital or external entity for their day to day delivery of hospital services. The hospital may also at the same time provide contracted care services to external organisations. </w:t>
      </w:r>
    </w:p>
    <w:p w14:paraId="68D63E22" w14:textId="77777777" w:rsidR="000B5336" w:rsidRPr="00D45B1A" w:rsidRDefault="000B5336" w:rsidP="004738A8">
      <w:pPr>
        <w:pStyle w:val="Level3"/>
      </w:pPr>
      <w:r w:rsidRPr="00D45B1A">
        <w:t>Examples of services contracted out or provided to external entities include:</w:t>
      </w:r>
    </w:p>
    <w:p w14:paraId="68D63E23" w14:textId="452BA4D5" w:rsidR="000B5336" w:rsidRPr="00D45B1A" w:rsidRDefault="00C76532" w:rsidP="007C6433">
      <w:pPr>
        <w:pStyle w:val="ListBullet"/>
      </w:pPr>
      <w:r>
        <w:t>T</w:t>
      </w:r>
      <w:r w:rsidR="000B5336" w:rsidRPr="00D45B1A">
        <w:t>reatment</w:t>
      </w:r>
      <w:r>
        <w:t xml:space="preserve"> or </w:t>
      </w:r>
      <w:r w:rsidR="000B5336" w:rsidRPr="00D45B1A">
        <w:t>care of all or part of the admitted episode pro</w:t>
      </w:r>
      <w:r w:rsidR="00C86031">
        <w:t>vided to</w:t>
      </w:r>
      <w:r>
        <w:t xml:space="preserve"> or </w:t>
      </w:r>
      <w:r w:rsidR="00C86031">
        <w:t>by another hospital</w:t>
      </w:r>
      <w:r w:rsidR="000B5336" w:rsidRPr="00D45B1A">
        <w:t xml:space="preserve"> </w:t>
      </w:r>
    </w:p>
    <w:p w14:paraId="68D63E24" w14:textId="365F4729" w:rsidR="000B5336" w:rsidRPr="00D45B1A" w:rsidRDefault="000B5336" w:rsidP="007C6433">
      <w:pPr>
        <w:pStyle w:val="ListBullet"/>
      </w:pPr>
      <w:r w:rsidRPr="00D45B1A">
        <w:t>diagnostic and clinical services provided to</w:t>
      </w:r>
      <w:r w:rsidR="00642AC8">
        <w:t xml:space="preserve"> or </w:t>
      </w:r>
      <w:r w:rsidRPr="00D45B1A">
        <w:t xml:space="preserve">by external providers, such as pathology services </w:t>
      </w:r>
    </w:p>
    <w:p w14:paraId="68D63E25" w14:textId="0039CA30" w:rsidR="000B5336" w:rsidRPr="00D45B1A" w:rsidRDefault="000B5336" w:rsidP="007C6433">
      <w:pPr>
        <w:pStyle w:val="ListBullet"/>
      </w:pPr>
      <w:r w:rsidRPr="00D45B1A">
        <w:t>support services such as catering, security provided to</w:t>
      </w:r>
      <w:r w:rsidR="00C76532">
        <w:t xml:space="preserve"> or </w:t>
      </w:r>
      <w:r w:rsidRPr="00D45B1A">
        <w:t>by external providers.</w:t>
      </w:r>
    </w:p>
    <w:p w14:paraId="68D63E26" w14:textId="77777777" w:rsidR="000B5336" w:rsidRPr="00D45B1A" w:rsidRDefault="000B5336" w:rsidP="004738A8">
      <w:pPr>
        <w:pStyle w:val="Level3"/>
      </w:pPr>
      <w:r w:rsidRPr="00D45B1A">
        <w:t>These contracted services should be attached to patient activity with costs assigned as they are part of the production process.</w:t>
      </w:r>
    </w:p>
    <w:p w14:paraId="68D63E27" w14:textId="77777777" w:rsidR="00C27FB2" w:rsidRPr="00D45B1A" w:rsidRDefault="00C27FB2" w:rsidP="00897CD3">
      <w:pPr>
        <w:pStyle w:val="Heading3"/>
      </w:pPr>
      <w:r w:rsidRPr="00D45B1A">
        <w:t>Objective</w:t>
      </w:r>
    </w:p>
    <w:p w14:paraId="68D63E28" w14:textId="335BB929" w:rsidR="00C27FB2" w:rsidRPr="00D45B1A" w:rsidRDefault="00C27FB2" w:rsidP="004738A8">
      <w:pPr>
        <w:pStyle w:val="Level3"/>
      </w:pPr>
      <w:r w:rsidRPr="00D45B1A">
        <w:t xml:space="preserve">The objective of this </w:t>
      </w:r>
      <w:r w:rsidR="00B63007">
        <w:t>guideline</w:t>
      </w:r>
      <w:r w:rsidRPr="00D45B1A">
        <w:t xml:space="preserve"> is to ensure that all contracted care expenses which contribute to an </w:t>
      </w:r>
      <w:r w:rsidR="00047D03" w:rsidRPr="00D45B1A">
        <w:t>organisation’s</w:t>
      </w:r>
      <w:r w:rsidRPr="00D45B1A">
        <w:t xml:space="preserve"> day to day production of final products are included in patient costing and in determining the full cost of production.</w:t>
      </w:r>
    </w:p>
    <w:p w14:paraId="68D63E29" w14:textId="60DB2FE0" w:rsidR="00C27FB2" w:rsidRPr="00D45B1A" w:rsidRDefault="00C27FB2" w:rsidP="004738A8">
      <w:pPr>
        <w:pStyle w:val="Level3"/>
      </w:pPr>
      <w:r w:rsidRPr="00D45B1A">
        <w:t xml:space="preserve">This </w:t>
      </w:r>
      <w:r w:rsidR="00B63007">
        <w:t>guideline</w:t>
      </w:r>
      <w:r w:rsidRPr="00D45B1A">
        <w:t xml:space="preserve"> also aims to provide a resource for staff to assist them undertake the patient level costing exercise by providing practical examples of contracted care services and attaching these services to activity.</w:t>
      </w:r>
    </w:p>
    <w:p w14:paraId="68D63E2A" w14:textId="53C87BA1" w:rsidR="00C27FB2" w:rsidRPr="00D45B1A" w:rsidRDefault="00B63007" w:rsidP="00897CD3">
      <w:pPr>
        <w:pStyle w:val="Heading3"/>
      </w:pPr>
      <w:r>
        <w:t xml:space="preserve">Costing </w:t>
      </w:r>
      <w:r w:rsidR="00952713">
        <w:t>G</w:t>
      </w:r>
      <w:r>
        <w:t>uideline</w:t>
      </w:r>
    </w:p>
    <w:p w14:paraId="68D63E2B" w14:textId="77777777" w:rsidR="00C27FB2" w:rsidRPr="00D45B1A" w:rsidRDefault="00C27FB2" w:rsidP="000B5336">
      <w:pPr>
        <w:pStyle w:val="Level3Heading"/>
      </w:pPr>
      <w:r w:rsidRPr="00D45B1A">
        <w:t>Step 1</w:t>
      </w:r>
      <w:r w:rsidR="00A01EA6">
        <w:t>:</w:t>
      </w:r>
      <w:r w:rsidRPr="00D45B1A">
        <w:t xml:space="preserve"> Stakeholder </w:t>
      </w:r>
      <w:r w:rsidR="00D05D7A">
        <w:t>i</w:t>
      </w:r>
      <w:r w:rsidRPr="00D45B1A">
        <w:t>dentification</w:t>
      </w:r>
    </w:p>
    <w:p w14:paraId="68D63E2C" w14:textId="77777777" w:rsidR="00C27FB2" w:rsidRPr="00D45B1A" w:rsidRDefault="00C27FB2" w:rsidP="004738A8">
      <w:pPr>
        <w:pStyle w:val="Level3"/>
      </w:pPr>
      <w:r w:rsidRPr="00D45B1A">
        <w:t>Costing practitioners should consult contract management and finance stakeholders to get an overview of all contracted care arrangements within their hospital. All expenses for these contracted care activities which relate to the day to day production of final outputs should be identified and accounted for accordingly.</w:t>
      </w:r>
    </w:p>
    <w:p w14:paraId="68D63E2D" w14:textId="4D3BAA27" w:rsidR="00C27FB2" w:rsidRPr="00D45B1A" w:rsidRDefault="00C27FB2" w:rsidP="000B5336">
      <w:pPr>
        <w:pStyle w:val="Level3Heading"/>
      </w:pPr>
      <w:r w:rsidRPr="00D45B1A">
        <w:t>Step 2</w:t>
      </w:r>
      <w:r w:rsidR="00A01EA6">
        <w:t>:</w:t>
      </w:r>
      <w:r w:rsidRPr="00D45B1A">
        <w:t xml:space="preserve"> Align </w:t>
      </w:r>
      <w:r w:rsidR="00D05D7A">
        <w:t>e</w:t>
      </w:r>
      <w:r w:rsidRPr="00D45B1A">
        <w:t xml:space="preserve">xpense to the </w:t>
      </w:r>
      <w:r w:rsidR="007F1AC6">
        <w:t>c</w:t>
      </w:r>
      <w:r w:rsidRPr="00D45B1A">
        <w:t xml:space="preserve">ontracted </w:t>
      </w:r>
      <w:r w:rsidR="00D05D7A">
        <w:t>c</w:t>
      </w:r>
      <w:r w:rsidRPr="00D45B1A">
        <w:t xml:space="preserve">are </w:t>
      </w:r>
      <w:r w:rsidR="00D05D7A">
        <w:t>s</w:t>
      </w:r>
      <w:r w:rsidRPr="00D45B1A">
        <w:t xml:space="preserve">ervices </w:t>
      </w:r>
      <w:r w:rsidR="00D05D7A">
        <w:t>d</w:t>
      </w:r>
      <w:r w:rsidRPr="00D45B1A">
        <w:t xml:space="preserve">epartment </w:t>
      </w:r>
      <w:r w:rsidR="00D05D7A">
        <w:t>and define overhead and direct expenses, including overhead allocation methods</w:t>
      </w:r>
      <w:r w:rsidRPr="00D45B1A">
        <w:t xml:space="preserve"> </w:t>
      </w:r>
    </w:p>
    <w:p w14:paraId="68D63E2E" w14:textId="77777777" w:rsidR="00C27FB2" w:rsidRPr="00D45B1A" w:rsidRDefault="00C27FB2" w:rsidP="004738A8">
      <w:pPr>
        <w:pStyle w:val="Level3"/>
      </w:pPr>
      <w:r w:rsidRPr="00D45B1A">
        <w:t xml:space="preserve">Costing practitioners should engage finance stakeholders to ascertain how the various contracted care expenses are recorded within the general ledger. </w:t>
      </w:r>
    </w:p>
    <w:p w14:paraId="68D63E2F" w14:textId="77777777" w:rsidR="00C27FB2" w:rsidRPr="00D45B1A" w:rsidRDefault="00C27FB2" w:rsidP="004738A8">
      <w:pPr>
        <w:pStyle w:val="Level3"/>
      </w:pPr>
      <w:r w:rsidRPr="00D45B1A">
        <w:lastRenderedPageBreak/>
        <w:t>Costing practitioners will be able to establish relevant final cost centres following an understanding of expenses and contracted care activities.</w:t>
      </w:r>
    </w:p>
    <w:p w14:paraId="68D63E30" w14:textId="6F8CB25C" w:rsidR="00C27FB2" w:rsidRPr="00D45B1A" w:rsidRDefault="004738A8" w:rsidP="004738A8">
      <w:pPr>
        <w:pStyle w:val="Level3"/>
      </w:pPr>
      <w:r w:rsidRPr="00A27C5B">
        <w:t xml:space="preserve">Align </w:t>
      </w:r>
      <w:r w:rsidR="00642AC8">
        <w:t>e</w:t>
      </w:r>
      <w:r w:rsidRPr="00A27C5B">
        <w:t xml:space="preserve">xpense to </w:t>
      </w:r>
      <w:r w:rsidR="00642AC8">
        <w:t>f</w:t>
      </w:r>
      <w:r w:rsidRPr="00A27C5B">
        <w:t xml:space="preserve">inal cost centres for </w:t>
      </w:r>
      <w:r w:rsidR="00642AC8">
        <w:t>c</w:t>
      </w:r>
      <w:r w:rsidRPr="00A27C5B">
        <w:t xml:space="preserve">ontracting </w:t>
      </w:r>
      <w:r w:rsidR="00642AC8">
        <w:t>h</w:t>
      </w:r>
      <w:r w:rsidRPr="00A27C5B">
        <w:t>ospital</w:t>
      </w:r>
      <w:r w:rsidR="00642AC8">
        <w:t xml:space="preserve"> or p</w:t>
      </w:r>
      <w:r w:rsidRPr="00A27C5B">
        <w:t>urchaser</w:t>
      </w:r>
      <w:r>
        <w:rPr>
          <w:i/>
        </w:rPr>
        <w:t xml:space="preserve"> - </w:t>
      </w:r>
      <w:r>
        <w:br/>
      </w:r>
      <w:r w:rsidR="00C27FB2" w:rsidRPr="00D45B1A">
        <w:t>The following should be noted for the contracting hospital</w:t>
      </w:r>
      <w:r w:rsidR="00642AC8">
        <w:t xml:space="preserve"> or </w:t>
      </w:r>
      <w:r w:rsidR="00C27FB2" w:rsidRPr="00D45B1A">
        <w:t>purchaser:</w:t>
      </w:r>
    </w:p>
    <w:p w14:paraId="68D63E31" w14:textId="77777777" w:rsidR="00C27FB2" w:rsidRPr="00D45B1A" w:rsidRDefault="00C27FB2" w:rsidP="007C6433">
      <w:pPr>
        <w:pStyle w:val="ListBullet"/>
      </w:pPr>
      <w:r w:rsidRPr="00D45B1A">
        <w:t>The contracting hospital (purchaser) will normally receive invoices (generally in an aggregated amount) from the provider. This invoiced amount will be charged to the general ledger to a specific cost centre or assigned through an account code. Where possible costing practitioners, for feeder or activity purposes should seek to have this invoice disaggregated by activity to enable more informed costing.</w:t>
      </w:r>
    </w:p>
    <w:p w14:paraId="68D63E32" w14:textId="77777777" w:rsidR="00C27FB2" w:rsidRPr="00D45B1A" w:rsidRDefault="00C27FB2" w:rsidP="007C6433">
      <w:pPr>
        <w:pStyle w:val="ListBullet"/>
      </w:pPr>
      <w:r w:rsidRPr="00D45B1A">
        <w:t xml:space="preserve">Where services are provided on-site by the external provider, overhead or direct expenses may be allocated to these contracted care activities. </w:t>
      </w:r>
    </w:p>
    <w:p w14:paraId="68D63E33" w14:textId="77777777" w:rsidR="00C27FB2" w:rsidRPr="00D45B1A" w:rsidRDefault="00C27FB2" w:rsidP="007C6433">
      <w:pPr>
        <w:pStyle w:val="ListBullet"/>
      </w:pPr>
      <w:r w:rsidRPr="00D45B1A">
        <w:t>Depending on the contract arrangement, these expenses may be recoverable from the external providers. Costing practitioners must ensure all the expenses in the general ledger reflect the contractual arrangements.</w:t>
      </w:r>
    </w:p>
    <w:p w14:paraId="68D63E34" w14:textId="77777777" w:rsidR="00C27FB2" w:rsidRPr="00D45B1A" w:rsidRDefault="00C27FB2" w:rsidP="007C6433">
      <w:pPr>
        <w:pStyle w:val="ListBullet"/>
      </w:pPr>
      <w:r w:rsidRPr="00D45B1A">
        <w:t xml:space="preserve">Where the aggregated amount is posted to one account code, the costing practitioner should review if this is the correct posting and reflects where the contracted care is provided. </w:t>
      </w:r>
    </w:p>
    <w:p w14:paraId="68D63E35" w14:textId="77777777" w:rsidR="00C27FB2" w:rsidRPr="00D45B1A" w:rsidRDefault="00C27FB2" w:rsidP="007C6433">
      <w:pPr>
        <w:pStyle w:val="ListBullet"/>
      </w:pPr>
      <w:r w:rsidRPr="00D45B1A">
        <w:t>Where changes are required, costing practitioners may need to split and map the invoiced amount to separate account codes to reflect service provision. This will also allow the expenses to be mapped to appropriate line items.</w:t>
      </w:r>
    </w:p>
    <w:p w14:paraId="68D63E36" w14:textId="77777777" w:rsidR="00C27FB2" w:rsidRPr="000B5336" w:rsidRDefault="00C27FB2" w:rsidP="007C6433">
      <w:pPr>
        <w:pStyle w:val="ListBullet"/>
      </w:pPr>
      <w:r w:rsidRPr="00D45B1A">
        <w:t>Any other direct or overhead expenses that are incurred for these activities should be moved</w:t>
      </w:r>
      <w:r w:rsidRPr="00D45B1A">
        <w:rPr>
          <w:lang w:eastAsia="ja-JP"/>
        </w:rPr>
        <w:t xml:space="preserve"> or allocated to these final cost centres. </w:t>
      </w:r>
      <w:r w:rsidRPr="00D45B1A">
        <w:t>Costing practitioners should note that some overheads are not normally allocated to off-site external providers (such as fuel light and power), however should also discuss which overheads may be relevant (such as contract management functions).</w:t>
      </w:r>
    </w:p>
    <w:p w14:paraId="68D63E37" w14:textId="7C745B14" w:rsidR="00C27FB2" w:rsidRPr="00D45B1A" w:rsidRDefault="00A01EA6" w:rsidP="004738A8">
      <w:pPr>
        <w:pStyle w:val="Level3"/>
      </w:pPr>
      <w:r w:rsidRPr="00A27C5B">
        <w:t xml:space="preserve">Align </w:t>
      </w:r>
      <w:r w:rsidR="00642AC8">
        <w:t>e</w:t>
      </w:r>
      <w:r w:rsidRPr="00A27C5B">
        <w:t xml:space="preserve">xpense to </w:t>
      </w:r>
      <w:r w:rsidR="00642AC8">
        <w:t>f</w:t>
      </w:r>
      <w:r w:rsidRPr="00A27C5B">
        <w:t xml:space="preserve">inal cost centres for </w:t>
      </w:r>
      <w:r w:rsidR="00642AC8">
        <w:t>c</w:t>
      </w:r>
      <w:r w:rsidRPr="00A27C5B">
        <w:t xml:space="preserve">ontracted </w:t>
      </w:r>
      <w:r w:rsidR="00642AC8">
        <w:t>h</w:t>
      </w:r>
      <w:r w:rsidRPr="00A27C5B">
        <w:t>ospital</w:t>
      </w:r>
      <w:r w:rsidR="00642AC8">
        <w:t xml:space="preserve"> or p</w:t>
      </w:r>
      <w:r w:rsidRPr="00A27C5B">
        <w:t>rovider</w:t>
      </w:r>
      <w:r w:rsidRPr="00607D90">
        <w:rPr>
          <w:i/>
        </w:rPr>
        <w:t xml:space="preserve"> - </w:t>
      </w:r>
      <w:r w:rsidR="00C27FB2" w:rsidRPr="00D45B1A">
        <w:t>The</w:t>
      </w:r>
      <w:r>
        <w:t xml:space="preserve"> </w:t>
      </w:r>
      <w:r w:rsidR="00C27FB2" w:rsidRPr="00D45B1A">
        <w:t>following should be noted for the contracted hospital</w:t>
      </w:r>
      <w:r w:rsidR="00642AC8">
        <w:t xml:space="preserve"> or </w:t>
      </w:r>
      <w:r w:rsidR="00C27FB2" w:rsidRPr="00D45B1A">
        <w:t>provider of service:</w:t>
      </w:r>
    </w:p>
    <w:p w14:paraId="68D63E38" w14:textId="77777777" w:rsidR="00C27FB2" w:rsidRPr="00D45B1A" w:rsidRDefault="00C27FB2" w:rsidP="007C6433">
      <w:pPr>
        <w:pStyle w:val="ListBullet"/>
      </w:pPr>
      <w:r w:rsidRPr="00D45B1A">
        <w:rPr>
          <w:lang w:eastAsia="ja-JP"/>
        </w:rPr>
        <w:t xml:space="preserve">Costing </w:t>
      </w:r>
      <w:r w:rsidRPr="00D45B1A">
        <w:t>practitioners should ensure that expenses specifically incurred for the contracted care activities are allocated to these activities only.</w:t>
      </w:r>
    </w:p>
    <w:p w14:paraId="68D63E39" w14:textId="77777777" w:rsidR="00C27FB2" w:rsidRPr="00D45B1A" w:rsidRDefault="00C27FB2" w:rsidP="007C6433">
      <w:pPr>
        <w:pStyle w:val="ListBullet"/>
      </w:pPr>
      <w:r w:rsidRPr="00D45B1A">
        <w:t>Costing practitioners must ensure that no revenue of the contracted care services is offset against the expenses. However, if the service is operated as a commercial entity and the costing practitioner is unable to partition cost to be allocated to patient product and cost incurred on the contracted care activities, the cost practitioner may use the revenue derived from the contract care services as cost recovery against patient product costs.</w:t>
      </w:r>
    </w:p>
    <w:p w14:paraId="68D63E3A" w14:textId="1BE7C489" w:rsidR="00C27FB2" w:rsidRPr="00D45B1A" w:rsidRDefault="00C27FB2" w:rsidP="007C6433">
      <w:pPr>
        <w:pStyle w:val="ListBullet"/>
      </w:pPr>
      <w:r w:rsidRPr="00D45B1A">
        <w:t>Contracted activities to non-patient products or external private parties may be classified, costed and reported as commercial activities – as per B</w:t>
      </w:r>
      <w:r w:rsidR="009B2BDB">
        <w:t xml:space="preserve">usiness Rule </w:t>
      </w:r>
      <w:r w:rsidRPr="00D45B1A">
        <w:t>6 – Matching Production and Cost – Commercial Business Entities</w:t>
      </w:r>
      <w:r w:rsidR="00C86031">
        <w:t>.</w:t>
      </w:r>
    </w:p>
    <w:p w14:paraId="68D63E3B" w14:textId="2F910AD1" w:rsidR="00C27FB2" w:rsidRPr="00D45B1A" w:rsidRDefault="00C27FB2" w:rsidP="004738A8">
      <w:pPr>
        <w:pStyle w:val="Level3"/>
      </w:pPr>
      <w:r w:rsidRPr="00A27C5B">
        <w:t xml:space="preserve">Record </w:t>
      </w:r>
      <w:r w:rsidR="00642AC8">
        <w:t>e</w:t>
      </w:r>
      <w:r w:rsidRPr="00A27C5B">
        <w:t xml:space="preserve">xpense </w:t>
      </w:r>
      <w:r w:rsidR="00642AC8">
        <w:t>a</w:t>
      </w:r>
      <w:r w:rsidRPr="00A27C5B">
        <w:t xml:space="preserve">lignment </w:t>
      </w:r>
      <w:r w:rsidR="00642AC8">
        <w:t>d</w:t>
      </w:r>
      <w:r w:rsidRPr="00A27C5B">
        <w:t>ecisions</w:t>
      </w:r>
      <w:r w:rsidRPr="00D45B1A">
        <w:rPr>
          <w:i/>
        </w:rPr>
        <w:t xml:space="preserve"> – </w:t>
      </w:r>
      <w:r w:rsidRPr="00D45B1A">
        <w:t xml:space="preserve">Costing practitioners should utilise the costing system or another medium to record: </w:t>
      </w:r>
    </w:p>
    <w:p w14:paraId="68D63E3C" w14:textId="4882FA62" w:rsidR="00C27FB2" w:rsidRPr="00D45B1A" w:rsidRDefault="00C27FB2" w:rsidP="007C6433">
      <w:pPr>
        <w:pStyle w:val="ListBullet"/>
      </w:pPr>
      <w:r w:rsidRPr="00D45B1A">
        <w:lastRenderedPageBreak/>
        <w:t>the contracted care services expense and relevan</w:t>
      </w:r>
      <w:r w:rsidR="00C86031">
        <w:t>t mapping to final cost centres</w:t>
      </w:r>
      <w:r w:rsidRPr="00D45B1A">
        <w:t xml:space="preserve"> </w:t>
      </w:r>
    </w:p>
    <w:p w14:paraId="68D63E3D" w14:textId="6E6BA058" w:rsidR="00C27FB2" w:rsidRPr="00D45B1A" w:rsidRDefault="00C27FB2" w:rsidP="007C6433">
      <w:pPr>
        <w:pStyle w:val="ListBullet"/>
      </w:pPr>
      <w:r w:rsidRPr="00D45B1A">
        <w:t xml:space="preserve">the stakeholders </w:t>
      </w:r>
      <w:r w:rsidR="00C86031">
        <w:t>they met with</w:t>
      </w:r>
      <w:r w:rsidRPr="00D45B1A">
        <w:t xml:space="preserve"> </w:t>
      </w:r>
    </w:p>
    <w:p w14:paraId="68D63E3E" w14:textId="32FFB4E0" w:rsidR="00C27FB2" w:rsidRPr="00D45B1A" w:rsidRDefault="00C86031" w:rsidP="007C6433">
      <w:pPr>
        <w:pStyle w:val="ListBullet"/>
      </w:pPr>
      <w:r>
        <w:t>the date of the meeting</w:t>
      </w:r>
    </w:p>
    <w:p w14:paraId="68D63E3F" w14:textId="77777777" w:rsidR="00C27FB2" w:rsidRPr="00D45B1A" w:rsidRDefault="00C27FB2" w:rsidP="007C6433">
      <w:pPr>
        <w:pStyle w:val="ListBullet"/>
      </w:pPr>
      <w:r w:rsidRPr="00D45B1A">
        <w:t>a date for future review of contracted care services alignment.</w:t>
      </w:r>
    </w:p>
    <w:p w14:paraId="68D63E40" w14:textId="04FB6BC5" w:rsidR="00C27FB2" w:rsidRPr="00D45B1A" w:rsidRDefault="00C27FB2" w:rsidP="000B5336">
      <w:pPr>
        <w:pStyle w:val="Level3Heading"/>
      </w:pPr>
      <w:r w:rsidRPr="00D45B1A">
        <w:t>Step 3</w:t>
      </w:r>
      <w:r w:rsidR="00A01EA6">
        <w:t>:</w:t>
      </w:r>
      <w:r w:rsidRPr="00D45B1A">
        <w:t xml:space="preserve"> Identify </w:t>
      </w:r>
      <w:r w:rsidR="00D05D7A">
        <w:t>p</w:t>
      </w:r>
      <w:r w:rsidRPr="00D45B1A">
        <w:t xml:space="preserve">atient </w:t>
      </w:r>
      <w:r w:rsidR="00D05D7A">
        <w:t>l</w:t>
      </w:r>
      <w:r w:rsidR="00D05D7A" w:rsidRPr="00D45B1A">
        <w:t xml:space="preserve">evel </w:t>
      </w:r>
      <w:r w:rsidR="00D05D7A">
        <w:t>a</w:t>
      </w:r>
      <w:r w:rsidR="00D05D7A" w:rsidRPr="00D45B1A">
        <w:t xml:space="preserve">ctivity </w:t>
      </w:r>
      <w:r w:rsidRPr="00D45B1A">
        <w:t xml:space="preserve">and </w:t>
      </w:r>
      <w:r w:rsidR="007F1AC6">
        <w:t>c</w:t>
      </w:r>
      <w:r w:rsidRPr="00D45B1A">
        <w:t xml:space="preserve">ontracted </w:t>
      </w:r>
      <w:r w:rsidR="00D05D7A">
        <w:t>c</w:t>
      </w:r>
      <w:r w:rsidR="00D05D7A" w:rsidRPr="00D45B1A">
        <w:t xml:space="preserve">are </w:t>
      </w:r>
      <w:r w:rsidR="00D05D7A">
        <w:t>feeder data and perform quality assurance checks</w:t>
      </w:r>
      <w:r w:rsidRPr="00D45B1A">
        <w:t xml:space="preserve"> </w:t>
      </w:r>
    </w:p>
    <w:p w14:paraId="68D63E41" w14:textId="77777777" w:rsidR="00C27FB2" w:rsidRPr="00D45B1A" w:rsidRDefault="00C27FB2" w:rsidP="004738A8">
      <w:pPr>
        <w:pStyle w:val="Level3"/>
      </w:pPr>
      <w:r w:rsidRPr="00D45B1A">
        <w:t>Costing practitioners may obtain (depending upon the service and availability of data) both the purchased and contracted out activities from their own feeder systems.</w:t>
      </w:r>
    </w:p>
    <w:p w14:paraId="68D63E42" w14:textId="77777777" w:rsidR="00C27FB2" w:rsidRPr="00D45B1A" w:rsidRDefault="00C27FB2" w:rsidP="004738A8">
      <w:pPr>
        <w:pStyle w:val="Level3"/>
      </w:pPr>
      <w:r w:rsidRPr="00D45B1A">
        <w:t xml:space="preserve">Costing practitioners should perform quality assurance checks on the contracted care activity file prior to the costing process. For example, checks should be made on the date of service (to test reliability to remove error dates and ensure dates are relevant to the period being costed). </w:t>
      </w:r>
    </w:p>
    <w:p w14:paraId="68D63E43" w14:textId="3C6210A0" w:rsidR="00C27FB2" w:rsidRPr="00D45B1A" w:rsidRDefault="00C27FB2" w:rsidP="000B5336">
      <w:pPr>
        <w:pStyle w:val="Level3Heading"/>
      </w:pPr>
      <w:r w:rsidRPr="00D45B1A">
        <w:t>Step 4</w:t>
      </w:r>
      <w:r w:rsidR="00A01EA6">
        <w:t>:</w:t>
      </w:r>
      <w:r w:rsidRPr="00D45B1A">
        <w:t xml:space="preserve"> </w:t>
      </w:r>
      <w:r w:rsidR="00D05D7A">
        <w:t>Creating and mapping</w:t>
      </w:r>
      <w:r w:rsidRPr="00D45B1A">
        <w:t xml:space="preserve"> </w:t>
      </w:r>
      <w:r w:rsidR="007F1AC6">
        <w:t>c</w:t>
      </w:r>
      <w:r w:rsidRPr="00D45B1A">
        <w:t xml:space="preserve">ontracted </w:t>
      </w:r>
      <w:r w:rsidR="00D05D7A">
        <w:t>c</w:t>
      </w:r>
      <w:r w:rsidRPr="00D45B1A">
        <w:t xml:space="preserve">are </w:t>
      </w:r>
      <w:r w:rsidR="00D05D7A">
        <w:t>s</w:t>
      </w:r>
      <w:r w:rsidRPr="00D45B1A">
        <w:t xml:space="preserve">ervice </w:t>
      </w:r>
      <w:r w:rsidR="00D05D7A">
        <w:t>costing products or intermediate products</w:t>
      </w:r>
    </w:p>
    <w:p w14:paraId="68D63E44" w14:textId="77777777" w:rsidR="00C27FB2" w:rsidRPr="00D45B1A" w:rsidRDefault="00C27FB2" w:rsidP="004738A8">
      <w:pPr>
        <w:pStyle w:val="Level3"/>
      </w:pPr>
      <w:r w:rsidRPr="00D45B1A">
        <w:t>If contracted care services are treated as an overhead, costing practitioners should assign the most appropriate overhead statistic to distribute these expenses.</w:t>
      </w:r>
    </w:p>
    <w:p w14:paraId="68D63E45" w14:textId="77777777" w:rsidR="00C27FB2" w:rsidRPr="00D45B1A" w:rsidRDefault="00C27FB2" w:rsidP="004738A8">
      <w:pPr>
        <w:pStyle w:val="Level3"/>
      </w:pPr>
      <w:r w:rsidRPr="00D45B1A">
        <w:t xml:space="preserve"> If contracted care services are treated as direct cost, intermediate products may be created and mapped to respective final cost centres.</w:t>
      </w:r>
    </w:p>
    <w:p w14:paraId="68D63E46" w14:textId="77777777" w:rsidR="00C27FB2" w:rsidRPr="00D45B1A" w:rsidRDefault="00C27FB2" w:rsidP="004738A8">
      <w:pPr>
        <w:pStyle w:val="Level3"/>
      </w:pPr>
      <w:r w:rsidRPr="00D45B1A">
        <w:t>Where a hospital provides services to its own patients and the same services are also provided to external entities as part of a contracted care arrangement, the intermediate product codes created should be the same.</w:t>
      </w:r>
    </w:p>
    <w:p w14:paraId="68D63E47" w14:textId="356E47BE" w:rsidR="00C27FB2" w:rsidRPr="00D45B1A" w:rsidRDefault="00C27FB2" w:rsidP="000B5336">
      <w:pPr>
        <w:pStyle w:val="Level3Heading"/>
      </w:pPr>
      <w:r w:rsidRPr="00D45B1A">
        <w:t>Step 5</w:t>
      </w:r>
      <w:r w:rsidR="00A01EA6">
        <w:t>:</w:t>
      </w:r>
      <w:r w:rsidRPr="00D45B1A">
        <w:t xml:space="preserve"> Apply </w:t>
      </w:r>
      <w:r w:rsidR="007F1AC6">
        <w:t>r</w:t>
      </w:r>
      <w:r w:rsidRPr="00D45B1A">
        <w:t xml:space="preserve">elative </w:t>
      </w:r>
      <w:r w:rsidR="007F1AC6">
        <w:t>v</w:t>
      </w:r>
      <w:r w:rsidRPr="00D45B1A">
        <w:t xml:space="preserve">alue </w:t>
      </w:r>
      <w:r w:rsidR="007F1AC6">
        <w:t>u</w:t>
      </w:r>
      <w:r w:rsidRPr="00D45B1A">
        <w:t xml:space="preserve">nits </w:t>
      </w:r>
    </w:p>
    <w:p w14:paraId="68D63E48" w14:textId="3794B3F0" w:rsidR="00C27FB2" w:rsidRPr="00D45B1A" w:rsidRDefault="00C27FB2" w:rsidP="004738A8">
      <w:pPr>
        <w:pStyle w:val="Level3"/>
      </w:pPr>
      <w:r w:rsidRPr="00D45B1A">
        <w:t xml:space="preserve">The cost allocation process for contracted care services might be further enhanced through the use of </w:t>
      </w:r>
      <w:r w:rsidR="00642AC8">
        <w:t>r</w:t>
      </w:r>
      <w:r w:rsidRPr="00D45B1A">
        <w:t xml:space="preserve">elative </w:t>
      </w:r>
      <w:r w:rsidR="00642AC8">
        <w:t>v</w:t>
      </w:r>
      <w:r w:rsidRPr="00D45B1A">
        <w:t xml:space="preserve">alue </w:t>
      </w:r>
      <w:r w:rsidR="00642AC8">
        <w:t>u</w:t>
      </w:r>
      <w:r w:rsidRPr="00D45B1A">
        <w:t xml:space="preserve">nits (RVUs). </w:t>
      </w:r>
    </w:p>
    <w:p w14:paraId="68D63E49" w14:textId="77777777" w:rsidR="00C27FB2" w:rsidRPr="00D45B1A" w:rsidRDefault="00C27FB2" w:rsidP="004738A8">
      <w:pPr>
        <w:pStyle w:val="Level3"/>
      </w:pPr>
      <w:r w:rsidRPr="00D45B1A">
        <w:t xml:space="preserve">Where traceable contracted care expenses can be identified, these expenses should be used to allocate expenses directly to the patients. However, if the total traceable cost differs from the amount recorded in the general ledger, the traceable cost should be used as a RVU weighting. </w:t>
      </w:r>
    </w:p>
    <w:p w14:paraId="68D63E4A" w14:textId="77777777" w:rsidR="00C27FB2" w:rsidRPr="00D45B1A" w:rsidRDefault="00C27FB2" w:rsidP="004738A8">
      <w:pPr>
        <w:pStyle w:val="Level3"/>
      </w:pPr>
      <w:r w:rsidRPr="00D45B1A">
        <w:t>The relative values should be determined and agreed in consultation with the relevant stakeholders.</w:t>
      </w:r>
    </w:p>
    <w:p w14:paraId="68D63E4B" w14:textId="77777777" w:rsidR="00C27FB2" w:rsidRPr="00D45B1A" w:rsidRDefault="00C27FB2" w:rsidP="000B5336">
      <w:pPr>
        <w:pStyle w:val="Level3Heading"/>
      </w:pPr>
      <w:r w:rsidRPr="00D45B1A">
        <w:t>Step 6</w:t>
      </w:r>
      <w:r w:rsidR="00A01EA6">
        <w:t>:</w:t>
      </w:r>
      <w:r w:rsidRPr="00D45B1A">
        <w:t xml:space="preserve"> </w:t>
      </w:r>
      <w:r w:rsidR="00D05D7A">
        <w:t>Create intermediate product costs in final cost centres</w:t>
      </w:r>
      <w:r w:rsidRPr="00D45B1A">
        <w:t xml:space="preserve"> </w:t>
      </w:r>
    </w:p>
    <w:p w14:paraId="68D63E4C" w14:textId="77777777" w:rsidR="00C27FB2" w:rsidRPr="00D45B1A" w:rsidRDefault="00C27FB2" w:rsidP="004738A8">
      <w:pPr>
        <w:pStyle w:val="Level3"/>
      </w:pPr>
      <w:r w:rsidRPr="00D45B1A">
        <w:t xml:space="preserve">Where contracted care is deemed as final care areas, the products are matched to the appropriate patient activity using the appropriate matching criteria. </w:t>
      </w:r>
    </w:p>
    <w:p w14:paraId="68D63E4D" w14:textId="77777777" w:rsidR="00C27FB2" w:rsidRPr="00D45B1A" w:rsidRDefault="00C27FB2" w:rsidP="004738A8">
      <w:pPr>
        <w:pStyle w:val="Level3"/>
      </w:pPr>
      <w:r w:rsidRPr="00D45B1A">
        <w:t>Contracted care services may itself be treated as a final cost product. Consumption of resources from other hospital areas should be matched appropriately to the final costed product. For example, contracted hospital providing endoscopy services to patients of another hospital may be required to admit and report these patients, if that data is available.</w:t>
      </w:r>
    </w:p>
    <w:p w14:paraId="68D63E4E" w14:textId="5EC7CE82" w:rsidR="00C27FB2" w:rsidRPr="00D45B1A" w:rsidRDefault="00C27FB2" w:rsidP="004738A8">
      <w:pPr>
        <w:pStyle w:val="Level3"/>
      </w:pPr>
      <w:r w:rsidRPr="00D45B1A">
        <w:lastRenderedPageBreak/>
        <w:t>The costing practitioner of the contracting hospital</w:t>
      </w:r>
      <w:r w:rsidR="00C76532">
        <w:t xml:space="preserve"> or </w:t>
      </w:r>
      <w:r w:rsidRPr="00D45B1A">
        <w:t>purchaser should consider the following to inform the costing process for its contracted services:</w:t>
      </w:r>
    </w:p>
    <w:p w14:paraId="68D63E4F" w14:textId="786E28E2" w:rsidR="00C27FB2" w:rsidRPr="00D45B1A" w:rsidRDefault="00C86031" w:rsidP="007C6433">
      <w:pPr>
        <w:pStyle w:val="ListBullet"/>
      </w:pPr>
      <w:r>
        <w:t>w</w:t>
      </w:r>
      <w:r w:rsidR="00C27FB2" w:rsidRPr="00D45B1A">
        <w:t xml:space="preserve">here patient level </w:t>
      </w:r>
      <w:r w:rsidR="00C27FB2" w:rsidRPr="00D45B1A">
        <w:rPr>
          <w:lang w:eastAsia="ja-JP"/>
        </w:rPr>
        <w:t xml:space="preserve">contracted care feeder data </w:t>
      </w:r>
      <w:r w:rsidR="00C27FB2" w:rsidRPr="00D45B1A">
        <w:t>is available, it should be used to allocate ex</w:t>
      </w:r>
      <w:r>
        <w:t>penses directly to the patients</w:t>
      </w:r>
    </w:p>
    <w:p w14:paraId="68D63E50" w14:textId="518F02DE" w:rsidR="00C27FB2" w:rsidRPr="00D45B1A" w:rsidRDefault="00C86031" w:rsidP="007C6433">
      <w:pPr>
        <w:pStyle w:val="ListBullet"/>
      </w:pPr>
      <w:r>
        <w:rPr>
          <w:lang w:eastAsia="ja-JP"/>
        </w:rPr>
        <w:t>w</w:t>
      </w:r>
      <w:r w:rsidR="00C27FB2" w:rsidRPr="00D45B1A">
        <w:rPr>
          <w:lang w:eastAsia="ja-JP"/>
        </w:rPr>
        <w:t>here activity data is missing for feeder purposes, utilisation data or RVU may also be created from de</w:t>
      </w:r>
      <w:r>
        <w:rPr>
          <w:lang w:eastAsia="ja-JP"/>
        </w:rPr>
        <w:t>mographic or coding information</w:t>
      </w:r>
      <w:r w:rsidR="00C27FB2" w:rsidRPr="00D45B1A">
        <w:rPr>
          <w:lang w:eastAsia="ja-JP"/>
        </w:rPr>
        <w:t xml:space="preserve"> </w:t>
      </w:r>
    </w:p>
    <w:p w14:paraId="68D63E51" w14:textId="6FB6B351" w:rsidR="00C27FB2" w:rsidRPr="00D45B1A" w:rsidRDefault="00C86031" w:rsidP="007C6433">
      <w:pPr>
        <w:pStyle w:val="ListBullet"/>
      </w:pPr>
      <w:r>
        <w:rPr>
          <w:lang w:eastAsia="ja-JP"/>
        </w:rPr>
        <w:t>w</w:t>
      </w:r>
      <w:r w:rsidR="00C27FB2" w:rsidRPr="00D45B1A">
        <w:rPr>
          <w:lang w:eastAsia="ja-JP"/>
        </w:rPr>
        <w:t>here feeder data cannot be found, the costing practitioner should consider allocatin</w:t>
      </w:r>
      <w:r>
        <w:rPr>
          <w:lang w:eastAsia="ja-JP"/>
        </w:rPr>
        <w:t>g these expenses as an overhead</w:t>
      </w:r>
    </w:p>
    <w:p w14:paraId="68D63E52" w14:textId="22D56D8F" w:rsidR="00C27FB2" w:rsidRPr="00D45B1A" w:rsidRDefault="00C86031" w:rsidP="007C6433">
      <w:pPr>
        <w:pStyle w:val="ListBullet"/>
      </w:pPr>
      <w:r>
        <w:t>w</w:t>
      </w:r>
      <w:r w:rsidR="00C27FB2" w:rsidRPr="00D45B1A">
        <w:t>here contracted care activities take place during a patient the costing practitioner should use caution when using episode length of stay to create intermediate products. For example, when calculating the number of meals, contract leaves need to be taken into account for cost distribution purposes.</w:t>
      </w:r>
    </w:p>
    <w:p w14:paraId="68D63E53" w14:textId="77777777" w:rsidR="00C27FB2" w:rsidRPr="00D45B1A" w:rsidRDefault="00C27FB2" w:rsidP="000B5336">
      <w:pPr>
        <w:pStyle w:val="Level3Heading"/>
      </w:pPr>
      <w:r w:rsidRPr="00D45B1A">
        <w:t>Step 7</w:t>
      </w:r>
      <w:r w:rsidR="00A01EA6">
        <w:t>:</w:t>
      </w:r>
      <w:r w:rsidRPr="00D45B1A">
        <w:t xml:space="preserve"> </w:t>
      </w:r>
      <w:r w:rsidR="00D05D7A">
        <w:t>Match intermediate products and their costs to patient activity</w:t>
      </w:r>
    </w:p>
    <w:p w14:paraId="68D63E54" w14:textId="77777777" w:rsidR="00C27FB2" w:rsidRPr="00D45B1A" w:rsidRDefault="00C27FB2" w:rsidP="004738A8">
      <w:pPr>
        <w:pStyle w:val="Level3"/>
      </w:pPr>
      <w:r w:rsidRPr="00D45B1A">
        <w:t>The cost allocation process is performed where overhead and direct costs expenses allocated to intermediate products.</w:t>
      </w:r>
    </w:p>
    <w:p w14:paraId="68D63E55" w14:textId="77777777" w:rsidR="00C27FB2" w:rsidRPr="00D45B1A" w:rsidRDefault="00C27FB2" w:rsidP="004738A8">
      <w:pPr>
        <w:pStyle w:val="Level3"/>
        <w:rPr>
          <w:b/>
        </w:rPr>
      </w:pPr>
      <w:r w:rsidRPr="00D45B1A">
        <w:t>Each intermediate product is provided with a share of defined overhead expenses and direct expenses. This allocation and the combination and share of expense is the cost per intermediate product and represents the cost of production.</w:t>
      </w:r>
    </w:p>
    <w:p w14:paraId="68D63E56" w14:textId="77777777" w:rsidR="00C27FB2" w:rsidRPr="00D45B1A" w:rsidRDefault="00C27FB2" w:rsidP="000B5336">
      <w:pPr>
        <w:pStyle w:val="Level3Heading"/>
      </w:pPr>
      <w:r w:rsidRPr="00D45B1A">
        <w:t>Step 8</w:t>
      </w:r>
      <w:r w:rsidR="00A01EA6">
        <w:t>:</w:t>
      </w:r>
      <w:r w:rsidRPr="00D45B1A">
        <w:t xml:space="preserve"> </w:t>
      </w:r>
      <w:r w:rsidR="008A6B15">
        <w:t>Report costs</w:t>
      </w:r>
    </w:p>
    <w:p w14:paraId="68D63E57" w14:textId="77777777" w:rsidR="00C27FB2" w:rsidRPr="00D45B1A" w:rsidRDefault="00C27FB2" w:rsidP="004738A8">
      <w:pPr>
        <w:pStyle w:val="Level3"/>
      </w:pPr>
      <w:r w:rsidRPr="00D45B1A">
        <w:t xml:space="preserve">Costing practitioners should perform the required steps to </w:t>
      </w:r>
      <w:r w:rsidR="00116978">
        <w:t xml:space="preserve">consolidate and report </w:t>
      </w:r>
      <w:r w:rsidRPr="00D45B1A">
        <w:t>costs at patient or encounter level</w:t>
      </w:r>
      <w:r w:rsidRPr="00D45B1A">
        <w:rPr>
          <w:i/>
        </w:rPr>
        <w:t>.</w:t>
      </w:r>
    </w:p>
    <w:p w14:paraId="68D63E58" w14:textId="24920305" w:rsidR="00C27FB2" w:rsidRPr="00D45B1A" w:rsidRDefault="00C27FB2" w:rsidP="000B5336">
      <w:pPr>
        <w:pStyle w:val="Level3Heading"/>
      </w:pPr>
      <w:r w:rsidRPr="00D45B1A">
        <w:t>Step 9</w:t>
      </w:r>
      <w:r w:rsidR="00A01EA6">
        <w:t>:</w:t>
      </w:r>
      <w:r w:rsidRPr="00D45B1A">
        <w:t xml:space="preserve"> </w:t>
      </w:r>
      <w:r w:rsidR="00D05D7A">
        <w:t>Cost data review with</w:t>
      </w:r>
      <w:r w:rsidR="00C86031">
        <w:t xml:space="preserve"> c</w:t>
      </w:r>
      <w:r w:rsidRPr="00D45B1A">
        <w:t xml:space="preserve">ontracted </w:t>
      </w:r>
      <w:r w:rsidR="00D05D7A">
        <w:t>c</w:t>
      </w:r>
      <w:r w:rsidRPr="00D45B1A">
        <w:t xml:space="preserve">are </w:t>
      </w:r>
      <w:r w:rsidR="00D05D7A">
        <w:t>s</w:t>
      </w:r>
      <w:r w:rsidRPr="00D45B1A">
        <w:t xml:space="preserve">ervices </w:t>
      </w:r>
      <w:r w:rsidR="00D05D7A">
        <w:t>s</w:t>
      </w:r>
      <w:r w:rsidRPr="00D45B1A">
        <w:t xml:space="preserve">takeholders </w:t>
      </w:r>
    </w:p>
    <w:p w14:paraId="68D63E59" w14:textId="324A46A4" w:rsidR="00C27FB2" w:rsidRPr="00D45B1A" w:rsidRDefault="00C27FB2" w:rsidP="004738A8">
      <w:pPr>
        <w:pStyle w:val="Level3"/>
      </w:pPr>
      <w:r w:rsidRPr="00D45B1A">
        <w:t xml:space="preserve">Costing practitioners should meet with their relevant stakeholders to report and review the costs calculated for </w:t>
      </w:r>
      <w:r w:rsidR="00642AC8">
        <w:t>c</w:t>
      </w:r>
      <w:r w:rsidRPr="00D45B1A">
        <w:t>ontracted care activities.</w:t>
      </w:r>
    </w:p>
    <w:p w14:paraId="68D63E5A" w14:textId="0A17797C" w:rsidR="00C27FB2" w:rsidRPr="00D45B1A" w:rsidRDefault="00C27FB2" w:rsidP="004738A8">
      <w:pPr>
        <w:pStyle w:val="Level3"/>
      </w:pPr>
      <w:r w:rsidRPr="004844AB">
        <w:t>For</w:t>
      </w:r>
      <w:r w:rsidR="004844AB">
        <w:t xml:space="preserve"> Inter-hospital contracted care, c</w:t>
      </w:r>
      <w:r w:rsidRPr="00D45B1A">
        <w:t>osting practitioners should note that patients may be admitted in both the contracting and contracted hospital, and as such, care must be taken to avoid double-counting of hospital activities and duplicate reporting of costs.</w:t>
      </w:r>
    </w:p>
    <w:p w14:paraId="68D63E5B" w14:textId="77777777" w:rsidR="00C27FB2" w:rsidRPr="00D45B1A" w:rsidRDefault="00C27FB2" w:rsidP="004738A8">
      <w:pPr>
        <w:pStyle w:val="Level3"/>
      </w:pPr>
      <w:r w:rsidRPr="00D45B1A">
        <w:t>Costing practitioners may refer to the contract role and contract type field in the Admitted Patient Care National Minimum Data Set (NMDS) to identify an inter-hospital contracted care episode for reporting purposes.</w:t>
      </w:r>
    </w:p>
    <w:p w14:paraId="68D63E5C" w14:textId="77777777" w:rsidR="00C27FB2" w:rsidRPr="00D45B1A" w:rsidRDefault="00C27FB2" w:rsidP="00C27FB2">
      <w:pPr>
        <w:rPr>
          <w:rFonts w:cs="Arial"/>
        </w:rPr>
      </w:pPr>
      <w:r w:rsidRPr="00D45B1A">
        <w:rPr>
          <w:rFonts w:cs="Arial"/>
        </w:rPr>
        <w:br w:type="page"/>
      </w:r>
    </w:p>
    <w:p w14:paraId="68D63E5D" w14:textId="62C31325" w:rsidR="00C27FB2" w:rsidRPr="00D45B1A" w:rsidRDefault="00C27FB2" w:rsidP="00D97D20">
      <w:pPr>
        <w:pStyle w:val="Heading2"/>
      </w:pPr>
      <w:bookmarkStart w:id="44" w:name="_Toc478631947"/>
      <w:bookmarkStart w:id="45" w:name="_Ref480317884"/>
      <w:bookmarkStart w:id="46" w:name="_Toc480492979"/>
      <w:bookmarkStart w:id="47" w:name="_Toc80778506"/>
      <w:r w:rsidRPr="00D45B1A">
        <w:lastRenderedPageBreak/>
        <w:t xml:space="preserve">Consultation </w:t>
      </w:r>
      <w:r w:rsidR="00E867EF">
        <w:t>L</w:t>
      </w:r>
      <w:r w:rsidRPr="00D45B1A">
        <w:t>iaison</w:t>
      </w:r>
      <w:bookmarkEnd w:id="47"/>
    </w:p>
    <w:bookmarkEnd w:id="44"/>
    <w:bookmarkEnd w:id="45"/>
    <w:bookmarkEnd w:id="46"/>
    <w:p w14:paraId="68D63E5E" w14:textId="77777777" w:rsidR="00C27FB2" w:rsidRPr="00D45B1A" w:rsidRDefault="00C27FB2" w:rsidP="00897CD3">
      <w:pPr>
        <w:pStyle w:val="Heading3"/>
      </w:pPr>
      <w:r w:rsidRPr="00D45B1A">
        <w:t>Scope</w:t>
      </w:r>
    </w:p>
    <w:p w14:paraId="68D63E5F" w14:textId="28DDD84A" w:rsidR="00C27FB2" w:rsidRPr="00D45B1A" w:rsidRDefault="00C27FB2" w:rsidP="004738A8">
      <w:pPr>
        <w:pStyle w:val="Level3"/>
      </w:pPr>
      <w:r w:rsidRPr="00D45B1A">
        <w:t xml:space="preserve">This </w:t>
      </w:r>
      <w:r w:rsidR="00B63007">
        <w:t>guideline</w:t>
      </w:r>
      <w:r w:rsidRPr="00D45B1A">
        <w:t xml:space="preserve"> </w:t>
      </w:r>
      <w:r w:rsidR="00061CAC">
        <w:t>outlines an</w:t>
      </w:r>
      <w:r w:rsidRPr="00D45B1A">
        <w:t xml:space="preserve"> approach to patient level costing consultation liaison services.</w:t>
      </w:r>
    </w:p>
    <w:p w14:paraId="68D63E60" w14:textId="61BF4D39" w:rsidR="00C27FB2" w:rsidRDefault="00C27FB2" w:rsidP="004738A8">
      <w:pPr>
        <w:pStyle w:val="Level3"/>
      </w:pPr>
      <w:r w:rsidRPr="00D45B1A">
        <w:t xml:space="preserve">This </w:t>
      </w:r>
      <w:r w:rsidR="00B63007">
        <w:t>guideline</w:t>
      </w:r>
      <w:r w:rsidRPr="00D45B1A">
        <w:t xml:space="preserve"> also provides practical steps and examples to guide staff on the patient costing process for this activity.</w:t>
      </w:r>
    </w:p>
    <w:p w14:paraId="68D63E61" w14:textId="77777777" w:rsidR="000B5336" w:rsidRPr="00D45B1A" w:rsidRDefault="000B5336" w:rsidP="000B5336">
      <w:pPr>
        <w:pStyle w:val="Level3Heading"/>
      </w:pPr>
      <w:r w:rsidRPr="00D45B1A">
        <w:t xml:space="preserve">Consultation </w:t>
      </w:r>
      <w:r w:rsidR="00D05D7A">
        <w:t>l</w:t>
      </w:r>
      <w:r w:rsidR="00D05D7A" w:rsidRPr="00D45B1A">
        <w:t xml:space="preserve">iaison </w:t>
      </w:r>
      <w:r w:rsidR="00D05D7A">
        <w:t>s</w:t>
      </w:r>
      <w:r w:rsidR="00D05D7A" w:rsidRPr="00D45B1A">
        <w:t>cope</w:t>
      </w:r>
      <w:r w:rsidRPr="00D45B1A">
        <w:t xml:space="preserve"> </w:t>
      </w:r>
    </w:p>
    <w:p w14:paraId="68D63E62" w14:textId="6684CD41" w:rsidR="000B5336" w:rsidRPr="00D45B1A" w:rsidRDefault="000B5336" w:rsidP="004738A8">
      <w:pPr>
        <w:pStyle w:val="Level3"/>
      </w:pPr>
      <w:r w:rsidRPr="00D45B1A">
        <w:t>Consultation liaison applies to any products that require these services, including where these services are provided for patients treated in admitted, an emergency or non-admitted setting. These services may be provided by other departments in the hospital or from</w:t>
      </w:r>
      <w:r w:rsidR="00642AC8">
        <w:t xml:space="preserve"> or </w:t>
      </w:r>
      <w:r w:rsidRPr="00D45B1A">
        <w:t>to another organisation.</w:t>
      </w:r>
    </w:p>
    <w:p w14:paraId="68D63E63" w14:textId="77777777" w:rsidR="000B5336" w:rsidRPr="00D45B1A" w:rsidRDefault="000B5336" w:rsidP="004738A8">
      <w:pPr>
        <w:pStyle w:val="Level3"/>
      </w:pPr>
      <w:r w:rsidRPr="00D45B1A">
        <w:t xml:space="preserve">The nature of these services supports a department in the hospital to deliver patient care. These services are not an overhead and on their own not patient care but are an independent product that supports patient care. </w:t>
      </w:r>
    </w:p>
    <w:p w14:paraId="68D63E64" w14:textId="77777777" w:rsidR="000B5336" w:rsidRPr="00D45B1A" w:rsidRDefault="000B5336" w:rsidP="004738A8">
      <w:pPr>
        <w:pStyle w:val="Level3"/>
      </w:pPr>
      <w:r w:rsidRPr="00D45B1A">
        <w:t>These services are considered intermediate products and as such it is important to understand the value of these services to ensure that:</w:t>
      </w:r>
    </w:p>
    <w:p w14:paraId="68D63E65" w14:textId="11C15677" w:rsidR="000B5336" w:rsidRPr="00D45B1A" w:rsidRDefault="000B5336" w:rsidP="007C6433">
      <w:pPr>
        <w:pStyle w:val="ListBullet"/>
      </w:pPr>
      <w:r w:rsidRPr="00D45B1A">
        <w:t xml:space="preserve">they are matched to the patients or products that they helped to produce </w:t>
      </w:r>
    </w:p>
    <w:p w14:paraId="68D63E66" w14:textId="77777777" w:rsidR="000B5336" w:rsidRPr="00D45B1A" w:rsidRDefault="000B5336" w:rsidP="007C6433">
      <w:pPr>
        <w:pStyle w:val="ListBullet"/>
      </w:pPr>
      <w:r w:rsidRPr="00D45B1A">
        <w:t xml:space="preserve">departments proving consultation liaison service do not assign expense for these service to its own department products. </w:t>
      </w:r>
    </w:p>
    <w:p w14:paraId="68D63E67" w14:textId="77777777" w:rsidR="000B5336" w:rsidRPr="00D45B1A" w:rsidRDefault="000B5336" w:rsidP="004738A8">
      <w:pPr>
        <w:pStyle w:val="Level3"/>
      </w:pPr>
      <w:r w:rsidRPr="00D45B1A">
        <w:t xml:space="preserve">Consultation liaison may also be provided for purposes that are not related directly related to a patient but do support patient care, such as where infectious diseases staff will be providing advice on the need for ward super washes. </w:t>
      </w:r>
    </w:p>
    <w:p w14:paraId="68D63E68" w14:textId="77777777" w:rsidR="00C27FB2" w:rsidRPr="00D45B1A" w:rsidRDefault="00C27FB2" w:rsidP="00897CD3">
      <w:pPr>
        <w:pStyle w:val="Heading3"/>
      </w:pPr>
      <w:r w:rsidRPr="00D45B1A">
        <w:t>Objective</w:t>
      </w:r>
    </w:p>
    <w:p w14:paraId="68D63E69" w14:textId="03026258" w:rsidR="00C27FB2" w:rsidRPr="00D45B1A" w:rsidRDefault="00C27FB2" w:rsidP="004738A8">
      <w:pPr>
        <w:pStyle w:val="Level3"/>
      </w:pPr>
      <w:r w:rsidRPr="00D45B1A">
        <w:t xml:space="preserve">The objective of this </w:t>
      </w:r>
      <w:r w:rsidR="00B63007">
        <w:t>guideline</w:t>
      </w:r>
      <w:r w:rsidRPr="00D45B1A">
        <w:t xml:space="preserve"> is to ensure that all consultation liaison expenses which contribute to an </w:t>
      </w:r>
      <w:r w:rsidR="00047D03" w:rsidRPr="00D45B1A">
        <w:t>organisation’s</w:t>
      </w:r>
      <w:r w:rsidRPr="00D45B1A">
        <w:t xml:space="preserve"> day to day production of final products are included in patient costing to determine the full cost of production.</w:t>
      </w:r>
    </w:p>
    <w:p w14:paraId="68D63E6A" w14:textId="0D838D42" w:rsidR="00C27FB2" w:rsidRPr="00D45B1A" w:rsidRDefault="00C27FB2" w:rsidP="004738A8">
      <w:pPr>
        <w:pStyle w:val="Level3"/>
      </w:pPr>
      <w:r w:rsidRPr="00D45B1A">
        <w:t xml:space="preserve">This </w:t>
      </w:r>
      <w:r w:rsidR="00B63007">
        <w:t>guideline</w:t>
      </w:r>
      <w:r w:rsidRPr="00D45B1A">
        <w:t xml:space="preserve"> also aims to provide a resource for costing practitioners to assist them undertaking patient level costing by providing practical examples of consultation or clinical liaison services.</w:t>
      </w:r>
    </w:p>
    <w:p w14:paraId="68D63E6B" w14:textId="0ACED4CE" w:rsidR="00C27FB2" w:rsidRPr="00D45B1A" w:rsidRDefault="00B63007" w:rsidP="00897CD3">
      <w:pPr>
        <w:pStyle w:val="Heading3"/>
      </w:pPr>
      <w:r>
        <w:t xml:space="preserve">Costing </w:t>
      </w:r>
      <w:r w:rsidR="00952713">
        <w:t>G</w:t>
      </w:r>
      <w:r>
        <w:t>uideline</w:t>
      </w:r>
    </w:p>
    <w:p w14:paraId="68D63E6C" w14:textId="77777777" w:rsidR="00C27FB2" w:rsidRPr="00D45B1A" w:rsidRDefault="00C27FB2" w:rsidP="000B5336">
      <w:pPr>
        <w:pStyle w:val="Level3Heading"/>
      </w:pPr>
      <w:r w:rsidRPr="00D45B1A">
        <w:t>Step 1</w:t>
      </w:r>
      <w:r w:rsidR="00526C6A">
        <w:t>:</w:t>
      </w:r>
      <w:r w:rsidRPr="00D45B1A">
        <w:t xml:space="preserve"> </w:t>
      </w:r>
      <w:r w:rsidR="00D05D7A">
        <w:t>Stakeholder identification service scale and scope</w:t>
      </w:r>
    </w:p>
    <w:p w14:paraId="68D63E6D" w14:textId="08E59DB2" w:rsidR="00C27FB2" w:rsidRPr="00D45B1A" w:rsidRDefault="00C27FB2" w:rsidP="004738A8">
      <w:pPr>
        <w:pStyle w:val="Level3"/>
      </w:pPr>
      <w:r w:rsidRPr="00D45B1A">
        <w:t>Costing practitioners should consult relevant stakeholders to obtain an over</w:t>
      </w:r>
      <w:r w:rsidR="006C54A9">
        <w:t>view of the c</w:t>
      </w:r>
      <w:r w:rsidRPr="00D45B1A">
        <w:t xml:space="preserve">onsultation </w:t>
      </w:r>
      <w:r w:rsidR="006C54A9">
        <w:t>l</w:t>
      </w:r>
      <w:r w:rsidRPr="00D45B1A">
        <w:t>iaison services within the hospital. This type of service may take place across a number of units and specialities within the hospital. However</w:t>
      </w:r>
      <w:r w:rsidR="006C54A9">
        <w:t>,</w:t>
      </w:r>
      <w:r w:rsidRPr="00D45B1A">
        <w:t xml:space="preserve"> key areas which that </w:t>
      </w:r>
      <w:r w:rsidR="00047D03" w:rsidRPr="00D45B1A">
        <w:t>these services</w:t>
      </w:r>
      <w:r w:rsidRPr="00D45B1A">
        <w:t xml:space="preserve"> are generally found i</w:t>
      </w:r>
      <w:r w:rsidR="008A2B19">
        <w:t xml:space="preserve">s within the mental health and </w:t>
      </w:r>
      <w:r w:rsidR="006C54A9">
        <w:t>e</w:t>
      </w:r>
      <w:r w:rsidRPr="00D45B1A">
        <w:t xml:space="preserve">mergency department </w:t>
      </w:r>
      <w:r w:rsidR="006C54A9">
        <w:t xml:space="preserve">(ED) </w:t>
      </w:r>
      <w:r w:rsidRPr="00D45B1A">
        <w:t>settings.</w:t>
      </w:r>
    </w:p>
    <w:p w14:paraId="68D63E6E" w14:textId="77777777" w:rsidR="00C27FB2" w:rsidRPr="00D45B1A" w:rsidRDefault="00C27FB2" w:rsidP="004738A8">
      <w:pPr>
        <w:pStyle w:val="Level3"/>
      </w:pPr>
      <w:r w:rsidRPr="00D45B1A">
        <w:t xml:space="preserve">Stakeholder from these settings need to be consulted to determine the nature of these service, and how they are or can be measured. </w:t>
      </w:r>
    </w:p>
    <w:p w14:paraId="68D63E6F" w14:textId="3BC69351" w:rsidR="00C27FB2" w:rsidRPr="00D45B1A" w:rsidRDefault="00C27FB2" w:rsidP="000B5336">
      <w:pPr>
        <w:pStyle w:val="Level3Heading"/>
      </w:pPr>
      <w:r w:rsidRPr="00D45B1A">
        <w:lastRenderedPageBreak/>
        <w:t>Step 2</w:t>
      </w:r>
      <w:r w:rsidR="00526C6A">
        <w:t>:</w:t>
      </w:r>
      <w:r w:rsidRPr="00D45B1A">
        <w:t xml:space="preserve"> Align </w:t>
      </w:r>
      <w:r w:rsidR="00D05D7A">
        <w:t>e</w:t>
      </w:r>
      <w:r w:rsidRPr="00D45B1A">
        <w:t xml:space="preserve">xpense to the </w:t>
      </w:r>
      <w:r w:rsidR="007F1AC6">
        <w:t>c</w:t>
      </w:r>
      <w:r w:rsidRPr="00D45B1A">
        <w:t xml:space="preserve">onsultation </w:t>
      </w:r>
      <w:r w:rsidR="00D05D7A">
        <w:t>l</w:t>
      </w:r>
      <w:r w:rsidR="00D05D7A" w:rsidRPr="00D45B1A">
        <w:t xml:space="preserve">iaison </w:t>
      </w:r>
      <w:r w:rsidR="00D05D7A">
        <w:t>s</w:t>
      </w:r>
      <w:r w:rsidRPr="00D45B1A">
        <w:t xml:space="preserve">ervice </w:t>
      </w:r>
      <w:r w:rsidR="00D05D7A">
        <w:t>and define overhead and direct expenses, including overhead allocation methods</w:t>
      </w:r>
      <w:r w:rsidRPr="00D45B1A">
        <w:t xml:space="preserve"> </w:t>
      </w:r>
    </w:p>
    <w:p w14:paraId="68D63E70" w14:textId="77777777" w:rsidR="00C27FB2" w:rsidRPr="00D45B1A" w:rsidRDefault="00C27FB2" w:rsidP="004738A8">
      <w:pPr>
        <w:pStyle w:val="Level3"/>
      </w:pPr>
      <w:r w:rsidRPr="00D45B1A">
        <w:t xml:space="preserve">Costing practitioners should engage finance stakeholders to ascertain how consultation liaison expenses are recorded within the general ledger. There are two scenarios that need consideration: </w:t>
      </w:r>
    </w:p>
    <w:p w14:paraId="68D63E71" w14:textId="192EBD19" w:rsidR="00C27FB2" w:rsidRPr="00D45B1A" w:rsidRDefault="00C27FB2" w:rsidP="007C6433">
      <w:pPr>
        <w:pStyle w:val="ListBullet"/>
      </w:pPr>
      <w:r w:rsidRPr="00D45B1A">
        <w:t>generally, these expenses are not separately identified, as they would be integrated within a department’s functions. This means that consultation liaison expenses are not recorded against the same cost centre as where the services are provided</w:t>
      </w:r>
    </w:p>
    <w:p w14:paraId="68D63E72" w14:textId="5619EC1B" w:rsidR="00C27FB2" w:rsidRPr="00D45B1A" w:rsidRDefault="00C27FB2" w:rsidP="007C6433">
      <w:pPr>
        <w:pStyle w:val="ListBullet"/>
      </w:pPr>
      <w:r w:rsidRPr="00D45B1A">
        <w:t>in some cases, cost centres ma</w:t>
      </w:r>
      <w:r w:rsidR="006C54A9">
        <w:t>y be specifically assigned for c</w:t>
      </w:r>
      <w:r w:rsidRPr="00D45B1A">
        <w:t xml:space="preserve">onsultation </w:t>
      </w:r>
      <w:r w:rsidR="006C54A9">
        <w:t>l</w:t>
      </w:r>
      <w:r w:rsidRPr="00D45B1A">
        <w:t xml:space="preserve">iaison services such as </w:t>
      </w:r>
      <w:r w:rsidR="006C54A9">
        <w:t>a</w:t>
      </w:r>
      <w:r w:rsidRPr="00D45B1A">
        <w:t xml:space="preserve">boriginal </w:t>
      </w:r>
      <w:r w:rsidR="006C54A9">
        <w:t>l</w:t>
      </w:r>
      <w:r w:rsidRPr="00D45B1A">
        <w:t xml:space="preserve">iaison, </w:t>
      </w:r>
      <w:r w:rsidR="006C54A9">
        <w:t>m</w:t>
      </w:r>
      <w:r w:rsidRPr="00D45B1A">
        <w:t xml:space="preserve">ental </w:t>
      </w:r>
      <w:r w:rsidR="006C54A9">
        <w:t>h</w:t>
      </w:r>
      <w:r w:rsidRPr="00D45B1A">
        <w:t xml:space="preserve">ealth </w:t>
      </w:r>
      <w:r w:rsidR="006C54A9">
        <w:t>c</w:t>
      </w:r>
      <w:r w:rsidRPr="00D45B1A">
        <w:t xml:space="preserve">onsultation </w:t>
      </w:r>
      <w:r w:rsidR="006C54A9">
        <w:t>l</w:t>
      </w:r>
      <w:r w:rsidRPr="00D45B1A">
        <w:t xml:space="preserve">iaison – </w:t>
      </w:r>
      <w:r w:rsidR="006C54A9">
        <w:t>p</w:t>
      </w:r>
      <w:r w:rsidRPr="00D45B1A">
        <w:t>sychiatry.</w:t>
      </w:r>
    </w:p>
    <w:p w14:paraId="68D63E73" w14:textId="10947426" w:rsidR="00C27FB2" w:rsidRPr="00D45B1A" w:rsidRDefault="00C27FB2" w:rsidP="004738A8">
      <w:pPr>
        <w:pStyle w:val="Level3"/>
      </w:pPr>
      <w:r w:rsidRPr="00D45B1A">
        <w:t xml:space="preserve">In consultation with stakeholders, expenses that are integrated within departments need to be moved to a </w:t>
      </w:r>
      <w:r w:rsidR="006C54A9">
        <w:t>c</w:t>
      </w:r>
      <w:r w:rsidRPr="00D45B1A">
        <w:t xml:space="preserve">onsultation </w:t>
      </w:r>
      <w:r w:rsidR="006C54A9">
        <w:t>l</w:t>
      </w:r>
      <w:r w:rsidRPr="00D45B1A">
        <w:t xml:space="preserve">iaison final cost centre. The methods used to identify these expenses need to be developed in line with stakeholder insights about how these services are provided and to where in the organisation they are delivered. </w:t>
      </w:r>
    </w:p>
    <w:p w14:paraId="68D63E74" w14:textId="4A12C2C5" w:rsidR="00C27FB2" w:rsidRPr="00D45B1A" w:rsidRDefault="00C27FB2" w:rsidP="004738A8">
      <w:pPr>
        <w:pStyle w:val="Level3"/>
      </w:pPr>
      <w:r w:rsidRPr="00D45B1A">
        <w:t xml:space="preserve">Expenses for </w:t>
      </w:r>
      <w:r w:rsidR="006C54A9">
        <w:t>c</w:t>
      </w:r>
      <w:r w:rsidRPr="00D45B1A">
        <w:t>linical liaison services that are provided to third parties, where the associated products are reported by the third party, are not to be included in the clinical costs at the host hospital. These expenses should be made available to the receiving hospital as costed intermediate products and included as third party costs to its production.</w:t>
      </w:r>
    </w:p>
    <w:p w14:paraId="68D63E75" w14:textId="77777777" w:rsidR="00C27FB2" w:rsidRPr="00D45B1A" w:rsidRDefault="00C27FB2" w:rsidP="004738A8">
      <w:pPr>
        <w:pStyle w:val="Level3"/>
      </w:pPr>
      <w:r w:rsidRPr="00D45B1A">
        <w:t xml:space="preserve">Similarly, where consultation liaison services are used by the hospital which are provided by a third party, these expenses need to be identified by the hospital included in the host hospital’s cost of production as a third party cost. </w:t>
      </w:r>
    </w:p>
    <w:p w14:paraId="68D63E76" w14:textId="77777777" w:rsidR="00C27FB2" w:rsidRPr="00D45B1A" w:rsidRDefault="00C27FB2" w:rsidP="004738A8">
      <w:pPr>
        <w:pStyle w:val="Level3"/>
      </w:pPr>
      <w:r w:rsidRPr="00D45B1A">
        <w:t>Any insights obtained from stakeholders on the nature of consultation liaison service, the associated expenses and ways to measures theses services need to be clearly documented and reviewed for currency.</w:t>
      </w:r>
    </w:p>
    <w:p w14:paraId="68D63E77" w14:textId="4C0E51E8" w:rsidR="00C27FB2" w:rsidRPr="00D45B1A" w:rsidRDefault="00C27FB2" w:rsidP="000B5336">
      <w:pPr>
        <w:pStyle w:val="Level3Heading"/>
      </w:pPr>
      <w:r w:rsidRPr="00D45B1A">
        <w:t>Step 3</w:t>
      </w:r>
      <w:r w:rsidR="00526C6A">
        <w:t>:</w:t>
      </w:r>
      <w:r w:rsidRPr="00D45B1A">
        <w:t xml:space="preserve"> Identify </w:t>
      </w:r>
      <w:r w:rsidR="00D05D7A">
        <w:t>p</w:t>
      </w:r>
      <w:r w:rsidRPr="00D45B1A">
        <w:t xml:space="preserve">atient </w:t>
      </w:r>
      <w:r w:rsidR="00D05D7A">
        <w:t>l</w:t>
      </w:r>
      <w:r w:rsidR="00D05D7A" w:rsidRPr="00D45B1A">
        <w:t xml:space="preserve">evel </w:t>
      </w:r>
      <w:r w:rsidR="00D05D7A">
        <w:t>a</w:t>
      </w:r>
      <w:r w:rsidRPr="00D45B1A">
        <w:t xml:space="preserve">ctivity and </w:t>
      </w:r>
      <w:r w:rsidR="007F1AC6">
        <w:t>c</w:t>
      </w:r>
      <w:r w:rsidRPr="00D45B1A">
        <w:t xml:space="preserve">onsultation </w:t>
      </w:r>
      <w:r w:rsidR="00D05D7A">
        <w:t>l</w:t>
      </w:r>
      <w:r w:rsidR="00D05D7A" w:rsidRPr="00D45B1A">
        <w:t xml:space="preserve">iaison </w:t>
      </w:r>
      <w:r w:rsidR="00D05D7A">
        <w:t>feeder data and perform quality assurance checks</w:t>
      </w:r>
      <w:r w:rsidRPr="00D45B1A">
        <w:t xml:space="preserve"> </w:t>
      </w:r>
    </w:p>
    <w:p w14:paraId="68D63E78" w14:textId="77777777" w:rsidR="00C27FB2" w:rsidRPr="00D45B1A" w:rsidRDefault="00C27FB2" w:rsidP="004738A8">
      <w:pPr>
        <w:pStyle w:val="Level3"/>
      </w:pPr>
      <w:r w:rsidRPr="00D45B1A">
        <w:t>Ideally, measurement of these type of service should be supported by appropriate feeder systems and include this data in the costing process. The availability, source and level of activity detail captured will influence the costing methodology for consultation liaison services intermediate products.</w:t>
      </w:r>
    </w:p>
    <w:p w14:paraId="68D63E79" w14:textId="6EB1BC0A" w:rsidR="00C27FB2" w:rsidRPr="00D45B1A" w:rsidRDefault="006C54A9" w:rsidP="004738A8">
      <w:pPr>
        <w:pStyle w:val="Level3"/>
      </w:pPr>
      <w:r>
        <w:t>Some c</w:t>
      </w:r>
      <w:r w:rsidR="00C27FB2" w:rsidRPr="00D45B1A">
        <w:t xml:space="preserve">onsultation </w:t>
      </w:r>
      <w:r>
        <w:t>l</w:t>
      </w:r>
      <w:r w:rsidR="00C27FB2" w:rsidRPr="00D45B1A">
        <w:t>iaison services may not be recorded well and feeder systems may not provide the required detail that demonstrates the use of these services across hospital units. In these cases, the costing practitioner may need to with relevant stakeholders refer to other sources for information (for example, timesheets) to derive feeder data.</w:t>
      </w:r>
    </w:p>
    <w:p w14:paraId="68D63E7A" w14:textId="62BC338F" w:rsidR="00C27FB2" w:rsidRPr="00D45B1A" w:rsidRDefault="00C27FB2" w:rsidP="004738A8">
      <w:pPr>
        <w:pStyle w:val="Level3"/>
      </w:pPr>
      <w:r w:rsidRPr="00D45B1A">
        <w:t>Consu</w:t>
      </w:r>
      <w:r w:rsidR="00EC58FA">
        <w:t>ltation l</w:t>
      </w:r>
      <w:r w:rsidRPr="00D45B1A">
        <w:t xml:space="preserve">iaison services may also be provided to advise the hospital on specific areas of interest that may not be directly related to specific patient activity. Feeder data may not be captured and the expenditures will most likely need to be allocated as </w:t>
      </w:r>
      <w:r w:rsidR="006C54A9">
        <w:t>overhead. For example, an i</w:t>
      </w:r>
      <w:r w:rsidRPr="00D45B1A">
        <w:t xml:space="preserve">nfectious </w:t>
      </w:r>
      <w:r w:rsidR="006C54A9">
        <w:t>d</w:t>
      </w:r>
      <w:r w:rsidRPr="00D45B1A">
        <w:t xml:space="preserve">iseases </w:t>
      </w:r>
      <w:r w:rsidR="006C54A9">
        <w:t>u</w:t>
      </w:r>
      <w:r w:rsidRPr="00D45B1A">
        <w:t>nit may provide advice on infection control (such as the need for isolation units or super washes of wards).</w:t>
      </w:r>
    </w:p>
    <w:p w14:paraId="68D63E7B" w14:textId="444BA702" w:rsidR="00C27FB2" w:rsidRPr="00D45B1A" w:rsidRDefault="00EC58FA" w:rsidP="004738A8">
      <w:pPr>
        <w:pStyle w:val="Level3"/>
      </w:pPr>
      <w:r>
        <w:lastRenderedPageBreak/>
        <w:t>If available,</w:t>
      </w:r>
      <w:r w:rsidR="00C27FB2" w:rsidRPr="00D45B1A">
        <w:t xml:space="preserve"> the consultation liaison feeder data will ideally include some or all of the following fields: </w:t>
      </w:r>
    </w:p>
    <w:p w14:paraId="6C15BF2F" w14:textId="100AE65F" w:rsidR="00642AC8" w:rsidRDefault="00642AC8">
      <w:pPr>
        <w:pStyle w:val="ListBullet"/>
      </w:pPr>
      <w:r>
        <w:t>d</w:t>
      </w:r>
      <w:r w:rsidRPr="00D45B1A">
        <w:t>elivery mode (for exampl</w:t>
      </w:r>
      <w:r>
        <w:t>e: face-to-face, telephone)</w:t>
      </w:r>
    </w:p>
    <w:p w14:paraId="1FB47DAA" w14:textId="434FEBCC" w:rsidR="00642AC8" w:rsidRPr="00D45B1A" w:rsidRDefault="00642AC8" w:rsidP="00642AC8">
      <w:pPr>
        <w:pStyle w:val="ListBullet"/>
      </w:pPr>
      <w:r>
        <w:t>t</w:t>
      </w:r>
      <w:r w:rsidRPr="00D45B1A">
        <w:t>he date</w:t>
      </w:r>
      <w:r>
        <w:t xml:space="preserve"> and </w:t>
      </w:r>
      <w:r w:rsidRPr="00D45B1A">
        <w:t xml:space="preserve">time of service </w:t>
      </w:r>
    </w:p>
    <w:p w14:paraId="6F8DCC85" w14:textId="0D347D51" w:rsidR="00642AC8" w:rsidRDefault="00642AC8">
      <w:pPr>
        <w:pStyle w:val="ListBullet"/>
      </w:pPr>
      <w:r>
        <w:t>the duration of the service.</w:t>
      </w:r>
    </w:p>
    <w:p w14:paraId="68D63E7C" w14:textId="492D727C" w:rsidR="00C27FB2" w:rsidRPr="00D45B1A" w:rsidRDefault="00EC58FA" w:rsidP="007C6433">
      <w:pPr>
        <w:pStyle w:val="ListBullet"/>
      </w:pPr>
      <w:r>
        <w:t>t</w:t>
      </w:r>
      <w:r w:rsidR="00C27FB2" w:rsidRPr="00D45B1A">
        <w:t xml:space="preserve">he patient’s unique </w:t>
      </w:r>
      <w:r w:rsidR="002E230A">
        <w:t>identifier</w:t>
      </w:r>
    </w:p>
    <w:p w14:paraId="68D63E7D" w14:textId="5F51FBD2" w:rsidR="00C27FB2" w:rsidRDefault="00EC58FA" w:rsidP="007C6433">
      <w:pPr>
        <w:pStyle w:val="ListBullet"/>
      </w:pPr>
      <w:r>
        <w:t>t</w:t>
      </w:r>
      <w:r w:rsidR="00C27FB2" w:rsidRPr="00D45B1A">
        <w:t xml:space="preserve">he patient unique episode identifier </w:t>
      </w:r>
    </w:p>
    <w:p w14:paraId="67368A7E" w14:textId="142A8BEB" w:rsidR="00642AC8" w:rsidRPr="00D45B1A" w:rsidRDefault="00642AC8">
      <w:pPr>
        <w:pStyle w:val="ListBullet"/>
      </w:pPr>
      <w:r>
        <w:t>t</w:t>
      </w:r>
      <w:r w:rsidRPr="00D45B1A">
        <w:t>he type or category of service provided (for examp</w:t>
      </w:r>
      <w:r>
        <w:t>le, consultation)</w:t>
      </w:r>
    </w:p>
    <w:p w14:paraId="68D63E7E" w14:textId="75AF89AC" w:rsidR="00C27FB2" w:rsidRPr="00D45B1A" w:rsidRDefault="00EC58FA" w:rsidP="007C6433">
      <w:pPr>
        <w:pStyle w:val="ListBullet"/>
      </w:pPr>
      <w:r>
        <w:t>t</w:t>
      </w:r>
      <w:r w:rsidR="00C27FB2" w:rsidRPr="00D45B1A">
        <w:t xml:space="preserve">he unit where the service was requested and provided (for example, </w:t>
      </w:r>
      <w:r w:rsidR="006C54A9">
        <w:t>e</w:t>
      </w:r>
      <w:r w:rsidR="00C27FB2" w:rsidRPr="00D45B1A">
        <w:t xml:space="preserve">mergency, </w:t>
      </w:r>
      <w:r w:rsidR="006C54A9">
        <w:t>w</w:t>
      </w:r>
      <w:r w:rsidR="00C27FB2" w:rsidRPr="00D45B1A">
        <w:t xml:space="preserve">ard B) </w:t>
      </w:r>
    </w:p>
    <w:p w14:paraId="68D63E83" w14:textId="77777777" w:rsidR="00C27FB2" w:rsidRPr="00D45B1A" w:rsidRDefault="00C27FB2" w:rsidP="004738A8">
      <w:pPr>
        <w:pStyle w:val="Level3"/>
      </w:pPr>
      <w:r w:rsidRPr="00D45B1A">
        <w:t xml:space="preserve">Costing practitioners should perform quality assurance checks on the consultation liaison feeder activity file prior to the costing process. For example, checks should be made on the date of service (to test reliability to remove error dates and ensure dates are relevant to the period being costed). </w:t>
      </w:r>
    </w:p>
    <w:p w14:paraId="68D63E84" w14:textId="5C69160F" w:rsidR="00C27FB2" w:rsidRPr="00D45B1A" w:rsidRDefault="00C27FB2" w:rsidP="000B5336">
      <w:pPr>
        <w:pStyle w:val="Level3Heading"/>
      </w:pPr>
      <w:r w:rsidRPr="00D45B1A">
        <w:t>Step 4</w:t>
      </w:r>
      <w:r w:rsidR="00526C6A">
        <w:t>:</w:t>
      </w:r>
      <w:r w:rsidRPr="00D45B1A">
        <w:t xml:space="preserve"> </w:t>
      </w:r>
      <w:r w:rsidR="00D05D7A">
        <w:t>Creating and mapping</w:t>
      </w:r>
      <w:r w:rsidRPr="00D45B1A">
        <w:t xml:space="preserve"> </w:t>
      </w:r>
      <w:r w:rsidR="007F1AC6">
        <w:t>c</w:t>
      </w:r>
      <w:r w:rsidRPr="00D45B1A">
        <w:t xml:space="preserve">onsultation </w:t>
      </w:r>
      <w:r w:rsidR="002F7820">
        <w:t>l</w:t>
      </w:r>
      <w:r w:rsidRPr="00D45B1A">
        <w:t xml:space="preserve">iaison </w:t>
      </w:r>
      <w:r w:rsidR="002F7820">
        <w:t>s</w:t>
      </w:r>
      <w:r w:rsidR="002F7820" w:rsidRPr="00D45B1A">
        <w:t xml:space="preserve">ervice </w:t>
      </w:r>
      <w:r w:rsidR="00D05D7A">
        <w:t>costing products or intermediate products</w:t>
      </w:r>
    </w:p>
    <w:p w14:paraId="68D63E85" w14:textId="509E5B3C" w:rsidR="00C27FB2" w:rsidRPr="00D45B1A" w:rsidRDefault="00C27FB2" w:rsidP="004738A8">
      <w:pPr>
        <w:pStyle w:val="Level3"/>
        <w:rPr>
          <w:b/>
          <w:i/>
        </w:rPr>
      </w:pPr>
      <w:r w:rsidRPr="00D45B1A">
        <w:t xml:space="preserve">The costing practitioner should consider the following to </w:t>
      </w:r>
      <w:r w:rsidR="006C54A9">
        <w:t>inform the costing process for c</w:t>
      </w:r>
      <w:r w:rsidRPr="00D45B1A">
        <w:t xml:space="preserve">onsultation </w:t>
      </w:r>
      <w:r w:rsidR="006C54A9">
        <w:t>l</w:t>
      </w:r>
      <w:r w:rsidRPr="00D45B1A">
        <w:t>iaison services:</w:t>
      </w:r>
    </w:p>
    <w:p w14:paraId="68D63E86" w14:textId="1986226B" w:rsidR="00C27FB2" w:rsidRPr="00D45B1A" w:rsidRDefault="00C27FB2" w:rsidP="007C6433">
      <w:pPr>
        <w:pStyle w:val="ListBullet"/>
      </w:pPr>
      <w:r w:rsidRPr="00D45B1A">
        <w:rPr>
          <w:lang w:eastAsia="ja-JP"/>
        </w:rPr>
        <w:t xml:space="preserve">Where </w:t>
      </w:r>
      <w:r w:rsidRPr="00D45B1A">
        <w:t xml:space="preserve">traceable </w:t>
      </w:r>
      <w:r w:rsidR="006C54A9">
        <w:t>c</w:t>
      </w:r>
      <w:r w:rsidRPr="00D45B1A">
        <w:t xml:space="preserve">onsultation </w:t>
      </w:r>
      <w:r w:rsidR="006C54A9">
        <w:t>l</w:t>
      </w:r>
      <w:r w:rsidRPr="00D45B1A">
        <w:t>iaison costs can be identified, these costs should be used to allocate expenses directly to the patients.</w:t>
      </w:r>
    </w:p>
    <w:p w14:paraId="68D63E87" w14:textId="542F6C4D" w:rsidR="00C27FB2" w:rsidRPr="00D45B1A" w:rsidRDefault="00C27FB2" w:rsidP="007C6433">
      <w:pPr>
        <w:pStyle w:val="ListBullet"/>
      </w:pPr>
      <w:r w:rsidRPr="00D45B1A">
        <w:t xml:space="preserve">Where </w:t>
      </w:r>
      <w:r w:rsidR="006C54A9">
        <w:t>c</w:t>
      </w:r>
      <w:r w:rsidRPr="00D45B1A">
        <w:t xml:space="preserve">onsultation </w:t>
      </w:r>
      <w:r w:rsidR="006C54A9">
        <w:t>l</w:t>
      </w:r>
      <w:r w:rsidRPr="00D45B1A">
        <w:t xml:space="preserve">iaison time is recorded at patient level, they should be used to allocate expenses directly to the patients. For example, patients in the </w:t>
      </w:r>
      <w:r w:rsidR="00EC58FA">
        <w:t>ED</w:t>
      </w:r>
      <w:r w:rsidRPr="00D45B1A">
        <w:t xml:space="preserve"> may receive consultation liaison services provided by clinical staff from the </w:t>
      </w:r>
      <w:r w:rsidR="006C54A9">
        <w:t>c</w:t>
      </w:r>
      <w:r w:rsidRPr="00D45B1A">
        <w:t xml:space="preserve">onsultation </w:t>
      </w:r>
      <w:r w:rsidR="006C54A9">
        <w:t>l</w:t>
      </w:r>
      <w:r w:rsidRPr="00D45B1A">
        <w:t xml:space="preserve">iaison </w:t>
      </w:r>
      <w:r w:rsidR="006C54A9">
        <w:t>p</w:t>
      </w:r>
      <w:r w:rsidRPr="00D45B1A">
        <w:t xml:space="preserve">sychiatry </w:t>
      </w:r>
      <w:r w:rsidR="008A2B19">
        <w:t>d</w:t>
      </w:r>
      <w:r w:rsidRPr="00D45B1A">
        <w:t xml:space="preserve">epartment. The time staff attend to the </w:t>
      </w:r>
      <w:r w:rsidR="006C54A9">
        <w:t xml:space="preserve">ED </w:t>
      </w:r>
      <w:r w:rsidRPr="00D45B1A">
        <w:t xml:space="preserve">should be used as a basis to allocate expenses. </w:t>
      </w:r>
    </w:p>
    <w:p w14:paraId="68D63E88" w14:textId="4572E0EF" w:rsidR="00C27FB2" w:rsidRPr="00D45B1A" w:rsidRDefault="00C27FB2" w:rsidP="007C6433">
      <w:pPr>
        <w:pStyle w:val="ListBullet"/>
      </w:pPr>
      <w:r w:rsidRPr="00D45B1A">
        <w:t xml:space="preserve">Where </w:t>
      </w:r>
      <w:r w:rsidR="00642AC8">
        <w:t>c</w:t>
      </w:r>
      <w:r w:rsidRPr="00D45B1A">
        <w:t xml:space="preserve">onsultation </w:t>
      </w:r>
      <w:r w:rsidR="00642AC8">
        <w:t>l</w:t>
      </w:r>
      <w:r w:rsidRPr="00D45B1A">
        <w:t xml:space="preserve">iaison activity data is missing for feeder purposes, utilisation data or </w:t>
      </w:r>
      <w:r w:rsidR="00642AC8">
        <w:t>r</w:t>
      </w:r>
      <w:r w:rsidRPr="00D45B1A">
        <w:t xml:space="preserve">elative </w:t>
      </w:r>
      <w:r w:rsidR="00642AC8">
        <w:t>v</w:t>
      </w:r>
      <w:r w:rsidRPr="00D45B1A">
        <w:t xml:space="preserve">alue </w:t>
      </w:r>
      <w:r w:rsidR="00642AC8">
        <w:t>u</w:t>
      </w:r>
      <w:r w:rsidRPr="00D45B1A">
        <w:t>nits (RVU) may also be created from demographic or coding information. For example, the costing practitioner may use Indigenous status field (as a measure) to create a feeder or RVU to allocate expenses from Indigenous Liaison cost centre</w:t>
      </w:r>
      <w:r w:rsidR="00002A5B">
        <w:t>.</w:t>
      </w:r>
    </w:p>
    <w:p w14:paraId="68D63E89" w14:textId="28ADA3DC" w:rsidR="00C27FB2" w:rsidRPr="00D45B1A" w:rsidRDefault="00C27FB2" w:rsidP="007C6433">
      <w:pPr>
        <w:pStyle w:val="ListBullet"/>
      </w:pPr>
      <w:r w:rsidRPr="00D45B1A">
        <w:t>Where feeder data cannot be found, the costing practitioner should consider allocating these expenses</w:t>
      </w:r>
      <w:r w:rsidRPr="00D45B1A">
        <w:rPr>
          <w:lang w:eastAsia="ja-JP"/>
        </w:rPr>
        <w:t xml:space="preserve"> as an overhead</w:t>
      </w:r>
      <w:r w:rsidR="00002A5B">
        <w:rPr>
          <w:lang w:eastAsia="ja-JP"/>
        </w:rPr>
        <w:t>.</w:t>
      </w:r>
    </w:p>
    <w:p w14:paraId="68D63E8A" w14:textId="78AAAFE0" w:rsidR="00C27FB2" w:rsidRPr="00D45B1A" w:rsidRDefault="00C27FB2" w:rsidP="004738A8">
      <w:pPr>
        <w:pStyle w:val="Level3"/>
      </w:pPr>
      <w:r w:rsidRPr="00D45B1A">
        <w:t xml:space="preserve">If consultation liaison services are treated as an overhead, costing practitioners should assign the most appropriate overhead statistic (see </w:t>
      </w:r>
      <w:r w:rsidR="00B63007">
        <w:t xml:space="preserve">Costing </w:t>
      </w:r>
      <w:r w:rsidR="00952713">
        <w:t>G</w:t>
      </w:r>
      <w:r w:rsidR="00B63007">
        <w:t>uideline</w:t>
      </w:r>
      <w:r w:rsidRPr="00D45B1A">
        <w:t xml:space="preserve"> </w:t>
      </w:r>
      <w:r w:rsidR="0095663F">
        <w:t xml:space="preserve">9 – </w:t>
      </w:r>
      <w:r w:rsidR="00952713">
        <w:t>m</w:t>
      </w:r>
      <w:r w:rsidR="0095663F">
        <w:t xml:space="preserve">ental </w:t>
      </w:r>
      <w:r w:rsidR="00952713">
        <w:t>h</w:t>
      </w:r>
      <w:r w:rsidR="0095663F">
        <w:t xml:space="preserve">ealth </w:t>
      </w:r>
      <w:r w:rsidR="00952713">
        <w:t>s</w:t>
      </w:r>
      <w:r w:rsidR="0095663F">
        <w:t>ervices</w:t>
      </w:r>
      <w:r w:rsidRPr="00D45B1A">
        <w:t>) to distribute these expenditures.</w:t>
      </w:r>
    </w:p>
    <w:p w14:paraId="68D63E8B" w14:textId="77777777" w:rsidR="00C27FB2" w:rsidRPr="00D45B1A" w:rsidRDefault="00C27FB2" w:rsidP="004738A8">
      <w:pPr>
        <w:pStyle w:val="Level3"/>
      </w:pPr>
      <w:r w:rsidRPr="00D45B1A">
        <w:t>If consultation liaison services are treated as direct cost, intermediate products may be created and mapped to respective final cost centres.</w:t>
      </w:r>
    </w:p>
    <w:p w14:paraId="68D63E8C" w14:textId="2E6D46B9" w:rsidR="00C27FB2" w:rsidRPr="00D45B1A" w:rsidRDefault="00C27FB2" w:rsidP="00E00DAD">
      <w:pPr>
        <w:pStyle w:val="Level3Heading"/>
      </w:pPr>
      <w:r w:rsidRPr="00D45B1A">
        <w:t xml:space="preserve">Step 5. Apply </w:t>
      </w:r>
      <w:r w:rsidR="007F1AC6">
        <w:t>r</w:t>
      </w:r>
      <w:r w:rsidRPr="00D45B1A">
        <w:t xml:space="preserve">elative </w:t>
      </w:r>
      <w:r w:rsidR="007F1AC6">
        <w:t>v</w:t>
      </w:r>
      <w:r w:rsidRPr="00D45B1A">
        <w:t xml:space="preserve">alue </w:t>
      </w:r>
      <w:r w:rsidR="007F1AC6">
        <w:t>u</w:t>
      </w:r>
      <w:r w:rsidRPr="00D45B1A">
        <w:t xml:space="preserve">nits </w:t>
      </w:r>
    </w:p>
    <w:p w14:paraId="68D63E8D" w14:textId="77777777" w:rsidR="00C27FB2" w:rsidRPr="00D45B1A" w:rsidRDefault="00C27FB2" w:rsidP="004738A8">
      <w:pPr>
        <w:pStyle w:val="Level3"/>
      </w:pPr>
      <w:r w:rsidRPr="00D45B1A">
        <w:t>The cost allocation process for consultation liaison services might be further enhanced through the use of RVUs. RVUs are relative values used to assist the costing practitioner allocate costs to better reflect the cost of service provision.</w:t>
      </w:r>
    </w:p>
    <w:p w14:paraId="68D63E8E" w14:textId="77777777" w:rsidR="00C27FB2" w:rsidRPr="00D45B1A" w:rsidRDefault="00C27FB2" w:rsidP="004738A8">
      <w:pPr>
        <w:pStyle w:val="Level3"/>
      </w:pPr>
      <w:r w:rsidRPr="00D45B1A">
        <w:lastRenderedPageBreak/>
        <w:t xml:space="preserve">The relative values should be determined and agreed in consultation with the relevant stakeholders. </w:t>
      </w:r>
    </w:p>
    <w:p w14:paraId="68D63E8F" w14:textId="77777777" w:rsidR="00C27FB2" w:rsidRPr="00D45B1A" w:rsidRDefault="00C27FB2" w:rsidP="00E00DAD">
      <w:pPr>
        <w:pStyle w:val="Level3Heading"/>
      </w:pPr>
      <w:r w:rsidRPr="00D45B1A">
        <w:t>Step 6</w:t>
      </w:r>
      <w:r w:rsidR="00526C6A">
        <w:t>:</w:t>
      </w:r>
      <w:r w:rsidRPr="00D45B1A">
        <w:t xml:space="preserve"> </w:t>
      </w:r>
      <w:r w:rsidR="00D05D7A">
        <w:t>Create intermediate product costs in final cost centres</w:t>
      </w:r>
    </w:p>
    <w:p w14:paraId="68D63E90" w14:textId="77777777" w:rsidR="00D678EF" w:rsidRDefault="00D678EF" w:rsidP="004738A8">
      <w:pPr>
        <w:pStyle w:val="Level3"/>
      </w:pPr>
      <w:r>
        <w:t>Two allocation processes are performed:</w:t>
      </w:r>
    </w:p>
    <w:p w14:paraId="68D63E91" w14:textId="5224EFE7" w:rsidR="00D678EF" w:rsidRPr="00D46BB1" w:rsidRDefault="00002A5B" w:rsidP="007C6433">
      <w:pPr>
        <w:pStyle w:val="ListBullet"/>
      </w:pPr>
      <w:r>
        <w:t>w</w:t>
      </w:r>
      <w:r w:rsidR="00D678EF" w:rsidRPr="00D46BB1">
        <w:t xml:space="preserve">hen overhead costs are allocated to the </w:t>
      </w:r>
      <w:r w:rsidR="009B2BDB">
        <w:t>p</w:t>
      </w:r>
      <w:r w:rsidR="00D678EF" w:rsidRPr="00D46BB1">
        <w:t xml:space="preserve">roduction </w:t>
      </w:r>
      <w:r w:rsidR="009B2BDB">
        <w:t>c</w:t>
      </w:r>
      <w:r w:rsidR="00D678EF" w:rsidRPr="00D46BB1">
        <w:t xml:space="preserve">ost </w:t>
      </w:r>
      <w:r w:rsidR="009B2BDB">
        <w:t>c</w:t>
      </w:r>
      <w:r w:rsidR="00D678EF" w:rsidRPr="00D46BB1">
        <w:t>entre (using an appropriate allocation statistic)</w:t>
      </w:r>
    </w:p>
    <w:p w14:paraId="68D63E92" w14:textId="2070DA7A" w:rsidR="00D678EF" w:rsidRPr="00D46BB1" w:rsidRDefault="00002A5B" w:rsidP="007C6433">
      <w:pPr>
        <w:pStyle w:val="ListBullet"/>
      </w:pPr>
      <w:r>
        <w:t>w</w:t>
      </w:r>
      <w:r w:rsidR="00D678EF" w:rsidRPr="00D46BB1">
        <w:t xml:space="preserve">hen the </w:t>
      </w:r>
      <w:r w:rsidR="009B2BDB">
        <w:t>p</w:t>
      </w:r>
      <w:r w:rsidR="00D678EF" w:rsidRPr="00D46BB1">
        <w:t xml:space="preserve">roduction </w:t>
      </w:r>
      <w:r w:rsidR="009B2BDB">
        <w:t>c</w:t>
      </w:r>
      <w:r w:rsidR="00D678EF" w:rsidRPr="00D46BB1">
        <w:t xml:space="preserve">ost </w:t>
      </w:r>
      <w:r w:rsidR="009B2BDB">
        <w:t>c</w:t>
      </w:r>
      <w:r w:rsidR="00D678EF" w:rsidRPr="00D46BB1">
        <w:t>entre costs (overhead and direct) are allocated to the intermediate products.</w:t>
      </w:r>
    </w:p>
    <w:p w14:paraId="68D63E93" w14:textId="313EF968" w:rsidR="00C27FB2" w:rsidRPr="00D45B1A" w:rsidRDefault="00C27FB2" w:rsidP="00E00DAD">
      <w:pPr>
        <w:pStyle w:val="Level3Heading"/>
      </w:pPr>
      <w:r w:rsidRPr="00D45B1A">
        <w:t>Step 7</w:t>
      </w:r>
      <w:r w:rsidR="00526C6A">
        <w:t>:</w:t>
      </w:r>
      <w:r w:rsidRPr="00D45B1A">
        <w:t xml:space="preserve"> Match </w:t>
      </w:r>
      <w:r w:rsidR="002F7820">
        <w:t>i</w:t>
      </w:r>
      <w:r w:rsidRPr="00D45B1A">
        <w:t xml:space="preserve">ntermediate </w:t>
      </w:r>
      <w:r w:rsidR="002F7820">
        <w:t>p</w:t>
      </w:r>
      <w:r w:rsidR="002F7820" w:rsidRPr="00D45B1A">
        <w:t xml:space="preserve">roducts </w:t>
      </w:r>
      <w:r w:rsidRPr="00D45B1A">
        <w:t xml:space="preserve">and their </w:t>
      </w:r>
      <w:r w:rsidR="002F7820">
        <w:t>c</w:t>
      </w:r>
      <w:r w:rsidR="002F7820" w:rsidRPr="00D45B1A">
        <w:t xml:space="preserve">osts </w:t>
      </w:r>
      <w:r w:rsidRPr="00D45B1A">
        <w:t xml:space="preserve">to </w:t>
      </w:r>
      <w:r w:rsidR="007F1AC6">
        <w:t>c</w:t>
      </w:r>
      <w:r w:rsidRPr="00D45B1A">
        <w:t xml:space="preserve">onsultation </w:t>
      </w:r>
      <w:r w:rsidR="002F7820">
        <w:t>l</w:t>
      </w:r>
      <w:r w:rsidR="002F7820" w:rsidRPr="00D45B1A">
        <w:t xml:space="preserve">iaison </w:t>
      </w:r>
      <w:r w:rsidR="002F7820">
        <w:t>a</w:t>
      </w:r>
      <w:r w:rsidR="002F7820" w:rsidRPr="00D45B1A">
        <w:t>ctivity</w:t>
      </w:r>
    </w:p>
    <w:p w14:paraId="68D63E94" w14:textId="77777777" w:rsidR="00C27FB2" w:rsidRPr="00D45B1A" w:rsidRDefault="00C27FB2" w:rsidP="004738A8">
      <w:pPr>
        <w:pStyle w:val="Level3"/>
      </w:pPr>
      <w:r w:rsidRPr="00D45B1A">
        <w:t xml:space="preserve">Consultation liaison services or intermediate products are matched to the appropriate patient episode or encounter using the appropriate matching criteria. </w:t>
      </w:r>
    </w:p>
    <w:p w14:paraId="68D63E95" w14:textId="2D1D5C5C" w:rsidR="00C27FB2" w:rsidRPr="00D45B1A" w:rsidRDefault="00C27FB2" w:rsidP="004738A8">
      <w:pPr>
        <w:pStyle w:val="Level3"/>
      </w:pPr>
      <w:r w:rsidRPr="00D45B1A">
        <w:t>Consultation liaison services may itself be treated as a fi</w:t>
      </w:r>
      <w:r w:rsidR="006C54A9">
        <w:t>nal cost product. For example, mental health consultation l</w:t>
      </w:r>
      <w:r w:rsidRPr="00D45B1A">
        <w:t>iaison services provided by specialist mental health clinicians may be counted and costed as a distinct service contact</w:t>
      </w:r>
      <w:r w:rsidR="00642AC8">
        <w:t xml:space="preserve"> or </w:t>
      </w:r>
      <w:r w:rsidRPr="00D45B1A">
        <w:t>event in some jurisdiction. In this case, consumption of resources from other hospital department should be matched appropriately to the service contact</w:t>
      </w:r>
      <w:r w:rsidR="00C76532">
        <w:t xml:space="preserve"> or </w:t>
      </w:r>
      <w:r w:rsidRPr="00D45B1A">
        <w:t xml:space="preserve">event. </w:t>
      </w:r>
    </w:p>
    <w:p w14:paraId="68D63E96" w14:textId="77777777" w:rsidR="00C27FB2" w:rsidRPr="00D45B1A" w:rsidRDefault="00C27FB2" w:rsidP="00E00DAD">
      <w:pPr>
        <w:pStyle w:val="Level3Heading"/>
      </w:pPr>
      <w:r w:rsidRPr="00D45B1A">
        <w:t>Step</w:t>
      </w:r>
      <w:r w:rsidR="00B16716">
        <w:t xml:space="preserve"> </w:t>
      </w:r>
      <w:r w:rsidRPr="00D45B1A">
        <w:t>8</w:t>
      </w:r>
      <w:r w:rsidR="00526C6A">
        <w:t>:</w:t>
      </w:r>
      <w:r w:rsidRPr="00D45B1A">
        <w:t xml:space="preserve"> </w:t>
      </w:r>
      <w:r w:rsidR="008A6B15">
        <w:t>Report costs</w:t>
      </w:r>
    </w:p>
    <w:p w14:paraId="68D63E97" w14:textId="77777777" w:rsidR="00C27FB2" w:rsidRPr="00D45B1A" w:rsidRDefault="00C27FB2" w:rsidP="004738A8">
      <w:pPr>
        <w:pStyle w:val="Level3"/>
      </w:pPr>
      <w:r w:rsidRPr="00D45B1A">
        <w:t xml:space="preserve">Costing practitioners should perform the required steps to </w:t>
      </w:r>
      <w:r w:rsidR="00116978">
        <w:t xml:space="preserve">consolidate and report </w:t>
      </w:r>
      <w:r w:rsidRPr="00D45B1A">
        <w:t>costs at patient or encounter level</w:t>
      </w:r>
      <w:r w:rsidRPr="00D45B1A">
        <w:rPr>
          <w:i/>
        </w:rPr>
        <w:t>.</w:t>
      </w:r>
    </w:p>
    <w:p w14:paraId="68D63E98" w14:textId="57F2C839" w:rsidR="00C27FB2" w:rsidRPr="00D45B1A" w:rsidRDefault="00C27FB2" w:rsidP="00E00DAD">
      <w:pPr>
        <w:pStyle w:val="Level3Heading"/>
      </w:pPr>
      <w:r w:rsidRPr="00D45B1A">
        <w:t>Step 9</w:t>
      </w:r>
      <w:r w:rsidR="00526C6A">
        <w:t>:</w:t>
      </w:r>
      <w:r w:rsidRPr="00D45B1A">
        <w:t xml:space="preserve"> </w:t>
      </w:r>
      <w:r w:rsidR="00D05D7A">
        <w:t>Cost data review with</w:t>
      </w:r>
      <w:r w:rsidRPr="00D45B1A">
        <w:t xml:space="preserve"> </w:t>
      </w:r>
      <w:r w:rsidR="007F1AC6">
        <w:t>c</w:t>
      </w:r>
      <w:r w:rsidRPr="00D45B1A">
        <w:t xml:space="preserve">onsultation </w:t>
      </w:r>
      <w:r w:rsidR="002F7820">
        <w:t>l</w:t>
      </w:r>
      <w:r w:rsidRPr="00D45B1A">
        <w:t xml:space="preserve">iaison </w:t>
      </w:r>
      <w:r w:rsidR="002F7820">
        <w:t>s</w:t>
      </w:r>
      <w:r w:rsidR="002F7820" w:rsidRPr="00D45B1A">
        <w:t xml:space="preserve">ervices </w:t>
      </w:r>
      <w:r w:rsidR="002F7820">
        <w:t>s</w:t>
      </w:r>
      <w:r w:rsidR="002F7820" w:rsidRPr="00D45B1A">
        <w:t>takeholders</w:t>
      </w:r>
      <w:r w:rsidRPr="00D45B1A">
        <w:t xml:space="preserve"> </w:t>
      </w:r>
    </w:p>
    <w:p w14:paraId="68D63E99" w14:textId="4594D329" w:rsidR="00C27FB2" w:rsidRPr="00D45B1A" w:rsidRDefault="00C27FB2" w:rsidP="004738A8">
      <w:pPr>
        <w:pStyle w:val="Level3"/>
      </w:pPr>
      <w:r w:rsidRPr="00D45B1A">
        <w:t>Costing practitioners should meet with their relevant stakeholders to report and r</w:t>
      </w:r>
      <w:r w:rsidR="006C54A9">
        <w:t>eview the costs calculated for consultation l</w:t>
      </w:r>
      <w:r w:rsidRPr="00D45B1A">
        <w:t>iaison activities.</w:t>
      </w:r>
    </w:p>
    <w:p w14:paraId="68D63E9A" w14:textId="77777777" w:rsidR="00C27FB2" w:rsidRPr="00073D51" w:rsidRDefault="00C27FB2" w:rsidP="00C27FB2">
      <w:pPr>
        <w:rPr>
          <w:rFonts w:cs="Arial"/>
          <w:lang w:eastAsia="ja-JP"/>
        </w:rPr>
      </w:pPr>
    </w:p>
    <w:p w14:paraId="68D63E9B" w14:textId="77777777" w:rsidR="00E970E1" w:rsidRDefault="00E970E1">
      <w:pPr>
        <w:spacing w:before="0" w:after="0" w:line="240" w:lineRule="auto"/>
      </w:pPr>
      <w:r>
        <w:br w:type="page"/>
      </w:r>
    </w:p>
    <w:p w14:paraId="68D63E9C" w14:textId="77777777" w:rsidR="00E970E1" w:rsidRDefault="00E970E1" w:rsidP="00AA4832">
      <w:pPr>
        <w:pStyle w:val="Heading1"/>
        <w:spacing w:after="480"/>
      </w:pPr>
      <w:bookmarkStart w:id="48" w:name="_Toc80778507"/>
      <w:r>
        <w:lastRenderedPageBreak/>
        <w:t>Glossary</w:t>
      </w:r>
      <w:bookmarkEnd w:id="48"/>
      <w:r>
        <w:t xml:space="preserve"> </w:t>
      </w:r>
    </w:p>
    <w:tbl>
      <w:tblPr>
        <w:tblW w:w="9820" w:type="dxa"/>
        <w:tblInd w:w="93" w:type="dxa"/>
        <w:tblLook w:val="04A0" w:firstRow="1" w:lastRow="0" w:firstColumn="1" w:lastColumn="0" w:noHBand="0" w:noVBand="1"/>
      </w:tblPr>
      <w:tblGrid>
        <w:gridCol w:w="3340"/>
        <w:gridCol w:w="6480"/>
      </w:tblGrid>
      <w:tr w:rsidR="00E970E1" w:rsidRPr="00E970E1" w14:paraId="68D63E9F" w14:textId="77777777" w:rsidTr="00E970E1">
        <w:trPr>
          <w:trHeight w:val="315"/>
          <w:tblHeader/>
        </w:trPr>
        <w:tc>
          <w:tcPr>
            <w:tcW w:w="3340" w:type="dxa"/>
            <w:tcBorders>
              <w:top w:val="single" w:sz="8" w:space="0" w:color="000000"/>
              <w:left w:val="nil"/>
              <w:bottom w:val="single" w:sz="8" w:space="0" w:color="000000"/>
              <w:right w:val="nil"/>
            </w:tcBorders>
            <w:shd w:val="clear" w:color="auto" w:fill="auto"/>
            <w:hideMark/>
          </w:tcPr>
          <w:p w14:paraId="68D63E9D"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Term</w:t>
            </w:r>
          </w:p>
        </w:tc>
        <w:tc>
          <w:tcPr>
            <w:tcW w:w="6480" w:type="dxa"/>
            <w:tcBorders>
              <w:top w:val="single" w:sz="8" w:space="0" w:color="000000"/>
              <w:left w:val="nil"/>
              <w:bottom w:val="single" w:sz="8" w:space="0" w:color="000000"/>
              <w:right w:val="nil"/>
            </w:tcBorders>
            <w:shd w:val="clear" w:color="auto" w:fill="auto"/>
            <w:hideMark/>
          </w:tcPr>
          <w:p w14:paraId="68D63E9E"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Description</w:t>
            </w:r>
          </w:p>
        </w:tc>
      </w:tr>
      <w:tr w:rsidR="00E970E1" w:rsidRPr="00E970E1" w14:paraId="68D63EA2" w14:textId="77777777" w:rsidTr="00E970E1">
        <w:trPr>
          <w:trHeight w:val="510"/>
        </w:trPr>
        <w:tc>
          <w:tcPr>
            <w:tcW w:w="3340" w:type="dxa"/>
            <w:tcBorders>
              <w:top w:val="nil"/>
              <w:left w:val="nil"/>
              <w:bottom w:val="nil"/>
              <w:right w:val="nil"/>
            </w:tcBorders>
            <w:shd w:val="clear" w:color="auto" w:fill="auto"/>
            <w:hideMark/>
          </w:tcPr>
          <w:p w14:paraId="68D63EA0"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Account </w:t>
            </w:r>
            <w:r w:rsidR="002F7820">
              <w:rPr>
                <w:rFonts w:cs="Arial"/>
                <w:b/>
                <w:bCs/>
                <w:color w:val="000000"/>
                <w:sz w:val="20"/>
                <w:szCs w:val="20"/>
              </w:rPr>
              <w:t>c</w:t>
            </w:r>
            <w:r w:rsidRPr="00E970E1">
              <w:rPr>
                <w:rFonts w:cs="Arial"/>
                <w:b/>
                <w:bCs/>
                <w:color w:val="000000"/>
                <w:sz w:val="20"/>
                <w:szCs w:val="20"/>
              </w:rPr>
              <w:t>ode</w:t>
            </w:r>
          </w:p>
        </w:tc>
        <w:tc>
          <w:tcPr>
            <w:tcW w:w="6480" w:type="dxa"/>
            <w:tcBorders>
              <w:top w:val="nil"/>
              <w:left w:val="nil"/>
              <w:bottom w:val="nil"/>
              <w:right w:val="nil"/>
            </w:tcBorders>
            <w:shd w:val="clear" w:color="auto" w:fill="auto"/>
            <w:hideMark/>
          </w:tcPr>
          <w:p w14:paraId="68D63EA1" w14:textId="5A6D07EB"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Account </w:t>
            </w:r>
            <w:r w:rsidR="00642AC8">
              <w:rPr>
                <w:rFonts w:cs="Arial"/>
                <w:color w:val="000000"/>
                <w:sz w:val="20"/>
                <w:szCs w:val="20"/>
              </w:rPr>
              <w:t>c</w:t>
            </w:r>
            <w:r w:rsidRPr="00E970E1">
              <w:rPr>
                <w:rFonts w:cs="Arial"/>
                <w:color w:val="000000"/>
                <w:sz w:val="20"/>
                <w:szCs w:val="20"/>
              </w:rPr>
              <w:t>ode is a unique record for each type of asset, liability, equity, revenue and expense.</w:t>
            </w:r>
          </w:p>
        </w:tc>
      </w:tr>
      <w:tr w:rsidR="00E970E1" w:rsidRPr="00E970E1" w14:paraId="68D63EA5" w14:textId="77777777" w:rsidTr="00E970E1">
        <w:trPr>
          <w:trHeight w:val="765"/>
        </w:trPr>
        <w:tc>
          <w:tcPr>
            <w:tcW w:w="3340" w:type="dxa"/>
            <w:tcBorders>
              <w:top w:val="nil"/>
              <w:left w:val="nil"/>
              <w:bottom w:val="nil"/>
              <w:right w:val="nil"/>
            </w:tcBorders>
            <w:shd w:val="clear" w:color="auto" w:fill="auto"/>
            <w:hideMark/>
          </w:tcPr>
          <w:p w14:paraId="68D63EA3"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Admitted patient products</w:t>
            </w:r>
          </w:p>
        </w:tc>
        <w:tc>
          <w:tcPr>
            <w:tcW w:w="6480" w:type="dxa"/>
            <w:tcBorders>
              <w:top w:val="nil"/>
              <w:left w:val="nil"/>
              <w:bottom w:val="nil"/>
              <w:right w:val="nil"/>
            </w:tcBorders>
            <w:shd w:val="clear" w:color="auto" w:fill="auto"/>
            <w:hideMark/>
          </w:tcPr>
          <w:p w14:paraId="68D63EA4" w14:textId="23D59BB0"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Admitted patient products are the services provided to patients who undergo an admission process, where the process of admission is defined in (METeOR ID: 327206)</w:t>
            </w:r>
            <w:r w:rsidR="00642AC8">
              <w:rPr>
                <w:rFonts w:cs="Arial"/>
                <w:color w:val="000000"/>
                <w:sz w:val="20"/>
                <w:szCs w:val="20"/>
              </w:rPr>
              <w:t>.</w:t>
            </w:r>
          </w:p>
        </w:tc>
      </w:tr>
      <w:tr w:rsidR="00E970E1" w:rsidRPr="00E970E1" w14:paraId="68D63EA8" w14:textId="77777777" w:rsidTr="00E970E1">
        <w:trPr>
          <w:trHeight w:val="510"/>
        </w:trPr>
        <w:tc>
          <w:tcPr>
            <w:tcW w:w="3340" w:type="dxa"/>
            <w:tcBorders>
              <w:top w:val="nil"/>
              <w:left w:val="nil"/>
              <w:bottom w:val="nil"/>
              <w:right w:val="nil"/>
            </w:tcBorders>
            <w:shd w:val="clear" w:color="auto" w:fill="auto"/>
            <w:hideMark/>
          </w:tcPr>
          <w:p w14:paraId="68D63EA6"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Allocation </w:t>
            </w:r>
            <w:r w:rsidR="002F7820">
              <w:rPr>
                <w:rFonts w:cs="Arial"/>
                <w:b/>
                <w:bCs/>
                <w:color w:val="000000"/>
                <w:sz w:val="20"/>
                <w:szCs w:val="20"/>
              </w:rPr>
              <w:t>m</w:t>
            </w:r>
            <w:r w:rsidR="002F7820" w:rsidRPr="00E970E1">
              <w:rPr>
                <w:rFonts w:cs="Arial"/>
                <w:b/>
                <w:bCs/>
                <w:color w:val="000000"/>
                <w:sz w:val="20"/>
                <w:szCs w:val="20"/>
              </w:rPr>
              <w:t>ethodology</w:t>
            </w:r>
          </w:p>
        </w:tc>
        <w:tc>
          <w:tcPr>
            <w:tcW w:w="6480" w:type="dxa"/>
            <w:tcBorders>
              <w:top w:val="nil"/>
              <w:left w:val="nil"/>
              <w:bottom w:val="nil"/>
              <w:right w:val="nil"/>
            </w:tcBorders>
            <w:shd w:val="clear" w:color="auto" w:fill="auto"/>
            <w:hideMark/>
          </w:tcPr>
          <w:p w14:paraId="68D63EA7"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Allocation methodology is the process selected to allocate the identified cost to the cost objects.</w:t>
            </w:r>
          </w:p>
        </w:tc>
      </w:tr>
      <w:tr w:rsidR="00E970E1" w:rsidRPr="00E970E1" w14:paraId="68D63EAB" w14:textId="77777777" w:rsidTr="00E970E1">
        <w:trPr>
          <w:trHeight w:val="765"/>
        </w:trPr>
        <w:tc>
          <w:tcPr>
            <w:tcW w:w="3340" w:type="dxa"/>
            <w:vMerge w:val="restart"/>
            <w:tcBorders>
              <w:top w:val="nil"/>
              <w:left w:val="nil"/>
              <w:bottom w:val="nil"/>
              <w:right w:val="nil"/>
            </w:tcBorders>
            <w:shd w:val="clear" w:color="auto" w:fill="auto"/>
            <w:hideMark/>
          </w:tcPr>
          <w:p w14:paraId="68D63EA9"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Allocation </w:t>
            </w:r>
            <w:r w:rsidR="002F7820">
              <w:rPr>
                <w:rFonts w:cs="Arial"/>
                <w:b/>
                <w:bCs/>
                <w:color w:val="000000"/>
                <w:sz w:val="20"/>
                <w:szCs w:val="20"/>
              </w:rPr>
              <w:t>s</w:t>
            </w:r>
            <w:r w:rsidR="002F7820" w:rsidRPr="00E970E1">
              <w:rPr>
                <w:rFonts w:cs="Arial"/>
                <w:b/>
                <w:bCs/>
                <w:color w:val="000000"/>
                <w:sz w:val="20"/>
                <w:szCs w:val="20"/>
              </w:rPr>
              <w:t>tatistics</w:t>
            </w:r>
          </w:p>
        </w:tc>
        <w:tc>
          <w:tcPr>
            <w:tcW w:w="6480" w:type="dxa"/>
            <w:tcBorders>
              <w:top w:val="nil"/>
              <w:left w:val="nil"/>
              <w:bottom w:val="nil"/>
              <w:right w:val="nil"/>
            </w:tcBorders>
            <w:shd w:val="clear" w:color="auto" w:fill="auto"/>
            <w:hideMark/>
          </w:tcPr>
          <w:p w14:paraId="68D63EAA"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Types of cost allocation bases that use financial or non-financial data to allocate costs aggregated in an overhead cost centre to relevant production cost centres.</w:t>
            </w:r>
          </w:p>
        </w:tc>
      </w:tr>
      <w:tr w:rsidR="00E970E1" w:rsidRPr="00E970E1" w14:paraId="68D63EAE" w14:textId="77777777" w:rsidTr="00E970E1">
        <w:trPr>
          <w:trHeight w:val="765"/>
        </w:trPr>
        <w:tc>
          <w:tcPr>
            <w:tcW w:w="3340" w:type="dxa"/>
            <w:vMerge/>
            <w:tcBorders>
              <w:top w:val="nil"/>
              <w:left w:val="nil"/>
              <w:bottom w:val="nil"/>
              <w:right w:val="nil"/>
            </w:tcBorders>
            <w:vAlign w:val="center"/>
            <w:hideMark/>
          </w:tcPr>
          <w:p w14:paraId="68D63EAC"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EAD"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These values measure the relative consumption of products and/or services produced by those organisational units that are not directly involved in patient care. </w:t>
            </w:r>
          </w:p>
        </w:tc>
      </w:tr>
      <w:tr w:rsidR="00E970E1" w:rsidRPr="00E970E1" w14:paraId="68D63EB1" w14:textId="77777777" w:rsidTr="00E970E1">
        <w:trPr>
          <w:trHeight w:val="1020"/>
        </w:trPr>
        <w:tc>
          <w:tcPr>
            <w:tcW w:w="3340" w:type="dxa"/>
            <w:tcBorders>
              <w:top w:val="nil"/>
              <w:left w:val="nil"/>
              <w:bottom w:val="nil"/>
              <w:right w:val="nil"/>
            </w:tcBorders>
            <w:shd w:val="clear" w:color="auto" w:fill="auto"/>
            <w:hideMark/>
          </w:tcPr>
          <w:p w14:paraId="68D63EAF"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Blood </w:t>
            </w:r>
            <w:r w:rsidR="002F7820">
              <w:rPr>
                <w:rFonts w:cs="Arial"/>
                <w:b/>
                <w:bCs/>
                <w:color w:val="000000"/>
                <w:sz w:val="20"/>
                <w:szCs w:val="20"/>
              </w:rPr>
              <w:t>p</w:t>
            </w:r>
            <w:r w:rsidR="002F7820" w:rsidRPr="00E970E1">
              <w:rPr>
                <w:rFonts w:cs="Arial"/>
                <w:b/>
                <w:bCs/>
                <w:color w:val="000000"/>
                <w:sz w:val="20"/>
                <w:szCs w:val="20"/>
              </w:rPr>
              <w:t xml:space="preserve">roducts </w:t>
            </w:r>
            <w:r w:rsidRPr="00E970E1">
              <w:rPr>
                <w:rFonts w:cs="Arial"/>
                <w:b/>
                <w:bCs/>
                <w:color w:val="000000"/>
                <w:sz w:val="20"/>
                <w:szCs w:val="20"/>
              </w:rPr>
              <w:t xml:space="preserve">and </w:t>
            </w:r>
            <w:r w:rsidR="002F7820">
              <w:rPr>
                <w:rFonts w:cs="Arial"/>
                <w:b/>
                <w:bCs/>
                <w:color w:val="000000"/>
                <w:sz w:val="20"/>
                <w:szCs w:val="20"/>
              </w:rPr>
              <w:t>s</w:t>
            </w:r>
            <w:r w:rsidRPr="00E970E1">
              <w:rPr>
                <w:rFonts w:cs="Arial"/>
                <w:b/>
                <w:bCs/>
                <w:color w:val="000000"/>
                <w:sz w:val="20"/>
                <w:szCs w:val="20"/>
              </w:rPr>
              <w:t>ervices</w:t>
            </w:r>
          </w:p>
        </w:tc>
        <w:tc>
          <w:tcPr>
            <w:tcW w:w="6480" w:type="dxa"/>
            <w:tcBorders>
              <w:top w:val="nil"/>
              <w:left w:val="nil"/>
              <w:bottom w:val="nil"/>
              <w:right w:val="nil"/>
            </w:tcBorders>
            <w:shd w:val="clear" w:color="auto" w:fill="auto"/>
            <w:hideMark/>
          </w:tcPr>
          <w:p w14:paraId="68D63EB0" w14:textId="433D2C0A" w:rsidR="00E970E1" w:rsidRPr="00E970E1" w:rsidRDefault="00626E5F" w:rsidP="00C17B61">
            <w:pPr>
              <w:spacing w:before="0" w:after="0" w:line="240" w:lineRule="auto"/>
              <w:rPr>
                <w:rFonts w:cs="Arial"/>
                <w:color w:val="000000"/>
                <w:sz w:val="20"/>
                <w:szCs w:val="20"/>
              </w:rPr>
            </w:pPr>
            <w:r>
              <w:rPr>
                <w:rFonts w:cs="Arial"/>
                <w:color w:val="000000"/>
                <w:sz w:val="20"/>
                <w:szCs w:val="20"/>
              </w:rPr>
              <w:t>Blood p</w:t>
            </w:r>
            <w:r w:rsidR="00E970E1" w:rsidRPr="00E970E1">
              <w:rPr>
                <w:rFonts w:cs="Arial"/>
                <w:color w:val="000000"/>
                <w:sz w:val="20"/>
                <w:szCs w:val="20"/>
              </w:rPr>
              <w:t>roducts are products that can be manufactured by simple separation of blood into its compon</w:t>
            </w:r>
            <w:r w:rsidR="009B2BDB">
              <w:rPr>
                <w:rFonts w:cs="Arial"/>
                <w:color w:val="000000"/>
                <w:sz w:val="20"/>
                <w:szCs w:val="20"/>
              </w:rPr>
              <w:t>ents via centrifugation. Blood p</w:t>
            </w:r>
            <w:r w:rsidR="00E970E1" w:rsidRPr="00E970E1">
              <w:rPr>
                <w:rFonts w:cs="Arial"/>
                <w:color w:val="000000"/>
                <w:sz w:val="20"/>
                <w:szCs w:val="20"/>
              </w:rPr>
              <w:t xml:space="preserve">roducts and </w:t>
            </w:r>
            <w:r w:rsidR="009B2BDB">
              <w:rPr>
                <w:rFonts w:cs="Arial"/>
                <w:color w:val="000000"/>
                <w:sz w:val="20"/>
                <w:szCs w:val="20"/>
              </w:rPr>
              <w:t>s</w:t>
            </w:r>
            <w:r w:rsidR="00E970E1" w:rsidRPr="00E970E1">
              <w:rPr>
                <w:rFonts w:cs="Arial"/>
                <w:color w:val="000000"/>
                <w:sz w:val="20"/>
                <w:szCs w:val="20"/>
              </w:rPr>
              <w:t xml:space="preserve">ervices are defined under the National Blood Agreement. For example, </w:t>
            </w:r>
            <w:r w:rsidR="00C17B61">
              <w:rPr>
                <w:rFonts w:cs="Arial"/>
                <w:color w:val="000000"/>
                <w:sz w:val="20"/>
                <w:szCs w:val="20"/>
              </w:rPr>
              <w:t>i</w:t>
            </w:r>
            <w:r w:rsidR="00C17B61" w:rsidRPr="00A27C5B">
              <w:rPr>
                <w:rFonts w:cs="Arial"/>
                <w:color w:val="000000"/>
                <w:sz w:val="20"/>
                <w:szCs w:val="20"/>
              </w:rPr>
              <w:t>ntravenous immune globulin</w:t>
            </w:r>
            <w:r w:rsidR="00E970E1" w:rsidRPr="00E970E1">
              <w:rPr>
                <w:rFonts w:cs="Arial"/>
                <w:color w:val="000000"/>
                <w:sz w:val="20"/>
                <w:szCs w:val="20"/>
              </w:rPr>
              <w:t xml:space="preserve">, factors, platelets, red blood cells. </w:t>
            </w:r>
          </w:p>
        </w:tc>
      </w:tr>
      <w:tr w:rsidR="00E970E1" w:rsidRPr="00E970E1" w14:paraId="68D63EB4" w14:textId="77777777" w:rsidTr="00E970E1">
        <w:trPr>
          <w:trHeight w:val="765"/>
        </w:trPr>
        <w:tc>
          <w:tcPr>
            <w:tcW w:w="3340" w:type="dxa"/>
            <w:tcBorders>
              <w:top w:val="nil"/>
              <w:left w:val="nil"/>
              <w:bottom w:val="nil"/>
              <w:right w:val="nil"/>
            </w:tcBorders>
            <w:shd w:val="clear" w:color="auto" w:fill="auto"/>
            <w:hideMark/>
          </w:tcPr>
          <w:p w14:paraId="68D63EB2"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Commercial business units</w:t>
            </w:r>
          </w:p>
        </w:tc>
        <w:tc>
          <w:tcPr>
            <w:tcW w:w="6480" w:type="dxa"/>
            <w:tcBorders>
              <w:top w:val="nil"/>
              <w:left w:val="nil"/>
              <w:bottom w:val="nil"/>
              <w:right w:val="nil"/>
            </w:tcBorders>
            <w:shd w:val="clear" w:color="auto" w:fill="auto"/>
            <w:hideMark/>
          </w:tcPr>
          <w:p w14:paraId="68D63EB3" w14:textId="1CCF473D"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Commercial business units – are organisational units within a hospital that generate non-patient products f</w:t>
            </w:r>
            <w:r w:rsidR="00C17B61">
              <w:rPr>
                <w:rFonts w:cs="Arial"/>
                <w:color w:val="000000"/>
                <w:sz w:val="20"/>
                <w:szCs w:val="20"/>
              </w:rPr>
              <w:t>i</w:t>
            </w:r>
            <w:r w:rsidRPr="00E970E1">
              <w:rPr>
                <w:rFonts w:cs="Arial"/>
                <w:color w:val="000000"/>
                <w:sz w:val="20"/>
                <w:szCs w:val="20"/>
              </w:rPr>
              <w:t>r which revenue is obtained from third parties, including but not limited to hospital patients and staff.</w:t>
            </w:r>
          </w:p>
        </w:tc>
      </w:tr>
      <w:tr w:rsidR="00E970E1" w:rsidRPr="00E970E1" w14:paraId="68D63EB7" w14:textId="77777777" w:rsidTr="00E970E1">
        <w:trPr>
          <w:trHeight w:val="1275"/>
        </w:trPr>
        <w:tc>
          <w:tcPr>
            <w:tcW w:w="3340" w:type="dxa"/>
            <w:vMerge w:val="restart"/>
            <w:tcBorders>
              <w:top w:val="nil"/>
              <w:left w:val="nil"/>
              <w:bottom w:val="nil"/>
              <w:right w:val="nil"/>
            </w:tcBorders>
            <w:shd w:val="clear" w:color="auto" w:fill="auto"/>
            <w:hideMark/>
          </w:tcPr>
          <w:p w14:paraId="68D63EB5"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Consultation (or clinical) </w:t>
            </w:r>
            <w:r w:rsidR="002F7820">
              <w:rPr>
                <w:rFonts w:cs="Arial"/>
                <w:b/>
                <w:bCs/>
                <w:color w:val="000000"/>
                <w:sz w:val="20"/>
                <w:szCs w:val="20"/>
              </w:rPr>
              <w:t>l</w:t>
            </w:r>
            <w:r w:rsidRPr="00E970E1">
              <w:rPr>
                <w:rFonts w:cs="Arial"/>
                <w:b/>
                <w:bCs/>
                <w:color w:val="000000"/>
                <w:sz w:val="20"/>
                <w:szCs w:val="20"/>
              </w:rPr>
              <w:t>iaison</w:t>
            </w:r>
          </w:p>
        </w:tc>
        <w:tc>
          <w:tcPr>
            <w:tcW w:w="6480" w:type="dxa"/>
            <w:tcBorders>
              <w:top w:val="nil"/>
              <w:left w:val="nil"/>
              <w:bottom w:val="nil"/>
              <w:right w:val="nil"/>
            </w:tcBorders>
            <w:shd w:val="clear" w:color="auto" w:fill="auto"/>
            <w:hideMark/>
          </w:tcPr>
          <w:p w14:paraId="68D63EB6" w14:textId="56ECAD33"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Consultation (or clinical) </w:t>
            </w:r>
            <w:r w:rsidR="00642AC8">
              <w:rPr>
                <w:rFonts w:cs="Arial"/>
                <w:color w:val="000000"/>
                <w:sz w:val="20"/>
                <w:szCs w:val="20"/>
              </w:rPr>
              <w:t>l</w:t>
            </w:r>
            <w:r w:rsidRPr="00E970E1">
              <w:rPr>
                <w:rFonts w:cs="Arial"/>
                <w:color w:val="000000"/>
                <w:sz w:val="20"/>
                <w:szCs w:val="20"/>
              </w:rPr>
              <w:t>iaison refers to the process where a patient who is under the care of one clinician (who holds the medical governance</w:t>
            </w:r>
            <w:r w:rsidR="00B63007">
              <w:rPr>
                <w:rFonts w:cs="Arial"/>
                <w:color w:val="000000"/>
                <w:sz w:val="20"/>
                <w:szCs w:val="20"/>
              </w:rPr>
              <w:t>/</w:t>
            </w:r>
            <w:r w:rsidRPr="00E970E1">
              <w:rPr>
                <w:rFonts w:cs="Arial"/>
                <w:color w:val="000000"/>
                <w:sz w:val="20"/>
                <w:szCs w:val="20"/>
              </w:rPr>
              <w:t xml:space="preserve">bed card) is consulted by (another) clinician or team or is provided a liaison (or advisory) service to that treating clinician or team providing care to the patient. </w:t>
            </w:r>
          </w:p>
        </w:tc>
      </w:tr>
      <w:tr w:rsidR="00E970E1" w:rsidRPr="00E970E1" w14:paraId="68D63EBA" w14:textId="77777777" w:rsidTr="00E970E1">
        <w:trPr>
          <w:trHeight w:val="510"/>
        </w:trPr>
        <w:tc>
          <w:tcPr>
            <w:tcW w:w="3340" w:type="dxa"/>
            <w:vMerge/>
            <w:tcBorders>
              <w:top w:val="nil"/>
              <w:left w:val="nil"/>
              <w:bottom w:val="nil"/>
              <w:right w:val="nil"/>
            </w:tcBorders>
            <w:vAlign w:val="center"/>
            <w:hideMark/>
          </w:tcPr>
          <w:p w14:paraId="68D63EB8"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EB9"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Examples include a ‘second opinion’, advice on a particular problem, a case review, a one-off assessment or therapy session.</w:t>
            </w:r>
          </w:p>
        </w:tc>
      </w:tr>
      <w:tr w:rsidR="00E970E1" w:rsidRPr="00E970E1" w14:paraId="68D63EBD" w14:textId="77777777" w:rsidTr="00E970E1">
        <w:trPr>
          <w:trHeight w:val="1020"/>
        </w:trPr>
        <w:tc>
          <w:tcPr>
            <w:tcW w:w="3340" w:type="dxa"/>
            <w:tcBorders>
              <w:top w:val="nil"/>
              <w:left w:val="nil"/>
              <w:bottom w:val="nil"/>
              <w:right w:val="nil"/>
            </w:tcBorders>
            <w:shd w:val="clear" w:color="auto" w:fill="auto"/>
            <w:hideMark/>
          </w:tcPr>
          <w:p w14:paraId="68D63EBB"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Contracted </w:t>
            </w:r>
            <w:r w:rsidR="002F7820">
              <w:rPr>
                <w:rFonts w:cs="Arial"/>
                <w:b/>
                <w:bCs/>
                <w:color w:val="000000"/>
                <w:sz w:val="20"/>
                <w:szCs w:val="20"/>
              </w:rPr>
              <w:t>c</w:t>
            </w:r>
            <w:r w:rsidR="002F7820" w:rsidRPr="00E970E1">
              <w:rPr>
                <w:rFonts w:cs="Arial"/>
                <w:b/>
                <w:bCs/>
                <w:color w:val="000000"/>
                <w:sz w:val="20"/>
                <w:szCs w:val="20"/>
              </w:rPr>
              <w:t>are</w:t>
            </w:r>
          </w:p>
        </w:tc>
        <w:tc>
          <w:tcPr>
            <w:tcW w:w="6480" w:type="dxa"/>
            <w:tcBorders>
              <w:top w:val="nil"/>
              <w:left w:val="nil"/>
              <w:bottom w:val="nil"/>
              <w:right w:val="nil"/>
            </w:tcBorders>
            <w:shd w:val="clear" w:color="auto" w:fill="auto"/>
            <w:hideMark/>
          </w:tcPr>
          <w:p w14:paraId="68D63EBC"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Contracted Care refers to care provided to a patient under an agreement between a purchaser of hospital care (contracting hospital or external purchaser) and a provider of an admitted or non-admitted service (contracted hospital).</w:t>
            </w:r>
          </w:p>
        </w:tc>
      </w:tr>
      <w:tr w:rsidR="00E970E1" w:rsidRPr="00E970E1" w14:paraId="68D63EC0" w14:textId="77777777" w:rsidTr="00E970E1">
        <w:trPr>
          <w:trHeight w:val="1020"/>
        </w:trPr>
        <w:tc>
          <w:tcPr>
            <w:tcW w:w="3340" w:type="dxa"/>
            <w:tcBorders>
              <w:top w:val="nil"/>
              <w:left w:val="nil"/>
              <w:bottom w:val="nil"/>
              <w:right w:val="nil"/>
            </w:tcBorders>
            <w:shd w:val="clear" w:color="auto" w:fill="auto"/>
            <w:hideMark/>
          </w:tcPr>
          <w:p w14:paraId="68D63EBE"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Contractual arrangement</w:t>
            </w:r>
          </w:p>
        </w:tc>
        <w:tc>
          <w:tcPr>
            <w:tcW w:w="6480" w:type="dxa"/>
            <w:tcBorders>
              <w:top w:val="nil"/>
              <w:left w:val="nil"/>
              <w:bottom w:val="nil"/>
              <w:right w:val="nil"/>
            </w:tcBorders>
            <w:shd w:val="clear" w:color="auto" w:fill="auto"/>
            <w:hideMark/>
          </w:tcPr>
          <w:p w14:paraId="68D63EBF"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 contractual arrangement is an enforceable agreement between two or more parties that requires something to be done by one or both. For the purpose of this standard, these agreed actions may provide a basis to measure an activity that drives total costs.</w:t>
            </w:r>
          </w:p>
        </w:tc>
      </w:tr>
      <w:tr w:rsidR="00E970E1" w:rsidRPr="00E970E1" w14:paraId="68D63EC3" w14:textId="77777777" w:rsidTr="00E970E1">
        <w:trPr>
          <w:trHeight w:val="510"/>
        </w:trPr>
        <w:tc>
          <w:tcPr>
            <w:tcW w:w="3340" w:type="dxa"/>
            <w:tcBorders>
              <w:top w:val="nil"/>
              <w:left w:val="nil"/>
              <w:bottom w:val="nil"/>
              <w:right w:val="nil"/>
            </w:tcBorders>
            <w:shd w:val="clear" w:color="auto" w:fill="auto"/>
            <w:hideMark/>
          </w:tcPr>
          <w:p w14:paraId="68D63EC1" w14:textId="21B5AC28" w:rsidR="00E970E1" w:rsidRPr="00E970E1" w:rsidRDefault="00E970E1" w:rsidP="00927F40">
            <w:pPr>
              <w:spacing w:before="0" w:after="0" w:line="240" w:lineRule="auto"/>
              <w:rPr>
                <w:rFonts w:cs="Arial"/>
                <w:b/>
                <w:bCs/>
                <w:color w:val="000000"/>
                <w:sz w:val="20"/>
                <w:szCs w:val="20"/>
              </w:rPr>
            </w:pPr>
            <w:r w:rsidRPr="00E970E1">
              <w:rPr>
                <w:rFonts w:cs="Arial"/>
                <w:b/>
                <w:bCs/>
                <w:color w:val="000000"/>
                <w:sz w:val="20"/>
                <w:szCs w:val="20"/>
              </w:rPr>
              <w:t xml:space="preserve">Coronary </w:t>
            </w:r>
            <w:r w:rsidR="007F1AC6">
              <w:rPr>
                <w:rFonts w:cs="Arial"/>
                <w:b/>
                <w:bCs/>
                <w:color w:val="000000"/>
                <w:sz w:val="20"/>
                <w:szCs w:val="20"/>
              </w:rPr>
              <w:t>c</w:t>
            </w:r>
            <w:r w:rsidRPr="00E970E1">
              <w:rPr>
                <w:rFonts w:cs="Arial"/>
                <w:b/>
                <w:bCs/>
                <w:color w:val="000000"/>
                <w:sz w:val="20"/>
                <w:szCs w:val="20"/>
              </w:rPr>
              <w:t xml:space="preserve">are </w:t>
            </w:r>
            <w:r w:rsidR="007F1AC6">
              <w:rPr>
                <w:rFonts w:cs="Arial"/>
                <w:b/>
                <w:bCs/>
                <w:color w:val="000000"/>
                <w:sz w:val="20"/>
                <w:szCs w:val="20"/>
              </w:rPr>
              <w:t>u</w:t>
            </w:r>
            <w:r w:rsidRPr="00E970E1">
              <w:rPr>
                <w:rFonts w:cs="Arial"/>
                <w:b/>
                <w:bCs/>
                <w:color w:val="000000"/>
                <w:sz w:val="20"/>
                <w:szCs w:val="20"/>
              </w:rPr>
              <w:t>nit (CCU)</w:t>
            </w:r>
          </w:p>
        </w:tc>
        <w:tc>
          <w:tcPr>
            <w:tcW w:w="6480" w:type="dxa"/>
            <w:tcBorders>
              <w:top w:val="nil"/>
              <w:left w:val="nil"/>
              <w:bottom w:val="nil"/>
              <w:right w:val="nil"/>
            </w:tcBorders>
            <w:shd w:val="clear" w:color="auto" w:fill="auto"/>
            <w:hideMark/>
          </w:tcPr>
          <w:p w14:paraId="68D63EC2" w14:textId="693CED5F" w:rsidR="00E970E1" w:rsidRPr="00A27C5B" w:rsidRDefault="00E970E1" w:rsidP="00E970E1">
            <w:pPr>
              <w:spacing w:before="0" w:after="0" w:line="240" w:lineRule="auto"/>
              <w:rPr>
                <w:rFonts w:asciiTheme="majorHAnsi" w:hAnsiTheme="majorHAnsi" w:cstheme="majorHAnsi"/>
                <w:color w:val="000000"/>
                <w:sz w:val="20"/>
                <w:szCs w:val="20"/>
              </w:rPr>
            </w:pPr>
            <w:r w:rsidRPr="00A27C5B">
              <w:rPr>
                <w:rFonts w:asciiTheme="majorHAnsi" w:hAnsiTheme="majorHAnsi" w:cstheme="majorHAnsi"/>
                <w:color w:val="000000"/>
                <w:sz w:val="20"/>
                <w:szCs w:val="20"/>
              </w:rPr>
              <w:t>A facility dedicated to acute care services for patients with cardiac diseases (M</w:t>
            </w:r>
            <w:r w:rsidR="00642AC8">
              <w:rPr>
                <w:rFonts w:asciiTheme="majorHAnsi" w:hAnsiTheme="majorHAnsi" w:cstheme="majorHAnsi"/>
                <w:color w:val="000000"/>
                <w:sz w:val="20"/>
                <w:szCs w:val="20"/>
              </w:rPr>
              <w:t>ET</w:t>
            </w:r>
            <w:r w:rsidRPr="00A27C5B">
              <w:rPr>
                <w:rFonts w:asciiTheme="majorHAnsi" w:hAnsiTheme="majorHAnsi" w:cstheme="majorHAnsi"/>
                <w:color w:val="000000"/>
                <w:sz w:val="20"/>
                <w:szCs w:val="20"/>
              </w:rPr>
              <w:t>e</w:t>
            </w:r>
            <w:r w:rsidR="00642AC8">
              <w:rPr>
                <w:rFonts w:asciiTheme="majorHAnsi" w:hAnsiTheme="majorHAnsi" w:cstheme="majorHAnsi"/>
                <w:color w:val="000000"/>
                <w:sz w:val="20"/>
                <w:szCs w:val="20"/>
              </w:rPr>
              <w:t>OR</w:t>
            </w:r>
            <w:r w:rsidRPr="00A27C5B">
              <w:rPr>
                <w:rFonts w:asciiTheme="majorHAnsi" w:hAnsiTheme="majorHAnsi" w:cstheme="majorHAnsi"/>
                <w:color w:val="000000"/>
                <w:sz w:val="20"/>
                <w:szCs w:val="20"/>
              </w:rPr>
              <w:t xml:space="preserve"> ID</w:t>
            </w:r>
            <w:r w:rsidR="00642AC8">
              <w:rPr>
                <w:rFonts w:asciiTheme="majorHAnsi" w:hAnsiTheme="majorHAnsi" w:cstheme="majorHAnsi"/>
                <w:color w:val="000000"/>
                <w:sz w:val="20"/>
                <w:szCs w:val="20"/>
              </w:rPr>
              <w:t>:</w:t>
            </w:r>
            <w:r w:rsidRPr="00A27C5B">
              <w:rPr>
                <w:rFonts w:asciiTheme="majorHAnsi" w:hAnsiTheme="majorHAnsi" w:cstheme="majorHAnsi"/>
                <w:color w:val="000000"/>
                <w:sz w:val="20"/>
                <w:szCs w:val="20"/>
              </w:rPr>
              <w:t xml:space="preserve"> 619758)</w:t>
            </w:r>
            <w:r w:rsidR="00642AC8">
              <w:rPr>
                <w:rFonts w:asciiTheme="majorHAnsi" w:hAnsiTheme="majorHAnsi" w:cstheme="majorHAnsi"/>
                <w:color w:val="000000"/>
                <w:sz w:val="20"/>
                <w:szCs w:val="20"/>
              </w:rPr>
              <w:t>.</w:t>
            </w:r>
          </w:p>
        </w:tc>
      </w:tr>
      <w:tr w:rsidR="00E970E1" w:rsidRPr="00E970E1" w14:paraId="68D63EC6" w14:textId="77777777" w:rsidTr="00E970E1">
        <w:trPr>
          <w:trHeight w:val="510"/>
        </w:trPr>
        <w:tc>
          <w:tcPr>
            <w:tcW w:w="3340" w:type="dxa"/>
            <w:tcBorders>
              <w:top w:val="nil"/>
              <w:left w:val="nil"/>
              <w:bottom w:val="nil"/>
              <w:right w:val="nil"/>
            </w:tcBorders>
            <w:shd w:val="clear" w:color="auto" w:fill="auto"/>
            <w:hideMark/>
          </w:tcPr>
          <w:p w14:paraId="68D63EC4"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Cost allocation</w:t>
            </w:r>
          </w:p>
        </w:tc>
        <w:tc>
          <w:tcPr>
            <w:tcW w:w="6480" w:type="dxa"/>
            <w:tcBorders>
              <w:top w:val="nil"/>
              <w:left w:val="nil"/>
              <w:bottom w:val="nil"/>
              <w:right w:val="nil"/>
            </w:tcBorders>
            <w:shd w:val="clear" w:color="auto" w:fill="auto"/>
            <w:hideMark/>
          </w:tcPr>
          <w:p w14:paraId="68D63EC5"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Cost allocation is the process whereby expenses are allocated to cost objects using cost allocation bases.</w:t>
            </w:r>
          </w:p>
        </w:tc>
      </w:tr>
      <w:tr w:rsidR="00E970E1" w:rsidRPr="00E970E1" w14:paraId="68D63EC9" w14:textId="77777777" w:rsidTr="00E970E1">
        <w:trPr>
          <w:trHeight w:val="765"/>
        </w:trPr>
        <w:tc>
          <w:tcPr>
            <w:tcW w:w="3340" w:type="dxa"/>
            <w:tcBorders>
              <w:top w:val="nil"/>
              <w:left w:val="nil"/>
              <w:bottom w:val="nil"/>
              <w:right w:val="nil"/>
            </w:tcBorders>
            <w:shd w:val="clear" w:color="auto" w:fill="auto"/>
            <w:hideMark/>
          </w:tcPr>
          <w:p w14:paraId="68D63EC7"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Cost </w:t>
            </w:r>
            <w:r w:rsidR="002F7820">
              <w:rPr>
                <w:rFonts w:cs="Arial"/>
                <w:b/>
                <w:bCs/>
                <w:color w:val="000000"/>
                <w:sz w:val="20"/>
                <w:szCs w:val="20"/>
              </w:rPr>
              <w:t>l</w:t>
            </w:r>
            <w:r w:rsidR="002F7820" w:rsidRPr="00E970E1">
              <w:rPr>
                <w:rFonts w:cs="Arial"/>
                <w:b/>
                <w:bCs/>
                <w:color w:val="000000"/>
                <w:sz w:val="20"/>
                <w:szCs w:val="20"/>
              </w:rPr>
              <w:t>edger</w:t>
            </w:r>
          </w:p>
        </w:tc>
        <w:tc>
          <w:tcPr>
            <w:tcW w:w="6480" w:type="dxa"/>
            <w:tcBorders>
              <w:top w:val="nil"/>
              <w:left w:val="nil"/>
              <w:bottom w:val="nil"/>
              <w:right w:val="nil"/>
            </w:tcBorders>
            <w:shd w:val="clear" w:color="auto" w:fill="auto"/>
            <w:hideMark/>
          </w:tcPr>
          <w:p w14:paraId="68D63EC8" w14:textId="30C16680"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The cost ledger provides the framework to be used in product costing. It generally follows the hospital general </w:t>
            </w:r>
            <w:r w:rsidR="00047D03" w:rsidRPr="00E970E1">
              <w:rPr>
                <w:rFonts w:cs="Arial"/>
                <w:color w:val="000000"/>
                <w:sz w:val="20"/>
                <w:szCs w:val="20"/>
              </w:rPr>
              <w:t>ledger but</w:t>
            </w:r>
            <w:r w:rsidRPr="00E970E1">
              <w:rPr>
                <w:rFonts w:cs="Arial"/>
                <w:color w:val="000000"/>
                <w:sz w:val="20"/>
                <w:szCs w:val="20"/>
              </w:rPr>
              <w:t xml:space="preserve"> is arranged according to a series of cost centres and account codes for costing purposes. </w:t>
            </w:r>
          </w:p>
        </w:tc>
      </w:tr>
      <w:tr w:rsidR="00E970E1" w:rsidRPr="00E970E1" w14:paraId="68D63ECC" w14:textId="77777777" w:rsidTr="00E970E1">
        <w:trPr>
          <w:trHeight w:val="1020"/>
        </w:trPr>
        <w:tc>
          <w:tcPr>
            <w:tcW w:w="3340" w:type="dxa"/>
            <w:vMerge w:val="restart"/>
            <w:tcBorders>
              <w:top w:val="nil"/>
              <w:left w:val="nil"/>
              <w:bottom w:val="nil"/>
              <w:right w:val="nil"/>
            </w:tcBorders>
            <w:shd w:val="clear" w:color="auto" w:fill="auto"/>
            <w:hideMark/>
          </w:tcPr>
          <w:p w14:paraId="68D63ECA"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Cost object</w:t>
            </w:r>
          </w:p>
        </w:tc>
        <w:tc>
          <w:tcPr>
            <w:tcW w:w="6480" w:type="dxa"/>
            <w:tcBorders>
              <w:top w:val="nil"/>
              <w:left w:val="nil"/>
              <w:bottom w:val="nil"/>
              <w:right w:val="nil"/>
            </w:tcBorders>
            <w:shd w:val="clear" w:color="auto" w:fill="auto"/>
            <w:hideMark/>
          </w:tcPr>
          <w:p w14:paraId="68D63ECB"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In general terms, cost accounting requires an organisation to measure the cost of its outputs. In this context, the output that is being measured is important and will vary depending on an organisations business decision-making needs.</w:t>
            </w:r>
          </w:p>
        </w:tc>
      </w:tr>
      <w:tr w:rsidR="00E970E1" w:rsidRPr="00E970E1" w14:paraId="68D63ECF" w14:textId="77777777" w:rsidTr="00E970E1">
        <w:trPr>
          <w:trHeight w:val="1640"/>
        </w:trPr>
        <w:tc>
          <w:tcPr>
            <w:tcW w:w="3340" w:type="dxa"/>
            <w:vMerge/>
            <w:tcBorders>
              <w:top w:val="nil"/>
              <w:left w:val="nil"/>
              <w:bottom w:val="nil"/>
              <w:right w:val="nil"/>
            </w:tcBorders>
            <w:vAlign w:val="center"/>
            <w:hideMark/>
          </w:tcPr>
          <w:p w14:paraId="68D63ECD"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right w:val="nil"/>
            </w:tcBorders>
            <w:shd w:val="clear" w:color="auto" w:fill="auto"/>
            <w:hideMark/>
          </w:tcPr>
          <w:p w14:paraId="68D63ECE" w14:textId="616B49CC" w:rsidR="00E970E1" w:rsidRPr="00E970E1" w:rsidRDefault="00E970E1" w:rsidP="00E970E1">
            <w:pPr>
              <w:spacing w:before="0" w:after="0" w:line="240" w:lineRule="auto"/>
              <w:rPr>
                <w:rFonts w:ascii="Calibri" w:hAnsi="Calibri"/>
                <w:color w:val="000000"/>
                <w:szCs w:val="22"/>
              </w:rPr>
            </w:pPr>
            <w:r w:rsidRPr="00E970E1">
              <w:rPr>
                <w:rFonts w:cs="Arial"/>
                <w:color w:val="000000"/>
                <w:sz w:val="20"/>
                <w:szCs w:val="20"/>
              </w:rPr>
              <w:t>Cost outputs are the items that the organisation has identified important to measure for its own business decision-making needs. As an example, it can vary from measurements of expense for such things as the hospital, a department, unit, service, program, activity, task, tangible good, patient, patient event or a patient day. This may be either in intermediate product (for example a pathology test) or a final product (for example</w:t>
            </w:r>
            <w:r w:rsidR="00642AC8">
              <w:rPr>
                <w:rFonts w:cs="Arial"/>
                <w:color w:val="000000"/>
                <w:sz w:val="20"/>
                <w:szCs w:val="20"/>
              </w:rPr>
              <w:t xml:space="preserve">, </w:t>
            </w:r>
            <w:r w:rsidRPr="00E970E1">
              <w:rPr>
                <w:rFonts w:cs="Arial"/>
                <w:color w:val="000000"/>
                <w:sz w:val="20"/>
                <w:szCs w:val="20"/>
              </w:rPr>
              <w:t>an admitted episode)</w:t>
            </w:r>
            <w:r>
              <w:rPr>
                <w:rFonts w:cs="Arial"/>
                <w:color w:val="000000"/>
                <w:sz w:val="20"/>
                <w:szCs w:val="20"/>
              </w:rPr>
              <w:t>.</w:t>
            </w:r>
          </w:p>
        </w:tc>
      </w:tr>
      <w:tr w:rsidR="00E970E1" w:rsidRPr="00E970E1" w14:paraId="68D63ED2" w14:textId="77777777" w:rsidTr="00E970E1">
        <w:trPr>
          <w:trHeight w:val="1785"/>
        </w:trPr>
        <w:tc>
          <w:tcPr>
            <w:tcW w:w="3340" w:type="dxa"/>
            <w:tcBorders>
              <w:top w:val="nil"/>
              <w:left w:val="nil"/>
              <w:bottom w:val="nil"/>
              <w:right w:val="nil"/>
            </w:tcBorders>
            <w:shd w:val="clear" w:color="auto" w:fill="auto"/>
            <w:hideMark/>
          </w:tcPr>
          <w:p w14:paraId="68D63ED0" w14:textId="22DE14A9" w:rsidR="00E970E1" w:rsidRPr="00E970E1" w:rsidRDefault="00E970E1" w:rsidP="00927F40">
            <w:pPr>
              <w:spacing w:before="0" w:after="0" w:line="240" w:lineRule="auto"/>
              <w:rPr>
                <w:rFonts w:cs="Arial"/>
                <w:b/>
                <w:bCs/>
                <w:color w:val="000000"/>
                <w:sz w:val="20"/>
                <w:szCs w:val="20"/>
              </w:rPr>
            </w:pPr>
            <w:r w:rsidRPr="00E970E1">
              <w:rPr>
                <w:rFonts w:cs="Arial"/>
                <w:b/>
                <w:bCs/>
                <w:color w:val="000000"/>
                <w:sz w:val="20"/>
                <w:szCs w:val="20"/>
              </w:rPr>
              <w:t xml:space="preserve">Critical </w:t>
            </w:r>
            <w:r w:rsidR="007F1AC6">
              <w:rPr>
                <w:rFonts w:cs="Arial"/>
                <w:b/>
                <w:bCs/>
                <w:color w:val="000000"/>
                <w:sz w:val="20"/>
                <w:szCs w:val="20"/>
              </w:rPr>
              <w:t>c</w:t>
            </w:r>
            <w:r w:rsidRPr="00E970E1">
              <w:rPr>
                <w:rFonts w:cs="Arial"/>
                <w:b/>
                <w:bCs/>
                <w:color w:val="000000"/>
                <w:sz w:val="20"/>
                <w:szCs w:val="20"/>
              </w:rPr>
              <w:t xml:space="preserve">are </w:t>
            </w:r>
            <w:r w:rsidR="007F1AC6">
              <w:rPr>
                <w:rFonts w:cs="Arial"/>
                <w:b/>
                <w:bCs/>
                <w:color w:val="000000"/>
                <w:sz w:val="20"/>
                <w:szCs w:val="20"/>
              </w:rPr>
              <w:t>u</w:t>
            </w:r>
            <w:r w:rsidRPr="00E970E1">
              <w:rPr>
                <w:rFonts w:cs="Arial"/>
                <w:b/>
                <w:bCs/>
                <w:color w:val="000000"/>
                <w:sz w:val="20"/>
                <w:szCs w:val="20"/>
              </w:rPr>
              <w:t>nit</w:t>
            </w:r>
          </w:p>
        </w:tc>
        <w:tc>
          <w:tcPr>
            <w:tcW w:w="6480" w:type="dxa"/>
            <w:tcBorders>
              <w:top w:val="nil"/>
              <w:left w:val="nil"/>
              <w:bottom w:val="nil"/>
              <w:right w:val="nil"/>
            </w:tcBorders>
            <w:shd w:val="clear" w:color="auto" w:fill="auto"/>
            <w:hideMark/>
          </w:tcPr>
          <w:p w14:paraId="68D63ED1" w14:textId="181A4B57" w:rsidR="00E970E1" w:rsidRPr="00E970E1" w:rsidRDefault="005C1D3C" w:rsidP="005C1D3C">
            <w:pPr>
              <w:spacing w:before="0" w:after="0" w:line="240" w:lineRule="auto"/>
              <w:rPr>
                <w:rFonts w:cs="Arial"/>
                <w:color w:val="000000"/>
                <w:sz w:val="20"/>
                <w:szCs w:val="20"/>
              </w:rPr>
            </w:pPr>
            <w:r>
              <w:rPr>
                <w:rFonts w:cs="Arial"/>
                <w:color w:val="000000"/>
                <w:sz w:val="20"/>
                <w:szCs w:val="20"/>
              </w:rPr>
              <w:t>Critical c</w:t>
            </w:r>
            <w:r w:rsidR="00E970E1" w:rsidRPr="00E970E1">
              <w:rPr>
                <w:rFonts w:cs="Arial"/>
                <w:color w:val="000000"/>
                <w:sz w:val="20"/>
                <w:szCs w:val="20"/>
              </w:rPr>
              <w:t xml:space="preserve">are </w:t>
            </w:r>
            <w:r>
              <w:rPr>
                <w:rFonts w:cs="Arial"/>
                <w:color w:val="000000"/>
                <w:sz w:val="20"/>
                <w:szCs w:val="20"/>
              </w:rPr>
              <w:t>u</w:t>
            </w:r>
            <w:r w:rsidR="00E970E1" w:rsidRPr="00E970E1">
              <w:rPr>
                <w:rFonts w:cs="Arial"/>
                <w:color w:val="000000"/>
                <w:sz w:val="20"/>
                <w:szCs w:val="20"/>
              </w:rPr>
              <w:t>nit refers to a separate and self-contained area of a hospital dedicated to the management of patients with life-threatening illnesses, injuries and complications, and monitoring of potentially life-threatening conditions. It provides special expertise and facilities for support of vital functions and uses the skills of medical, nursing and other personnel experienced in the management of these problems. (College of Intensive Care Medicine).</w:t>
            </w:r>
          </w:p>
        </w:tc>
      </w:tr>
      <w:tr w:rsidR="00E970E1" w:rsidRPr="00E970E1" w14:paraId="68D63ED5" w14:textId="77777777" w:rsidTr="00E970E1">
        <w:trPr>
          <w:trHeight w:val="2040"/>
        </w:trPr>
        <w:tc>
          <w:tcPr>
            <w:tcW w:w="3340" w:type="dxa"/>
            <w:tcBorders>
              <w:top w:val="nil"/>
              <w:left w:val="nil"/>
              <w:bottom w:val="nil"/>
              <w:right w:val="nil"/>
            </w:tcBorders>
            <w:shd w:val="clear" w:color="auto" w:fill="auto"/>
            <w:hideMark/>
          </w:tcPr>
          <w:p w14:paraId="68D63ED3" w14:textId="77777777" w:rsidR="00E970E1" w:rsidRPr="00E970E1" w:rsidRDefault="00E970E1" w:rsidP="00D41583">
            <w:pPr>
              <w:spacing w:before="0" w:line="240" w:lineRule="auto"/>
              <w:rPr>
                <w:rFonts w:cs="Arial"/>
                <w:b/>
                <w:bCs/>
                <w:color w:val="000000"/>
                <w:sz w:val="20"/>
                <w:szCs w:val="20"/>
              </w:rPr>
            </w:pPr>
            <w:r w:rsidRPr="00E970E1">
              <w:rPr>
                <w:rFonts w:cs="Arial"/>
                <w:b/>
                <w:bCs/>
                <w:color w:val="000000"/>
                <w:sz w:val="20"/>
                <w:szCs w:val="20"/>
              </w:rPr>
              <w:t xml:space="preserve">Clinical </w:t>
            </w:r>
            <w:r w:rsidR="002F7820">
              <w:rPr>
                <w:rFonts w:cs="Arial"/>
                <w:b/>
                <w:bCs/>
                <w:color w:val="000000"/>
                <w:sz w:val="20"/>
                <w:szCs w:val="20"/>
              </w:rPr>
              <w:t>s</w:t>
            </w:r>
            <w:r w:rsidRPr="00E970E1">
              <w:rPr>
                <w:rFonts w:cs="Arial"/>
                <w:b/>
                <w:bCs/>
                <w:color w:val="000000"/>
                <w:sz w:val="20"/>
                <w:szCs w:val="20"/>
              </w:rPr>
              <w:t>ervices</w:t>
            </w:r>
          </w:p>
        </w:tc>
        <w:tc>
          <w:tcPr>
            <w:tcW w:w="6480" w:type="dxa"/>
            <w:tcBorders>
              <w:top w:val="nil"/>
              <w:left w:val="nil"/>
              <w:bottom w:val="nil"/>
              <w:right w:val="nil"/>
            </w:tcBorders>
            <w:shd w:val="clear" w:color="auto" w:fill="auto"/>
            <w:hideMark/>
          </w:tcPr>
          <w:p w14:paraId="68D63ED4" w14:textId="2070BD63" w:rsidR="00E970E1" w:rsidRPr="00E970E1" w:rsidRDefault="00E970E1" w:rsidP="005C1D3C">
            <w:pPr>
              <w:spacing w:before="0" w:line="240" w:lineRule="auto"/>
              <w:rPr>
                <w:rFonts w:cs="Arial"/>
                <w:color w:val="000000"/>
                <w:sz w:val="20"/>
                <w:szCs w:val="20"/>
              </w:rPr>
            </w:pPr>
            <w:r w:rsidRPr="00E970E1">
              <w:rPr>
                <w:rFonts w:cs="Arial"/>
                <w:color w:val="000000"/>
                <w:sz w:val="20"/>
                <w:szCs w:val="20"/>
              </w:rPr>
              <w:t>Clinical services are related to the observation or treatment of a patient within a health setting. There are many types of clinical services across various disciplines in a health care setti</w:t>
            </w:r>
            <w:r w:rsidR="005C1D3C">
              <w:rPr>
                <w:rFonts w:cs="Arial"/>
                <w:color w:val="000000"/>
                <w:sz w:val="20"/>
                <w:szCs w:val="20"/>
              </w:rPr>
              <w:t>ng, including in the fields of m</w:t>
            </w:r>
            <w:r w:rsidRPr="00E970E1">
              <w:rPr>
                <w:rFonts w:cs="Arial"/>
                <w:color w:val="000000"/>
                <w:sz w:val="20"/>
                <w:szCs w:val="20"/>
              </w:rPr>
              <w:t xml:space="preserve">edicine, </w:t>
            </w:r>
            <w:r w:rsidR="005C1D3C">
              <w:rPr>
                <w:rFonts w:cs="Arial"/>
                <w:color w:val="000000"/>
                <w:sz w:val="20"/>
                <w:szCs w:val="20"/>
              </w:rPr>
              <w:t>s</w:t>
            </w:r>
            <w:r w:rsidRPr="00E970E1">
              <w:rPr>
                <w:rFonts w:cs="Arial"/>
                <w:color w:val="000000"/>
                <w:sz w:val="20"/>
                <w:szCs w:val="20"/>
              </w:rPr>
              <w:t>urger</w:t>
            </w:r>
            <w:r w:rsidR="005C1D3C">
              <w:rPr>
                <w:rFonts w:cs="Arial"/>
                <w:color w:val="000000"/>
                <w:sz w:val="20"/>
                <w:szCs w:val="20"/>
              </w:rPr>
              <w:t>y, emergency and non-critical h</w:t>
            </w:r>
            <w:r w:rsidRPr="00E970E1">
              <w:rPr>
                <w:rFonts w:cs="Arial"/>
                <w:color w:val="000000"/>
                <w:sz w:val="20"/>
                <w:szCs w:val="20"/>
              </w:rPr>
              <w:t xml:space="preserve">igh dependency care. These services are typically non-urgent in </w:t>
            </w:r>
            <w:r w:rsidR="00047D03" w:rsidRPr="00E970E1">
              <w:rPr>
                <w:rFonts w:cs="Arial"/>
                <w:color w:val="000000"/>
                <w:sz w:val="20"/>
                <w:szCs w:val="20"/>
              </w:rPr>
              <w:t>nature and</w:t>
            </w:r>
            <w:r w:rsidRPr="00E970E1">
              <w:rPr>
                <w:rFonts w:cs="Arial"/>
                <w:color w:val="000000"/>
                <w:sz w:val="20"/>
                <w:szCs w:val="20"/>
              </w:rPr>
              <w:t xml:space="preserve"> can be admitted and non-admitted in nature. Clinical services include all services, admitted and non-admitted, except those that are ancillary and highly resource intensive in nature which are categorised separately</w:t>
            </w:r>
            <w:r w:rsidR="005C1D3C">
              <w:rPr>
                <w:rFonts w:cs="Arial"/>
                <w:color w:val="000000"/>
                <w:sz w:val="20"/>
                <w:szCs w:val="20"/>
              </w:rPr>
              <w:t>.</w:t>
            </w:r>
          </w:p>
        </w:tc>
      </w:tr>
      <w:tr w:rsidR="00E970E1" w:rsidRPr="00E970E1" w14:paraId="68D63ED8" w14:textId="77777777" w:rsidTr="00E970E1">
        <w:trPr>
          <w:trHeight w:val="765"/>
        </w:trPr>
        <w:tc>
          <w:tcPr>
            <w:tcW w:w="3340" w:type="dxa"/>
            <w:tcBorders>
              <w:top w:val="nil"/>
              <w:left w:val="nil"/>
              <w:bottom w:val="nil"/>
              <w:right w:val="nil"/>
            </w:tcBorders>
            <w:shd w:val="clear" w:color="auto" w:fill="auto"/>
            <w:hideMark/>
          </w:tcPr>
          <w:p w14:paraId="68D63ED6"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Depreciation</w:t>
            </w:r>
          </w:p>
        </w:tc>
        <w:tc>
          <w:tcPr>
            <w:tcW w:w="6480" w:type="dxa"/>
            <w:tcBorders>
              <w:top w:val="nil"/>
              <w:left w:val="nil"/>
              <w:bottom w:val="nil"/>
              <w:right w:val="nil"/>
            </w:tcBorders>
            <w:shd w:val="clear" w:color="auto" w:fill="auto"/>
            <w:hideMark/>
          </w:tcPr>
          <w:p w14:paraId="68D63ED7" w14:textId="7E9E3E90" w:rsidR="00E970E1" w:rsidRPr="00E970E1" w:rsidRDefault="00E970E1" w:rsidP="00D41583">
            <w:pPr>
              <w:spacing w:before="0" w:line="240" w:lineRule="auto"/>
              <w:rPr>
                <w:rFonts w:cs="Arial"/>
                <w:color w:val="000000"/>
                <w:sz w:val="20"/>
                <w:szCs w:val="20"/>
              </w:rPr>
            </w:pPr>
            <w:r w:rsidRPr="00E970E1">
              <w:rPr>
                <w:rFonts w:cs="Arial"/>
                <w:color w:val="000000"/>
                <w:sz w:val="20"/>
                <w:szCs w:val="20"/>
              </w:rPr>
              <w:t xml:space="preserve">Depreciation refers to the reduction in value of an asset over its useful life. This reduction in value occurs for example due to age and wear and tear. </w:t>
            </w:r>
            <w:r w:rsidR="000D3518">
              <w:rPr>
                <w:rFonts w:cs="Arial"/>
                <w:color w:val="000000"/>
                <w:sz w:val="20"/>
                <w:szCs w:val="20"/>
              </w:rPr>
              <w:t xml:space="preserve">Depreciation includes building depreciation, equipment depreciation and right-of-use asset depreciation. </w:t>
            </w:r>
          </w:p>
        </w:tc>
      </w:tr>
      <w:tr w:rsidR="00E970E1" w:rsidRPr="00E970E1" w14:paraId="68D63EDB" w14:textId="77777777" w:rsidTr="00E970E1">
        <w:trPr>
          <w:trHeight w:val="510"/>
        </w:trPr>
        <w:tc>
          <w:tcPr>
            <w:tcW w:w="3340" w:type="dxa"/>
            <w:tcBorders>
              <w:top w:val="nil"/>
              <w:left w:val="nil"/>
              <w:bottom w:val="nil"/>
              <w:right w:val="nil"/>
            </w:tcBorders>
            <w:shd w:val="clear" w:color="auto" w:fill="auto"/>
            <w:hideMark/>
          </w:tcPr>
          <w:p w14:paraId="68D63ED9" w14:textId="6BFB13B6"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Direct </w:t>
            </w:r>
            <w:r w:rsidR="00642AC8">
              <w:rPr>
                <w:rFonts w:cs="Arial"/>
                <w:b/>
                <w:bCs/>
                <w:color w:val="000000"/>
                <w:sz w:val="20"/>
                <w:szCs w:val="20"/>
              </w:rPr>
              <w:t>t</w:t>
            </w:r>
            <w:r w:rsidRPr="00E970E1">
              <w:rPr>
                <w:rFonts w:cs="Arial"/>
                <w:b/>
                <w:bCs/>
                <w:color w:val="000000"/>
                <w:sz w:val="20"/>
                <w:szCs w:val="20"/>
              </w:rPr>
              <w:t>each</w:t>
            </w:r>
            <w:r w:rsidR="002F7820">
              <w:rPr>
                <w:rFonts w:cs="Arial"/>
                <w:b/>
                <w:bCs/>
                <w:color w:val="000000"/>
                <w:sz w:val="20"/>
                <w:szCs w:val="20"/>
              </w:rPr>
              <w:t>ing</w:t>
            </w:r>
            <w:r w:rsidRPr="00E970E1">
              <w:rPr>
                <w:rFonts w:cs="Arial"/>
                <w:b/>
                <w:bCs/>
                <w:color w:val="000000"/>
                <w:sz w:val="20"/>
                <w:szCs w:val="20"/>
              </w:rPr>
              <w:t xml:space="preserve"> and </w:t>
            </w:r>
            <w:r w:rsidR="002F7820">
              <w:rPr>
                <w:rFonts w:cs="Arial"/>
                <w:b/>
                <w:bCs/>
                <w:color w:val="000000"/>
                <w:sz w:val="20"/>
                <w:szCs w:val="20"/>
              </w:rPr>
              <w:t>t</w:t>
            </w:r>
            <w:r w:rsidR="002F7820" w:rsidRPr="00E970E1">
              <w:rPr>
                <w:rFonts w:cs="Arial"/>
                <w:b/>
                <w:bCs/>
                <w:color w:val="000000"/>
                <w:sz w:val="20"/>
                <w:szCs w:val="20"/>
              </w:rPr>
              <w:t xml:space="preserve">raining </w:t>
            </w:r>
            <w:r w:rsidR="002F7820">
              <w:rPr>
                <w:rFonts w:cs="Arial"/>
                <w:b/>
                <w:bCs/>
                <w:color w:val="000000"/>
                <w:sz w:val="20"/>
                <w:szCs w:val="20"/>
              </w:rPr>
              <w:t>p</w:t>
            </w:r>
            <w:r w:rsidR="002F7820" w:rsidRPr="00E970E1">
              <w:rPr>
                <w:rFonts w:cs="Arial"/>
                <w:b/>
                <w:bCs/>
                <w:color w:val="000000"/>
                <w:sz w:val="20"/>
                <w:szCs w:val="20"/>
              </w:rPr>
              <w:t xml:space="preserve">roducts </w:t>
            </w:r>
          </w:p>
        </w:tc>
        <w:tc>
          <w:tcPr>
            <w:tcW w:w="6480" w:type="dxa"/>
            <w:tcBorders>
              <w:top w:val="nil"/>
              <w:left w:val="nil"/>
              <w:bottom w:val="nil"/>
              <w:right w:val="nil"/>
            </w:tcBorders>
            <w:shd w:val="clear" w:color="auto" w:fill="auto"/>
            <w:hideMark/>
          </w:tcPr>
          <w:p w14:paraId="68D63EDA" w14:textId="45AC1016"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Direct </w:t>
            </w:r>
            <w:r w:rsidR="00642AC8">
              <w:rPr>
                <w:rFonts w:cs="Arial"/>
                <w:color w:val="000000"/>
                <w:sz w:val="20"/>
                <w:szCs w:val="20"/>
              </w:rPr>
              <w:t>t</w:t>
            </w:r>
            <w:r w:rsidRPr="00E970E1">
              <w:rPr>
                <w:rFonts w:cs="Arial"/>
                <w:color w:val="000000"/>
                <w:sz w:val="20"/>
                <w:szCs w:val="20"/>
              </w:rPr>
              <w:t xml:space="preserve">eaching and </w:t>
            </w:r>
            <w:r w:rsidR="00642AC8">
              <w:rPr>
                <w:rFonts w:cs="Arial"/>
                <w:color w:val="000000"/>
                <w:sz w:val="20"/>
                <w:szCs w:val="20"/>
              </w:rPr>
              <w:t>t</w:t>
            </w:r>
            <w:r w:rsidRPr="00E970E1">
              <w:rPr>
                <w:rFonts w:cs="Arial"/>
                <w:color w:val="000000"/>
                <w:sz w:val="20"/>
                <w:szCs w:val="20"/>
              </w:rPr>
              <w:t>raining products are activities as defined in (METeOR ID: 572982).</w:t>
            </w:r>
          </w:p>
        </w:tc>
      </w:tr>
      <w:tr w:rsidR="00E970E1" w:rsidRPr="00E970E1" w14:paraId="68D63EDE" w14:textId="77777777" w:rsidTr="00E970E1">
        <w:trPr>
          <w:trHeight w:val="1275"/>
        </w:trPr>
        <w:tc>
          <w:tcPr>
            <w:tcW w:w="3340" w:type="dxa"/>
            <w:vMerge w:val="restart"/>
            <w:tcBorders>
              <w:top w:val="nil"/>
              <w:left w:val="nil"/>
              <w:bottom w:val="nil"/>
              <w:right w:val="nil"/>
            </w:tcBorders>
            <w:shd w:val="clear" w:color="auto" w:fill="auto"/>
            <w:hideMark/>
          </w:tcPr>
          <w:p w14:paraId="68D63EDC"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Economically feasible </w:t>
            </w:r>
          </w:p>
        </w:tc>
        <w:tc>
          <w:tcPr>
            <w:tcW w:w="6480" w:type="dxa"/>
            <w:tcBorders>
              <w:top w:val="nil"/>
              <w:left w:val="nil"/>
              <w:bottom w:val="nil"/>
              <w:right w:val="nil"/>
            </w:tcBorders>
            <w:shd w:val="clear" w:color="auto" w:fill="auto"/>
            <w:hideMark/>
          </w:tcPr>
          <w:p w14:paraId="68D63EDD"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Economic feasibility refers to acting with reasonableness when determining the effort required to directly allocate costs to cost objects with accuracy against the additional resource cost and effort required to do so.</w:t>
            </w:r>
            <w:r w:rsidR="00B63007">
              <w:rPr>
                <w:rFonts w:cs="Arial"/>
                <w:color w:val="000000"/>
                <w:sz w:val="20"/>
                <w:szCs w:val="20"/>
              </w:rPr>
              <w:t xml:space="preserve"> </w:t>
            </w:r>
            <w:r w:rsidRPr="00E970E1">
              <w:rPr>
                <w:rFonts w:cs="Arial"/>
                <w:color w:val="000000"/>
                <w:sz w:val="20"/>
                <w:szCs w:val="20"/>
              </w:rPr>
              <w:t xml:space="preserve">Economic feasibility will be influenced by a number of factors, such as: </w:t>
            </w:r>
          </w:p>
        </w:tc>
      </w:tr>
      <w:tr w:rsidR="00E970E1" w:rsidRPr="00E970E1" w14:paraId="68D63EE1" w14:textId="77777777" w:rsidTr="00E970E1">
        <w:trPr>
          <w:trHeight w:val="300"/>
        </w:trPr>
        <w:tc>
          <w:tcPr>
            <w:tcW w:w="3340" w:type="dxa"/>
            <w:vMerge/>
            <w:tcBorders>
              <w:top w:val="nil"/>
              <w:left w:val="nil"/>
              <w:bottom w:val="nil"/>
              <w:right w:val="nil"/>
            </w:tcBorders>
            <w:vAlign w:val="center"/>
            <w:hideMark/>
          </w:tcPr>
          <w:p w14:paraId="68D63EDF"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EE0"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Availability of (costing) information or (costing) information systems;</w:t>
            </w:r>
          </w:p>
        </w:tc>
      </w:tr>
      <w:tr w:rsidR="00E970E1" w:rsidRPr="00E970E1" w14:paraId="68D63EE4" w14:textId="77777777" w:rsidTr="00E970E1">
        <w:trPr>
          <w:trHeight w:val="510"/>
        </w:trPr>
        <w:tc>
          <w:tcPr>
            <w:tcW w:w="3340" w:type="dxa"/>
            <w:vMerge/>
            <w:tcBorders>
              <w:top w:val="nil"/>
              <w:left w:val="nil"/>
              <w:bottom w:val="nil"/>
              <w:right w:val="nil"/>
            </w:tcBorders>
            <w:vAlign w:val="center"/>
            <w:hideMark/>
          </w:tcPr>
          <w:p w14:paraId="68D63EE2"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EE3"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Design of operation that allows for exclusive use of a particular expense by a particular cost object.</w:t>
            </w:r>
          </w:p>
        </w:tc>
      </w:tr>
      <w:tr w:rsidR="00E970E1" w:rsidRPr="00E970E1" w14:paraId="68D63EE7" w14:textId="77777777" w:rsidTr="00E970E1">
        <w:trPr>
          <w:trHeight w:val="1785"/>
        </w:trPr>
        <w:tc>
          <w:tcPr>
            <w:tcW w:w="3340" w:type="dxa"/>
            <w:tcBorders>
              <w:top w:val="nil"/>
              <w:left w:val="nil"/>
              <w:bottom w:val="nil"/>
              <w:right w:val="nil"/>
            </w:tcBorders>
            <w:shd w:val="clear" w:color="auto" w:fill="auto"/>
            <w:hideMark/>
          </w:tcPr>
          <w:p w14:paraId="68D63EE5"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Emergency </w:t>
            </w:r>
            <w:r w:rsidR="002F7820">
              <w:rPr>
                <w:rFonts w:cs="Arial"/>
                <w:b/>
                <w:bCs/>
                <w:color w:val="000000"/>
                <w:sz w:val="20"/>
                <w:szCs w:val="20"/>
              </w:rPr>
              <w:t>d</w:t>
            </w:r>
            <w:r w:rsidR="002F7820" w:rsidRPr="00E970E1">
              <w:rPr>
                <w:rFonts w:cs="Arial"/>
                <w:b/>
                <w:bCs/>
                <w:color w:val="000000"/>
                <w:sz w:val="20"/>
                <w:szCs w:val="20"/>
              </w:rPr>
              <w:t>epartment</w:t>
            </w:r>
          </w:p>
        </w:tc>
        <w:tc>
          <w:tcPr>
            <w:tcW w:w="6480" w:type="dxa"/>
            <w:tcBorders>
              <w:top w:val="nil"/>
              <w:left w:val="nil"/>
              <w:bottom w:val="nil"/>
              <w:right w:val="nil"/>
            </w:tcBorders>
            <w:shd w:val="clear" w:color="auto" w:fill="auto"/>
            <w:hideMark/>
          </w:tcPr>
          <w:p w14:paraId="68D63EE6" w14:textId="74F1E62B"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Emergency </w:t>
            </w:r>
            <w:r w:rsidR="00642AC8">
              <w:rPr>
                <w:rFonts w:cs="Arial"/>
                <w:color w:val="000000"/>
                <w:sz w:val="20"/>
                <w:szCs w:val="20"/>
              </w:rPr>
              <w:t>d</w:t>
            </w:r>
            <w:r w:rsidRPr="00E970E1">
              <w:rPr>
                <w:rFonts w:cs="Arial"/>
                <w:color w:val="000000"/>
                <w:sz w:val="20"/>
                <w:szCs w:val="20"/>
              </w:rPr>
              <w:t>epartment is a dedicated department responsible for triage, assessment, treatment, observation and disposition of emergency patient presentations (Meteor ID: 327158 and Definition of ED services, IHPA). These include both urgent and non-urgent conditions for a broad spectrum of diseases and illnesses, some of which may be life threatening and require immediate attention. It also includes provision for resuscitation.</w:t>
            </w:r>
          </w:p>
        </w:tc>
      </w:tr>
      <w:tr w:rsidR="00E970E1" w:rsidRPr="00E970E1" w14:paraId="68D63EEA" w14:textId="77777777" w:rsidTr="00E970E1">
        <w:trPr>
          <w:trHeight w:val="510"/>
        </w:trPr>
        <w:tc>
          <w:tcPr>
            <w:tcW w:w="3340" w:type="dxa"/>
            <w:tcBorders>
              <w:top w:val="nil"/>
              <w:left w:val="nil"/>
              <w:bottom w:val="nil"/>
              <w:right w:val="nil"/>
            </w:tcBorders>
            <w:shd w:val="clear" w:color="auto" w:fill="auto"/>
            <w:hideMark/>
          </w:tcPr>
          <w:p w14:paraId="68D63EE8"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Emergency department products</w:t>
            </w:r>
          </w:p>
        </w:tc>
        <w:tc>
          <w:tcPr>
            <w:tcW w:w="6480" w:type="dxa"/>
            <w:tcBorders>
              <w:top w:val="nil"/>
              <w:left w:val="nil"/>
              <w:bottom w:val="nil"/>
              <w:right w:val="nil"/>
            </w:tcBorders>
            <w:shd w:val="clear" w:color="auto" w:fill="auto"/>
            <w:hideMark/>
          </w:tcPr>
          <w:p w14:paraId="68D63EE9" w14:textId="3BD98756" w:rsidR="00E970E1" w:rsidRPr="00E970E1" w:rsidRDefault="00E970E1" w:rsidP="00626E5F">
            <w:pPr>
              <w:spacing w:before="0" w:after="0" w:line="240" w:lineRule="auto"/>
              <w:rPr>
                <w:rFonts w:cs="Arial"/>
                <w:color w:val="000000"/>
                <w:sz w:val="20"/>
                <w:szCs w:val="20"/>
              </w:rPr>
            </w:pPr>
            <w:r w:rsidRPr="00E970E1">
              <w:rPr>
                <w:rFonts w:cs="Arial"/>
                <w:color w:val="000000"/>
                <w:sz w:val="20"/>
                <w:szCs w:val="20"/>
              </w:rPr>
              <w:t xml:space="preserve">Emergency </w:t>
            </w:r>
            <w:r w:rsidR="00626E5F">
              <w:rPr>
                <w:rFonts w:cs="Arial"/>
                <w:color w:val="000000"/>
                <w:sz w:val="20"/>
                <w:szCs w:val="20"/>
              </w:rPr>
              <w:t>d</w:t>
            </w:r>
            <w:r w:rsidRPr="00E970E1">
              <w:rPr>
                <w:rFonts w:cs="Arial"/>
                <w:color w:val="000000"/>
                <w:sz w:val="20"/>
                <w:szCs w:val="20"/>
              </w:rPr>
              <w:t>epartment patient products are emergency services provided in an organisation, as defined in (METeOR ID: 652825).</w:t>
            </w:r>
          </w:p>
        </w:tc>
      </w:tr>
      <w:tr w:rsidR="00E970E1" w:rsidRPr="00E970E1" w14:paraId="68D63EED" w14:textId="77777777" w:rsidTr="00E970E1">
        <w:trPr>
          <w:trHeight w:val="510"/>
        </w:trPr>
        <w:tc>
          <w:tcPr>
            <w:tcW w:w="3340" w:type="dxa"/>
            <w:tcBorders>
              <w:top w:val="nil"/>
              <w:left w:val="nil"/>
              <w:bottom w:val="nil"/>
              <w:right w:val="nil"/>
            </w:tcBorders>
            <w:shd w:val="clear" w:color="auto" w:fill="auto"/>
            <w:hideMark/>
          </w:tcPr>
          <w:p w14:paraId="68D63EEB"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Equipment </w:t>
            </w:r>
            <w:r w:rsidR="002F7820">
              <w:rPr>
                <w:rFonts w:cs="Arial"/>
                <w:b/>
                <w:bCs/>
                <w:color w:val="000000"/>
                <w:sz w:val="20"/>
                <w:szCs w:val="20"/>
              </w:rPr>
              <w:t>d</w:t>
            </w:r>
            <w:r w:rsidRPr="00E970E1">
              <w:rPr>
                <w:rFonts w:cs="Arial"/>
                <w:b/>
                <w:bCs/>
                <w:color w:val="000000"/>
                <w:sz w:val="20"/>
                <w:szCs w:val="20"/>
              </w:rPr>
              <w:t>epreciation</w:t>
            </w:r>
          </w:p>
        </w:tc>
        <w:tc>
          <w:tcPr>
            <w:tcW w:w="6480" w:type="dxa"/>
            <w:tcBorders>
              <w:top w:val="nil"/>
              <w:left w:val="nil"/>
              <w:bottom w:val="nil"/>
              <w:right w:val="nil"/>
            </w:tcBorders>
            <w:shd w:val="clear" w:color="auto" w:fill="auto"/>
            <w:hideMark/>
          </w:tcPr>
          <w:p w14:paraId="68D63EEC" w14:textId="7116F619" w:rsidR="00E970E1" w:rsidRPr="00E970E1" w:rsidRDefault="00E970E1" w:rsidP="00626E5F">
            <w:pPr>
              <w:spacing w:before="0" w:after="0" w:line="240" w:lineRule="auto"/>
              <w:rPr>
                <w:rFonts w:cs="Arial"/>
                <w:color w:val="000000"/>
                <w:sz w:val="20"/>
                <w:szCs w:val="20"/>
              </w:rPr>
            </w:pPr>
            <w:r w:rsidRPr="00E970E1">
              <w:rPr>
                <w:rFonts w:cs="Arial"/>
                <w:color w:val="000000"/>
                <w:sz w:val="20"/>
                <w:szCs w:val="20"/>
              </w:rPr>
              <w:t xml:space="preserve">Equipment </w:t>
            </w:r>
            <w:r w:rsidR="00626E5F">
              <w:rPr>
                <w:rFonts w:cs="Arial"/>
                <w:color w:val="000000"/>
                <w:sz w:val="20"/>
                <w:szCs w:val="20"/>
              </w:rPr>
              <w:t>d</w:t>
            </w:r>
            <w:r w:rsidRPr="00E970E1">
              <w:rPr>
                <w:rFonts w:cs="Arial"/>
                <w:color w:val="000000"/>
                <w:sz w:val="20"/>
                <w:szCs w:val="20"/>
              </w:rPr>
              <w:t>epreciation includes non-fixed building fit-out such as theatre tables, moveable furniture and chemotherapy chairs.</w:t>
            </w:r>
          </w:p>
        </w:tc>
      </w:tr>
      <w:tr w:rsidR="00E970E1" w:rsidRPr="00E970E1" w14:paraId="68D63EF0" w14:textId="77777777" w:rsidTr="00E970E1">
        <w:trPr>
          <w:trHeight w:val="1020"/>
        </w:trPr>
        <w:tc>
          <w:tcPr>
            <w:tcW w:w="3340" w:type="dxa"/>
            <w:vMerge w:val="restart"/>
            <w:tcBorders>
              <w:top w:val="nil"/>
              <w:left w:val="nil"/>
              <w:bottom w:val="nil"/>
              <w:right w:val="nil"/>
            </w:tcBorders>
            <w:shd w:val="clear" w:color="auto" w:fill="auto"/>
            <w:hideMark/>
          </w:tcPr>
          <w:p w14:paraId="68D63EEE"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Expenses</w:t>
            </w:r>
          </w:p>
        </w:tc>
        <w:tc>
          <w:tcPr>
            <w:tcW w:w="6480" w:type="dxa"/>
            <w:tcBorders>
              <w:top w:val="nil"/>
              <w:left w:val="nil"/>
              <w:bottom w:val="nil"/>
              <w:right w:val="nil"/>
            </w:tcBorders>
            <w:shd w:val="clear" w:color="auto" w:fill="auto"/>
            <w:hideMark/>
          </w:tcPr>
          <w:p w14:paraId="68D63EEF"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Expenses are decreases in economic benefits during the accounting period in the form of outflows or depletions of assets or incurrences of liabilities that result in decreases in equity, other than those relating to distributions to equity participants (AASB CF, 70 (b)).</w:t>
            </w:r>
          </w:p>
        </w:tc>
      </w:tr>
      <w:tr w:rsidR="00E970E1" w:rsidRPr="00E970E1" w14:paraId="68D63EF3" w14:textId="77777777" w:rsidTr="00E970E1">
        <w:trPr>
          <w:trHeight w:val="300"/>
        </w:trPr>
        <w:tc>
          <w:tcPr>
            <w:tcW w:w="3340" w:type="dxa"/>
            <w:vMerge/>
            <w:tcBorders>
              <w:top w:val="nil"/>
              <w:left w:val="nil"/>
              <w:bottom w:val="nil"/>
              <w:right w:val="nil"/>
            </w:tcBorders>
            <w:vAlign w:val="center"/>
            <w:hideMark/>
          </w:tcPr>
          <w:p w14:paraId="68D63EF1"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EF2" w14:textId="77777777" w:rsidR="00E970E1" w:rsidRPr="00E970E1" w:rsidRDefault="00E970E1" w:rsidP="00E970E1">
            <w:pPr>
              <w:spacing w:before="0" w:after="0" w:line="240" w:lineRule="auto"/>
              <w:rPr>
                <w:rFonts w:ascii="Calibri" w:hAnsi="Calibri"/>
                <w:color w:val="000000"/>
                <w:szCs w:val="22"/>
              </w:rPr>
            </w:pPr>
          </w:p>
        </w:tc>
      </w:tr>
      <w:tr w:rsidR="00E970E1" w:rsidRPr="00E970E1" w14:paraId="68D63EF6" w14:textId="77777777" w:rsidTr="00E970E1">
        <w:trPr>
          <w:trHeight w:val="1785"/>
        </w:trPr>
        <w:tc>
          <w:tcPr>
            <w:tcW w:w="3340" w:type="dxa"/>
            <w:vMerge/>
            <w:tcBorders>
              <w:top w:val="nil"/>
              <w:left w:val="nil"/>
              <w:bottom w:val="nil"/>
              <w:right w:val="nil"/>
            </w:tcBorders>
            <w:vAlign w:val="center"/>
            <w:hideMark/>
          </w:tcPr>
          <w:p w14:paraId="68D63EF4"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EF5"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The definition of expenses encompasses those expenses that arise in the course of the ordinary activities of the organisation including losses. Expenses that arise in the course of the ordinary activities of the organisation include, for example, wages and depreciation. They usually take the form of an outflow or depletion of assets such as cash and cash equivalents, inventory, property, plant and equipment (AASB CF, 78).</w:t>
            </w:r>
          </w:p>
        </w:tc>
      </w:tr>
      <w:tr w:rsidR="00E970E1" w:rsidRPr="00E970E1" w14:paraId="68D63EF9" w14:textId="77777777" w:rsidTr="00E970E1">
        <w:trPr>
          <w:trHeight w:val="2040"/>
        </w:trPr>
        <w:tc>
          <w:tcPr>
            <w:tcW w:w="3340" w:type="dxa"/>
            <w:tcBorders>
              <w:top w:val="nil"/>
              <w:left w:val="nil"/>
              <w:bottom w:val="nil"/>
              <w:right w:val="nil"/>
            </w:tcBorders>
            <w:shd w:val="clear" w:color="auto" w:fill="auto"/>
            <w:hideMark/>
          </w:tcPr>
          <w:p w14:paraId="68D63EF7"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Feeder </w:t>
            </w:r>
            <w:r w:rsidR="002F7820">
              <w:rPr>
                <w:rFonts w:cs="Arial"/>
                <w:b/>
                <w:bCs/>
                <w:color w:val="000000"/>
                <w:sz w:val="20"/>
                <w:szCs w:val="20"/>
              </w:rPr>
              <w:t>d</w:t>
            </w:r>
            <w:r w:rsidRPr="00E970E1">
              <w:rPr>
                <w:rFonts w:cs="Arial"/>
                <w:b/>
                <w:bCs/>
                <w:color w:val="000000"/>
                <w:sz w:val="20"/>
                <w:szCs w:val="20"/>
              </w:rPr>
              <w:t>ata</w:t>
            </w:r>
          </w:p>
        </w:tc>
        <w:tc>
          <w:tcPr>
            <w:tcW w:w="6480" w:type="dxa"/>
            <w:tcBorders>
              <w:top w:val="nil"/>
              <w:left w:val="nil"/>
              <w:bottom w:val="nil"/>
              <w:right w:val="nil"/>
            </w:tcBorders>
            <w:shd w:val="clear" w:color="auto" w:fill="auto"/>
            <w:hideMark/>
          </w:tcPr>
          <w:p w14:paraId="68D63EF8" w14:textId="7F17F914" w:rsidR="00E970E1" w:rsidRPr="00E970E1" w:rsidRDefault="00626E5F" w:rsidP="00E970E1">
            <w:pPr>
              <w:spacing w:before="0" w:after="0" w:line="240" w:lineRule="auto"/>
              <w:rPr>
                <w:rFonts w:cs="Arial"/>
                <w:color w:val="000000"/>
                <w:sz w:val="20"/>
                <w:szCs w:val="20"/>
              </w:rPr>
            </w:pPr>
            <w:r>
              <w:rPr>
                <w:rFonts w:cs="Arial"/>
                <w:color w:val="000000"/>
                <w:sz w:val="20"/>
                <w:szCs w:val="20"/>
              </w:rPr>
              <w:t>Feeder d</w:t>
            </w:r>
            <w:r w:rsidR="00E970E1" w:rsidRPr="00E970E1">
              <w:rPr>
                <w:rFonts w:cs="Arial"/>
                <w:color w:val="000000"/>
                <w:sz w:val="20"/>
                <w:szCs w:val="20"/>
              </w:rPr>
              <w:t xml:space="preserve">ata refers to the collection of information from various hospital departmental systems used in the day to day operations of a hospital, generally for patient care purposes. These systems are used by hospital staff to record patient level information or the resources required by patients from those hospital service areas as part of the care process. The term </w:t>
            </w:r>
            <w:r w:rsidR="00642AC8">
              <w:rPr>
                <w:rFonts w:cs="Arial"/>
                <w:color w:val="000000"/>
                <w:sz w:val="20"/>
                <w:szCs w:val="20"/>
              </w:rPr>
              <w:t>‘</w:t>
            </w:r>
            <w:r w:rsidR="00E970E1" w:rsidRPr="00E970E1">
              <w:rPr>
                <w:rFonts w:cs="Arial"/>
                <w:color w:val="000000"/>
                <w:sz w:val="20"/>
                <w:szCs w:val="20"/>
              </w:rPr>
              <w:t>feeder’ is generally used to describe the extract taken from these systems which is, after review, “fed into the costing system” for costing purposes.</w:t>
            </w:r>
          </w:p>
        </w:tc>
      </w:tr>
      <w:tr w:rsidR="00E970E1" w:rsidRPr="00E970E1" w14:paraId="68D63EFC" w14:textId="77777777" w:rsidTr="00E970E1">
        <w:trPr>
          <w:trHeight w:val="765"/>
        </w:trPr>
        <w:tc>
          <w:tcPr>
            <w:tcW w:w="3340" w:type="dxa"/>
            <w:tcBorders>
              <w:top w:val="nil"/>
              <w:left w:val="nil"/>
              <w:bottom w:val="nil"/>
              <w:right w:val="nil"/>
            </w:tcBorders>
            <w:shd w:val="clear" w:color="auto" w:fill="auto"/>
            <w:hideMark/>
          </w:tcPr>
          <w:p w14:paraId="68D63EFA"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Final cost centre</w:t>
            </w:r>
          </w:p>
        </w:tc>
        <w:tc>
          <w:tcPr>
            <w:tcW w:w="6480" w:type="dxa"/>
            <w:tcBorders>
              <w:top w:val="nil"/>
              <w:left w:val="nil"/>
              <w:bottom w:val="nil"/>
              <w:right w:val="nil"/>
            </w:tcBorders>
            <w:shd w:val="clear" w:color="auto" w:fill="auto"/>
            <w:hideMark/>
          </w:tcPr>
          <w:p w14:paraId="68D63EFB" w14:textId="4A857FBD" w:rsidR="00E970E1" w:rsidRPr="00E970E1" w:rsidRDefault="00E970E1" w:rsidP="009B2BDB">
            <w:pPr>
              <w:spacing w:before="0" w:after="0" w:line="240" w:lineRule="auto"/>
              <w:rPr>
                <w:rFonts w:cs="Arial"/>
                <w:color w:val="000000"/>
                <w:sz w:val="20"/>
                <w:szCs w:val="20"/>
              </w:rPr>
            </w:pPr>
            <w:r w:rsidRPr="00E970E1">
              <w:rPr>
                <w:rFonts w:cs="Arial"/>
                <w:color w:val="000000"/>
                <w:sz w:val="20"/>
                <w:szCs w:val="20"/>
              </w:rPr>
              <w:t>A final cost centre is a collection</w:t>
            </w:r>
            <w:r w:rsidR="00626E5F">
              <w:rPr>
                <w:rFonts w:cs="Arial"/>
                <w:color w:val="000000"/>
                <w:sz w:val="20"/>
                <w:szCs w:val="20"/>
              </w:rPr>
              <w:t xml:space="preserve"> of costs, allocated from both p</w:t>
            </w:r>
            <w:r w:rsidRPr="00E970E1">
              <w:rPr>
                <w:rFonts w:cs="Arial"/>
                <w:color w:val="000000"/>
                <w:sz w:val="20"/>
                <w:szCs w:val="20"/>
              </w:rPr>
              <w:t xml:space="preserve">roduction and </w:t>
            </w:r>
            <w:r w:rsidR="00626E5F">
              <w:rPr>
                <w:rFonts w:cs="Arial"/>
                <w:color w:val="000000"/>
                <w:sz w:val="20"/>
                <w:szCs w:val="20"/>
              </w:rPr>
              <w:t>o</w:t>
            </w:r>
            <w:r w:rsidRPr="00E970E1">
              <w:rPr>
                <w:rFonts w:cs="Arial"/>
                <w:color w:val="000000"/>
                <w:sz w:val="20"/>
                <w:szCs w:val="20"/>
              </w:rPr>
              <w:t>verhead cost centres which are</w:t>
            </w:r>
            <w:r w:rsidR="009B2BDB">
              <w:rPr>
                <w:rFonts w:cs="Arial"/>
                <w:color w:val="000000"/>
                <w:sz w:val="20"/>
                <w:szCs w:val="20"/>
              </w:rPr>
              <w:t xml:space="preserve"> applicable to delivery of the f</w:t>
            </w:r>
            <w:r w:rsidRPr="00E970E1">
              <w:rPr>
                <w:rFonts w:cs="Arial"/>
                <w:color w:val="000000"/>
                <w:sz w:val="20"/>
                <w:szCs w:val="20"/>
              </w:rPr>
              <w:t xml:space="preserve">inal </w:t>
            </w:r>
            <w:r w:rsidR="009B2BDB">
              <w:rPr>
                <w:rFonts w:cs="Arial"/>
                <w:color w:val="000000"/>
                <w:sz w:val="20"/>
                <w:szCs w:val="20"/>
              </w:rPr>
              <w:t>p</w:t>
            </w:r>
            <w:r w:rsidRPr="00E970E1">
              <w:rPr>
                <w:rFonts w:cs="Arial"/>
                <w:color w:val="000000"/>
                <w:sz w:val="20"/>
                <w:szCs w:val="20"/>
              </w:rPr>
              <w:t>roduct.</w:t>
            </w:r>
          </w:p>
        </w:tc>
      </w:tr>
      <w:tr w:rsidR="00E970E1" w:rsidRPr="00E970E1" w14:paraId="68D63EFF" w14:textId="77777777" w:rsidTr="00E970E1">
        <w:trPr>
          <w:trHeight w:val="765"/>
        </w:trPr>
        <w:tc>
          <w:tcPr>
            <w:tcW w:w="3340" w:type="dxa"/>
            <w:tcBorders>
              <w:top w:val="nil"/>
              <w:left w:val="nil"/>
              <w:bottom w:val="nil"/>
              <w:right w:val="nil"/>
            </w:tcBorders>
            <w:shd w:val="clear" w:color="auto" w:fill="auto"/>
            <w:hideMark/>
          </w:tcPr>
          <w:p w14:paraId="68D63EFD"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Full cost</w:t>
            </w:r>
          </w:p>
        </w:tc>
        <w:tc>
          <w:tcPr>
            <w:tcW w:w="6480" w:type="dxa"/>
            <w:tcBorders>
              <w:top w:val="nil"/>
              <w:left w:val="nil"/>
              <w:bottom w:val="nil"/>
              <w:right w:val="nil"/>
            </w:tcBorders>
            <w:shd w:val="clear" w:color="auto" w:fill="auto"/>
            <w:hideMark/>
          </w:tcPr>
          <w:p w14:paraId="68D63EFE"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Full cost includes the costs of goods and services consumed by an organisation, including those provided by a third party that are consumed to produce the organisation’s outputs.</w:t>
            </w:r>
          </w:p>
        </w:tc>
      </w:tr>
      <w:tr w:rsidR="00E970E1" w:rsidRPr="00E970E1" w14:paraId="68D63F02" w14:textId="77777777" w:rsidTr="00E970E1">
        <w:trPr>
          <w:trHeight w:val="765"/>
        </w:trPr>
        <w:tc>
          <w:tcPr>
            <w:tcW w:w="3340" w:type="dxa"/>
            <w:tcBorders>
              <w:top w:val="nil"/>
              <w:left w:val="nil"/>
              <w:bottom w:val="nil"/>
              <w:right w:val="nil"/>
            </w:tcBorders>
            <w:shd w:val="clear" w:color="auto" w:fill="auto"/>
            <w:hideMark/>
          </w:tcPr>
          <w:p w14:paraId="68D63F00"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General ledger</w:t>
            </w:r>
          </w:p>
        </w:tc>
        <w:tc>
          <w:tcPr>
            <w:tcW w:w="6480" w:type="dxa"/>
            <w:tcBorders>
              <w:top w:val="nil"/>
              <w:left w:val="nil"/>
              <w:bottom w:val="nil"/>
              <w:right w:val="nil"/>
            </w:tcBorders>
            <w:shd w:val="clear" w:color="auto" w:fill="auto"/>
            <w:hideMark/>
          </w:tcPr>
          <w:p w14:paraId="68D63F01"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The general ledger holds a set of accounts that summarise all transactions occurring within an organisation and is used to create its financial statements.</w:t>
            </w:r>
          </w:p>
        </w:tc>
      </w:tr>
      <w:tr w:rsidR="00E970E1" w:rsidRPr="00E970E1" w14:paraId="68D63F05" w14:textId="77777777" w:rsidTr="00E970E1">
        <w:trPr>
          <w:trHeight w:val="2040"/>
        </w:trPr>
        <w:tc>
          <w:tcPr>
            <w:tcW w:w="3340" w:type="dxa"/>
            <w:tcBorders>
              <w:top w:val="nil"/>
              <w:left w:val="nil"/>
              <w:bottom w:val="nil"/>
              <w:right w:val="nil"/>
            </w:tcBorders>
            <w:shd w:val="clear" w:color="auto" w:fill="auto"/>
            <w:hideMark/>
          </w:tcPr>
          <w:p w14:paraId="68D63F03" w14:textId="5F2F113B"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High </w:t>
            </w:r>
            <w:r w:rsidR="007F1AC6">
              <w:rPr>
                <w:rFonts w:cs="Arial"/>
                <w:b/>
                <w:bCs/>
                <w:color w:val="000000"/>
                <w:sz w:val="20"/>
                <w:szCs w:val="20"/>
              </w:rPr>
              <w:t>d</w:t>
            </w:r>
            <w:r w:rsidRPr="00E970E1">
              <w:rPr>
                <w:rFonts w:cs="Arial"/>
                <w:b/>
                <w:bCs/>
                <w:color w:val="000000"/>
                <w:sz w:val="20"/>
                <w:szCs w:val="20"/>
              </w:rPr>
              <w:t xml:space="preserve">ependency </w:t>
            </w:r>
            <w:r w:rsidR="007F1AC6">
              <w:rPr>
                <w:rFonts w:cs="Arial"/>
                <w:b/>
                <w:bCs/>
                <w:color w:val="000000"/>
                <w:sz w:val="20"/>
                <w:szCs w:val="20"/>
              </w:rPr>
              <w:t>u</w:t>
            </w:r>
            <w:r w:rsidRPr="00E970E1">
              <w:rPr>
                <w:rFonts w:cs="Arial"/>
                <w:b/>
                <w:bCs/>
                <w:color w:val="000000"/>
                <w:sz w:val="20"/>
                <w:szCs w:val="20"/>
              </w:rPr>
              <w:t>nit</w:t>
            </w:r>
          </w:p>
        </w:tc>
        <w:tc>
          <w:tcPr>
            <w:tcW w:w="6480" w:type="dxa"/>
            <w:tcBorders>
              <w:top w:val="nil"/>
              <w:left w:val="nil"/>
              <w:bottom w:val="nil"/>
              <w:right w:val="nil"/>
            </w:tcBorders>
            <w:shd w:val="clear" w:color="auto" w:fill="auto"/>
            <w:hideMark/>
          </w:tcPr>
          <w:p w14:paraId="68D63F04" w14:textId="65569B6D" w:rsidR="00E970E1" w:rsidRPr="00E970E1" w:rsidRDefault="005C1D3C" w:rsidP="005C1D3C">
            <w:pPr>
              <w:spacing w:before="0" w:after="0" w:line="240" w:lineRule="auto"/>
              <w:rPr>
                <w:rFonts w:cs="Arial"/>
                <w:color w:val="000000"/>
                <w:sz w:val="20"/>
                <w:szCs w:val="20"/>
              </w:rPr>
            </w:pPr>
            <w:r>
              <w:rPr>
                <w:rFonts w:cs="Arial"/>
                <w:color w:val="000000"/>
                <w:sz w:val="20"/>
                <w:szCs w:val="20"/>
              </w:rPr>
              <w:t>H</w:t>
            </w:r>
            <w:r w:rsidR="00E970E1" w:rsidRPr="00E970E1">
              <w:rPr>
                <w:rFonts w:cs="Arial"/>
                <w:color w:val="000000"/>
                <w:sz w:val="20"/>
                <w:szCs w:val="20"/>
              </w:rPr>
              <w:t xml:space="preserve">igh </w:t>
            </w:r>
            <w:r>
              <w:rPr>
                <w:rFonts w:cs="Arial"/>
                <w:color w:val="000000"/>
                <w:sz w:val="20"/>
                <w:szCs w:val="20"/>
              </w:rPr>
              <w:t>d</w:t>
            </w:r>
            <w:r w:rsidR="00E970E1" w:rsidRPr="00E970E1">
              <w:rPr>
                <w:rFonts w:cs="Arial"/>
                <w:color w:val="000000"/>
                <w:sz w:val="20"/>
                <w:szCs w:val="20"/>
              </w:rPr>
              <w:t xml:space="preserve">ependency </w:t>
            </w:r>
            <w:r>
              <w:rPr>
                <w:rFonts w:cs="Arial"/>
                <w:color w:val="000000"/>
                <w:sz w:val="20"/>
                <w:szCs w:val="20"/>
              </w:rPr>
              <w:t>u</w:t>
            </w:r>
            <w:r w:rsidR="00E970E1" w:rsidRPr="00E970E1">
              <w:rPr>
                <w:rFonts w:cs="Arial"/>
                <w:color w:val="000000"/>
                <w:sz w:val="20"/>
                <w:szCs w:val="20"/>
              </w:rPr>
              <w:t>nit (HDU) is a dedicated area that provides high dependency nursing care and is an area of observation for patients of higher needs than general.</w:t>
            </w:r>
            <w:r w:rsidR="00B63007">
              <w:rPr>
                <w:rFonts w:cs="Arial"/>
                <w:color w:val="000000"/>
                <w:sz w:val="20"/>
                <w:szCs w:val="20"/>
              </w:rPr>
              <w:t xml:space="preserve"> </w:t>
            </w:r>
            <w:r w:rsidR="00E970E1" w:rsidRPr="00E970E1">
              <w:rPr>
                <w:rFonts w:cs="Arial"/>
                <w:color w:val="000000"/>
                <w:sz w:val="20"/>
                <w:szCs w:val="20"/>
              </w:rPr>
              <w:t>A HDU m</w:t>
            </w:r>
            <w:r w:rsidR="004844AB">
              <w:rPr>
                <w:rFonts w:cs="Arial"/>
                <w:color w:val="000000"/>
                <w:sz w:val="20"/>
                <w:szCs w:val="20"/>
              </w:rPr>
              <w:t>ay be specialty specific under c</w:t>
            </w:r>
            <w:r w:rsidR="00E970E1" w:rsidRPr="00E970E1">
              <w:rPr>
                <w:rFonts w:cs="Arial"/>
                <w:color w:val="000000"/>
                <w:sz w:val="20"/>
                <w:szCs w:val="20"/>
              </w:rPr>
              <w:t xml:space="preserve">ritical </w:t>
            </w:r>
            <w:r w:rsidR="004844AB">
              <w:rPr>
                <w:rFonts w:cs="Arial"/>
                <w:color w:val="000000"/>
                <w:sz w:val="20"/>
                <w:szCs w:val="20"/>
              </w:rPr>
              <w:t>c</w:t>
            </w:r>
            <w:r w:rsidR="00E970E1" w:rsidRPr="00E970E1">
              <w:rPr>
                <w:rFonts w:cs="Arial"/>
                <w:color w:val="000000"/>
                <w:sz w:val="20"/>
                <w:szCs w:val="20"/>
              </w:rPr>
              <w:t xml:space="preserve">are, for example, </w:t>
            </w:r>
            <w:r w:rsidR="004844AB">
              <w:rPr>
                <w:rFonts w:cs="Arial"/>
                <w:color w:val="000000"/>
                <w:sz w:val="20"/>
                <w:szCs w:val="20"/>
              </w:rPr>
              <w:t>c</w:t>
            </w:r>
            <w:r w:rsidR="00E970E1" w:rsidRPr="00E970E1">
              <w:rPr>
                <w:rFonts w:cs="Arial"/>
                <w:color w:val="000000"/>
                <w:sz w:val="20"/>
                <w:szCs w:val="20"/>
              </w:rPr>
              <w:t xml:space="preserve">ardiac </w:t>
            </w:r>
            <w:r w:rsidR="004844AB">
              <w:rPr>
                <w:rFonts w:cs="Arial"/>
                <w:color w:val="000000"/>
                <w:sz w:val="20"/>
                <w:szCs w:val="20"/>
              </w:rPr>
              <w:t>s</w:t>
            </w:r>
            <w:r w:rsidR="00E970E1" w:rsidRPr="00E970E1">
              <w:rPr>
                <w:rFonts w:cs="Arial"/>
                <w:color w:val="000000"/>
                <w:sz w:val="20"/>
                <w:szCs w:val="20"/>
              </w:rPr>
              <w:t>urgery HDU and may exist as an attachment to or step down from ei</w:t>
            </w:r>
            <w:r>
              <w:rPr>
                <w:rFonts w:cs="Arial"/>
                <w:color w:val="000000"/>
                <w:sz w:val="20"/>
                <w:szCs w:val="20"/>
              </w:rPr>
              <w:t>ther ICU or c</w:t>
            </w:r>
            <w:r w:rsidR="00E970E1" w:rsidRPr="00E970E1">
              <w:rPr>
                <w:rFonts w:cs="Arial"/>
                <w:color w:val="000000"/>
                <w:sz w:val="20"/>
                <w:szCs w:val="20"/>
              </w:rPr>
              <w:t xml:space="preserve">oronary </w:t>
            </w:r>
            <w:r>
              <w:rPr>
                <w:rFonts w:cs="Arial"/>
                <w:color w:val="000000"/>
                <w:sz w:val="20"/>
                <w:szCs w:val="20"/>
              </w:rPr>
              <w:t>c</w:t>
            </w:r>
            <w:r w:rsidR="00E970E1" w:rsidRPr="00E970E1">
              <w:rPr>
                <w:rFonts w:cs="Arial"/>
                <w:color w:val="000000"/>
                <w:sz w:val="20"/>
                <w:szCs w:val="20"/>
              </w:rPr>
              <w:t xml:space="preserve">are </w:t>
            </w:r>
            <w:r>
              <w:rPr>
                <w:rFonts w:cs="Arial"/>
                <w:color w:val="000000"/>
                <w:sz w:val="20"/>
                <w:szCs w:val="20"/>
              </w:rPr>
              <w:t>u</w:t>
            </w:r>
            <w:r w:rsidR="00E970E1" w:rsidRPr="00E970E1">
              <w:rPr>
                <w:rFonts w:cs="Arial"/>
                <w:color w:val="000000"/>
                <w:sz w:val="20"/>
                <w:szCs w:val="20"/>
              </w:rPr>
              <w:t>nit (CCU). A HDU may be non-critical in nature and may reside within a medical or a surgical clinical ward for the purposes of close observation and provision of high levels of nursing care.</w:t>
            </w:r>
          </w:p>
        </w:tc>
      </w:tr>
      <w:tr w:rsidR="00E970E1" w:rsidRPr="00E970E1" w14:paraId="68D63F08" w14:textId="77777777" w:rsidTr="00E970E1">
        <w:trPr>
          <w:trHeight w:val="1020"/>
        </w:trPr>
        <w:tc>
          <w:tcPr>
            <w:tcW w:w="3340" w:type="dxa"/>
            <w:vMerge w:val="restart"/>
            <w:tcBorders>
              <w:top w:val="nil"/>
              <w:left w:val="nil"/>
              <w:bottom w:val="nil"/>
              <w:right w:val="nil"/>
            </w:tcBorders>
            <w:shd w:val="clear" w:color="auto" w:fill="auto"/>
            <w:hideMark/>
          </w:tcPr>
          <w:p w14:paraId="68D63F06"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Imaging </w:t>
            </w:r>
            <w:r w:rsidR="002F7820">
              <w:rPr>
                <w:rFonts w:cs="Arial"/>
                <w:b/>
                <w:bCs/>
                <w:color w:val="000000"/>
                <w:sz w:val="20"/>
                <w:szCs w:val="20"/>
              </w:rPr>
              <w:t>s</w:t>
            </w:r>
            <w:r w:rsidR="002F7820" w:rsidRPr="00E970E1">
              <w:rPr>
                <w:rFonts w:cs="Arial"/>
                <w:b/>
                <w:bCs/>
                <w:color w:val="000000"/>
                <w:sz w:val="20"/>
                <w:szCs w:val="20"/>
              </w:rPr>
              <w:t>ervices</w:t>
            </w:r>
          </w:p>
        </w:tc>
        <w:tc>
          <w:tcPr>
            <w:tcW w:w="6480" w:type="dxa"/>
            <w:tcBorders>
              <w:top w:val="nil"/>
              <w:left w:val="nil"/>
              <w:bottom w:val="nil"/>
              <w:right w:val="nil"/>
            </w:tcBorders>
            <w:shd w:val="clear" w:color="auto" w:fill="auto"/>
            <w:hideMark/>
          </w:tcPr>
          <w:p w14:paraId="68D63F07"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Imaging services use techniques and processes of creating visual representations of the interior of a body for clinical analysis and diagnosis (METEoR ID: 525782). The techniques include invasive radiology, non-invasive radiology and nuclear medicine.</w:t>
            </w:r>
          </w:p>
        </w:tc>
      </w:tr>
      <w:tr w:rsidR="00E970E1" w:rsidRPr="00E970E1" w14:paraId="68D63F0B" w14:textId="77777777" w:rsidTr="00E970E1">
        <w:trPr>
          <w:trHeight w:val="1020"/>
        </w:trPr>
        <w:tc>
          <w:tcPr>
            <w:tcW w:w="3340" w:type="dxa"/>
            <w:vMerge/>
            <w:tcBorders>
              <w:top w:val="nil"/>
              <w:left w:val="nil"/>
              <w:bottom w:val="nil"/>
              <w:right w:val="nil"/>
            </w:tcBorders>
            <w:vAlign w:val="center"/>
            <w:hideMark/>
          </w:tcPr>
          <w:p w14:paraId="68D63F09"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0A"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Imaging is a function that is not restrictive to a particular location in a hospital, even if there is a dedicated department within a hospital.</w:t>
            </w:r>
            <w:r w:rsidR="00B63007">
              <w:rPr>
                <w:rFonts w:cs="Arial"/>
                <w:color w:val="000000"/>
                <w:sz w:val="20"/>
                <w:szCs w:val="20"/>
              </w:rPr>
              <w:t xml:space="preserve"> </w:t>
            </w:r>
            <w:r w:rsidRPr="00E970E1">
              <w:rPr>
                <w:rFonts w:cs="Arial"/>
                <w:color w:val="000000"/>
                <w:sz w:val="20"/>
                <w:szCs w:val="20"/>
              </w:rPr>
              <w:t>Often the services are mobile to various locations in a hospital to provide services to patients that are not mobile.</w:t>
            </w:r>
          </w:p>
        </w:tc>
      </w:tr>
      <w:tr w:rsidR="00E970E1" w:rsidRPr="00E970E1" w14:paraId="68D63F0E" w14:textId="77777777" w:rsidTr="00E970E1">
        <w:trPr>
          <w:trHeight w:val="1020"/>
        </w:trPr>
        <w:tc>
          <w:tcPr>
            <w:tcW w:w="3340" w:type="dxa"/>
            <w:tcBorders>
              <w:top w:val="nil"/>
              <w:left w:val="nil"/>
              <w:bottom w:val="nil"/>
              <w:right w:val="nil"/>
            </w:tcBorders>
            <w:shd w:val="clear" w:color="auto" w:fill="auto"/>
            <w:hideMark/>
          </w:tcPr>
          <w:p w14:paraId="68D63F0C" w14:textId="59717F0B" w:rsidR="00E970E1" w:rsidRPr="00E970E1" w:rsidRDefault="00E970E1" w:rsidP="00927F40">
            <w:pPr>
              <w:spacing w:before="0" w:after="0" w:line="240" w:lineRule="auto"/>
              <w:rPr>
                <w:rFonts w:cs="Arial"/>
                <w:b/>
                <w:bCs/>
                <w:color w:val="000000"/>
                <w:sz w:val="20"/>
                <w:szCs w:val="20"/>
              </w:rPr>
            </w:pPr>
            <w:r w:rsidRPr="00E970E1">
              <w:rPr>
                <w:rFonts w:cs="Arial"/>
                <w:b/>
                <w:bCs/>
                <w:color w:val="000000"/>
                <w:sz w:val="20"/>
                <w:szCs w:val="20"/>
              </w:rPr>
              <w:t xml:space="preserve">Intensive </w:t>
            </w:r>
            <w:r w:rsidR="007F1AC6">
              <w:rPr>
                <w:rFonts w:cs="Arial"/>
                <w:b/>
                <w:bCs/>
                <w:color w:val="000000"/>
                <w:sz w:val="20"/>
                <w:szCs w:val="20"/>
              </w:rPr>
              <w:t>c</w:t>
            </w:r>
            <w:r w:rsidRPr="00E970E1">
              <w:rPr>
                <w:rFonts w:cs="Arial"/>
                <w:b/>
                <w:bCs/>
                <w:color w:val="000000"/>
                <w:sz w:val="20"/>
                <w:szCs w:val="20"/>
              </w:rPr>
              <w:t xml:space="preserve">are </w:t>
            </w:r>
            <w:r w:rsidR="007F1AC6">
              <w:rPr>
                <w:rFonts w:cs="Arial"/>
                <w:b/>
                <w:bCs/>
                <w:color w:val="000000"/>
                <w:sz w:val="20"/>
                <w:szCs w:val="20"/>
              </w:rPr>
              <w:t>u</w:t>
            </w:r>
            <w:r w:rsidRPr="00E970E1">
              <w:rPr>
                <w:rFonts w:cs="Arial"/>
                <w:b/>
                <w:bCs/>
                <w:color w:val="000000"/>
                <w:sz w:val="20"/>
                <w:szCs w:val="20"/>
              </w:rPr>
              <w:t>nit</w:t>
            </w:r>
          </w:p>
        </w:tc>
        <w:tc>
          <w:tcPr>
            <w:tcW w:w="6480" w:type="dxa"/>
            <w:tcBorders>
              <w:top w:val="nil"/>
              <w:left w:val="nil"/>
              <w:bottom w:val="nil"/>
              <w:right w:val="nil"/>
            </w:tcBorders>
            <w:shd w:val="clear" w:color="auto" w:fill="auto"/>
            <w:hideMark/>
          </w:tcPr>
          <w:p w14:paraId="68D63F0D"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An ICU (METeOR ID: 327234) provides special expertise and facilities for the support of vital functions and utilises the skills of medical, nursing and other staff trained and experienced in the management of these problems. </w:t>
            </w:r>
          </w:p>
        </w:tc>
      </w:tr>
      <w:tr w:rsidR="00E970E1" w:rsidRPr="00E970E1" w14:paraId="68D63F11" w14:textId="77777777" w:rsidTr="00E970E1">
        <w:trPr>
          <w:trHeight w:val="1530"/>
        </w:trPr>
        <w:tc>
          <w:tcPr>
            <w:tcW w:w="3340" w:type="dxa"/>
            <w:tcBorders>
              <w:top w:val="nil"/>
              <w:left w:val="nil"/>
              <w:bottom w:val="nil"/>
              <w:right w:val="nil"/>
            </w:tcBorders>
            <w:shd w:val="clear" w:color="auto" w:fill="auto"/>
            <w:hideMark/>
          </w:tcPr>
          <w:p w14:paraId="68D63F0F"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Inter-hospital contracted care</w:t>
            </w:r>
          </w:p>
        </w:tc>
        <w:tc>
          <w:tcPr>
            <w:tcW w:w="6480" w:type="dxa"/>
            <w:tcBorders>
              <w:top w:val="nil"/>
              <w:left w:val="nil"/>
              <w:bottom w:val="nil"/>
              <w:right w:val="nil"/>
            </w:tcBorders>
            <w:shd w:val="clear" w:color="auto" w:fill="auto"/>
            <w:hideMark/>
          </w:tcPr>
          <w:p w14:paraId="68D63F10"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Inter-hospital contracted care refers to an episode of care for an admitted patient whose treatment and/or care is provided under an arrangement (either written or verbal) between a hospital purchaser of care (contracting hospital) and a provider of an admitted service (contracted hospital) and for which the activity is recorded by both hospitals.</w:t>
            </w:r>
          </w:p>
        </w:tc>
      </w:tr>
      <w:tr w:rsidR="00E970E1" w:rsidRPr="00E970E1" w14:paraId="68D63F14" w14:textId="77777777" w:rsidTr="00E970E1">
        <w:trPr>
          <w:trHeight w:val="1275"/>
        </w:trPr>
        <w:tc>
          <w:tcPr>
            <w:tcW w:w="3340" w:type="dxa"/>
            <w:tcBorders>
              <w:top w:val="nil"/>
              <w:left w:val="nil"/>
              <w:bottom w:val="nil"/>
              <w:right w:val="nil"/>
            </w:tcBorders>
            <w:shd w:val="clear" w:color="auto" w:fill="auto"/>
            <w:hideMark/>
          </w:tcPr>
          <w:p w14:paraId="68D63F12"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lastRenderedPageBreak/>
              <w:t>Intermediate products</w:t>
            </w:r>
          </w:p>
        </w:tc>
        <w:tc>
          <w:tcPr>
            <w:tcW w:w="6480" w:type="dxa"/>
            <w:tcBorders>
              <w:top w:val="nil"/>
              <w:left w:val="nil"/>
              <w:bottom w:val="nil"/>
              <w:right w:val="nil"/>
            </w:tcBorders>
            <w:shd w:val="clear" w:color="auto" w:fill="auto"/>
            <w:hideMark/>
          </w:tcPr>
          <w:p w14:paraId="68D63F13" w14:textId="0341B37A"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Intermediate products are outputs of a production centre that are further refined or provided to another production centre to contribute to the production of an </w:t>
            </w:r>
            <w:r w:rsidR="00047D03" w:rsidRPr="00E970E1">
              <w:rPr>
                <w:rFonts w:cs="Arial"/>
                <w:color w:val="000000"/>
                <w:sz w:val="20"/>
                <w:szCs w:val="20"/>
              </w:rPr>
              <w:t>organisation’s</w:t>
            </w:r>
            <w:r w:rsidRPr="00E970E1">
              <w:rPr>
                <w:rFonts w:cs="Arial"/>
                <w:color w:val="000000"/>
                <w:sz w:val="20"/>
                <w:szCs w:val="20"/>
              </w:rPr>
              <w:t xml:space="preserve"> final products, for example pathology testing to support diagnosis by the clinician within a non-admitted episode.</w:t>
            </w:r>
          </w:p>
        </w:tc>
      </w:tr>
      <w:tr w:rsidR="00E970E1" w:rsidRPr="00E970E1" w14:paraId="68D63F17" w14:textId="77777777" w:rsidTr="00E970E1">
        <w:trPr>
          <w:trHeight w:val="1275"/>
        </w:trPr>
        <w:tc>
          <w:tcPr>
            <w:tcW w:w="3340" w:type="dxa"/>
            <w:tcBorders>
              <w:top w:val="nil"/>
              <w:left w:val="nil"/>
              <w:bottom w:val="nil"/>
              <w:right w:val="nil"/>
            </w:tcBorders>
            <w:shd w:val="clear" w:color="auto" w:fill="auto"/>
            <w:hideMark/>
          </w:tcPr>
          <w:p w14:paraId="68D63F15"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Interpreter </w:t>
            </w:r>
            <w:r w:rsidR="002F7820">
              <w:rPr>
                <w:rFonts w:cs="Arial"/>
                <w:b/>
                <w:bCs/>
                <w:color w:val="000000"/>
                <w:sz w:val="20"/>
                <w:szCs w:val="20"/>
              </w:rPr>
              <w:t>s</w:t>
            </w:r>
            <w:r w:rsidR="002F7820" w:rsidRPr="00E970E1">
              <w:rPr>
                <w:rFonts w:cs="Arial"/>
                <w:b/>
                <w:bCs/>
                <w:color w:val="000000"/>
                <w:sz w:val="20"/>
                <w:szCs w:val="20"/>
              </w:rPr>
              <w:t>ervices</w:t>
            </w:r>
          </w:p>
        </w:tc>
        <w:tc>
          <w:tcPr>
            <w:tcW w:w="6480" w:type="dxa"/>
            <w:tcBorders>
              <w:top w:val="nil"/>
              <w:left w:val="nil"/>
              <w:bottom w:val="nil"/>
              <w:right w:val="nil"/>
            </w:tcBorders>
            <w:shd w:val="clear" w:color="auto" w:fill="auto"/>
            <w:hideMark/>
          </w:tcPr>
          <w:p w14:paraId="68D63F16"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Interpreter Services refer to professional service providers being used to facilitate communication between people. It includes verbal language such as languages other than English. It also includes non-verbal communication such persons requiring interpreter services for any form of sign language.</w:t>
            </w:r>
          </w:p>
        </w:tc>
      </w:tr>
      <w:tr w:rsidR="00E970E1" w:rsidRPr="00E970E1" w14:paraId="68D63F1A" w14:textId="77777777" w:rsidTr="00E970E1">
        <w:trPr>
          <w:trHeight w:val="1020"/>
        </w:trPr>
        <w:tc>
          <w:tcPr>
            <w:tcW w:w="3340" w:type="dxa"/>
            <w:vMerge w:val="restart"/>
            <w:tcBorders>
              <w:top w:val="nil"/>
              <w:left w:val="nil"/>
              <w:bottom w:val="nil"/>
              <w:right w:val="nil"/>
            </w:tcBorders>
            <w:shd w:val="clear" w:color="auto" w:fill="auto"/>
            <w:hideMark/>
          </w:tcPr>
          <w:p w14:paraId="68D63F18"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Labour </w:t>
            </w:r>
            <w:r w:rsidR="002F7820">
              <w:rPr>
                <w:rFonts w:cs="Arial"/>
                <w:b/>
                <w:bCs/>
                <w:color w:val="000000"/>
                <w:sz w:val="20"/>
                <w:szCs w:val="20"/>
              </w:rPr>
              <w:t>c</w:t>
            </w:r>
            <w:r w:rsidR="002F7820" w:rsidRPr="00E970E1">
              <w:rPr>
                <w:rFonts w:cs="Arial"/>
                <w:b/>
                <w:bCs/>
                <w:color w:val="000000"/>
                <w:sz w:val="20"/>
                <w:szCs w:val="20"/>
              </w:rPr>
              <w:t>ost</w:t>
            </w:r>
          </w:p>
        </w:tc>
        <w:tc>
          <w:tcPr>
            <w:tcW w:w="6480" w:type="dxa"/>
            <w:tcBorders>
              <w:top w:val="nil"/>
              <w:left w:val="nil"/>
              <w:bottom w:val="nil"/>
              <w:right w:val="nil"/>
            </w:tcBorders>
            <w:shd w:val="clear" w:color="auto" w:fill="auto"/>
            <w:hideMark/>
          </w:tcPr>
          <w:p w14:paraId="68D63F19"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The definition of labour costs is adapted from ABS Labour Statistics: Concepts, Sources and Methods Cat: 6102.0.055.001 - Employee Remuneration, and is based on the concept of cost to the employer in the employment of labour. In this context labour cost relates to: </w:t>
            </w:r>
          </w:p>
        </w:tc>
      </w:tr>
      <w:tr w:rsidR="00E970E1" w:rsidRPr="00E970E1" w14:paraId="68D63F1D" w14:textId="77777777" w:rsidTr="00E970E1">
        <w:trPr>
          <w:trHeight w:val="300"/>
        </w:trPr>
        <w:tc>
          <w:tcPr>
            <w:tcW w:w="3340" w:type="dxa"/>
            <w:vMerge/>
            <w:tcBorders>
              <w:top w:val="nil"/>
              <w:left w:val="nil"/>
              <w:bottom w:val="nil"/>
              <w:right w:val="nil"/>
            </w:tcBorders>
            <w:vAlign w:val="center"/>
            <w:hideMark/>
          </w:tcPr>
          <w:p w14:paraId="68D63F1B"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1C" w14:textId="55BB5F0A" w:rsidR="00E970E1" w:rsidRPr="00A27C5B" w:rsidRDefault="00E970E1" w:rsidP="00A27C5B">
            <w:pPr>
              <w:pStyle w:val="ListParagraph"/>
              <w:numPr>
                <w:ilvl w:val="0"/>
                <w:numId w:val="31"/>
              </w:numPr>
              <w:spacing w:before="0" w:after="0" w:line="240" w:lineRule="auto"/>
              <w:rPr>
                <w:rFonts w:cs="Arial"/>
                <w:color w:val="000000"/>
                <w:sz w:val="20"/>
                <w:szCs w:val="20"/>
              </w:rPr>
            </w:pPr>
            <w:r w:rsidRPr="00A27C5B">
              <w:rPr>
                <w:rFonts w:cs="Arial"/>
                <w:color w:val="000000"/>
                <w:sz w:val="20"/>
                <w:szCs w:val="20"/>
              </w:rPr>
              <w:t xml:space="preserve">employee salaries and wage </w:t>
            </w:r>
          </w:p>
        </w:tc>
      </w:tr>
      <w:tr w:rsidR="00E970E1" w:rsidRPr="00E970E1" w14:paraId="68D63F20" w14:textId="77777777" w:rsidTr="00E970E1">
        <w:trPr>
          <w:trHeight w:val="510"/>
        </w:trPr>
        <w:tc>
          <w:tcPr>
            <w:tcW w:w="3340" w:type="dxa"/>
            <w:vMerge/>
            <w:tcBorders>
              <w:top w:val="nil"/>
              <w:left w:val="nil"/>
              <w:bottom w:val="nil"/>
              <w:right w:val="nil"/>
            </w:tcBorders>
            <w:vAlign w:val="center"/>
            <w:hideMark/>
          </w:tcPr>
          <w:p w14:paraId="68D63F1E"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1F" w14:textId="1039D655" w:rsidR="00E970E1" w:rsidRPr="00A27C5B" w:rsidRDefault="00E970E1" w:rsidP="00A27C5B">
            <w:pPr>
              <w:pStyle w:val="ListParagraph"/>
              <w:numPr>
                <w:ilvl w:val="0"/>
                <w:numId w:val="31"/>
              </w:numPr>
              <w:spacing w:before="0" w:after="0" w:line="240" w:lineRule="auto"/>
              <w:rPr>
                <w:rFonts w:cs="Arial"/>
                <w:color w:val="000000"/>
                <w:sz w:val="20"/>
                <w:szCs w:val="20"/>
              </w:rPr>
            </w:pPr>
            <w:r w:rsidRPr="00A27C5B">
              <w:rPr>
                <w:rFonts w:cs="Arial"/>
                <w:color w:val="000000"/>
                <w:sz w:val="20"/>
                <w:szCs w:val="20"/>
              </w:rPr>
              <w:t>contributions by employers, on behalf of their employees, to social security</w:t>
            </w:r>
          </w:p>
        </w:tc>
      </w:tr>
      <w:tr w:rsidR="00E970E1" w:rsidRPr="00E970E1" w14:paraId="68D63F23" w14:textId="77777777" w:rsidTr="00E970E1">
        <w:trPr>
          <w:trHeight w:val="510"/>
        </w:trPr>
        <w:tc>
          <w:tcPr>
            <w:tcW w:w="3340" w:type="dxa"/>
            <w:vMerge/>
            <w:tcBorders>
              <w:top w:val="nil"/>
              <w:left w:val="nil"/>
              <w:bottom w:val="nil"/>
              <w:right w:val="nil"/>
            </w:tcBorders>
            <w:vAlign w:val="center"/>
            <w:hideMark/>
          </w:tcPr>
          <w:p w14:paraId="68D63F21"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22" w14:textId="15E02A3D" w:rsidR="00E970E1" w:rsidRPr="00A27C5B" w:rsidRDefault="00E970E1" w:rsidP="00A27C5B">
            <w:pPr>
              <w:pStyle w:val="ListParagraph"/>
              <w:numPr>
                <w:ilvl w:val="0"/>
                <w:numId w:val="31"/>
              </w:numPr>
              <w:spacing w:before="0" w:after="0" w:line="240" w:lineRule="auto"/>
              <w:rPr>
                <w:rFonts w:cs="Arial"/>
                <w:color w:val="000000"/>
                <w:sz w:val="20"/>
                <w:szCs w:val="20"/>
              </w:rPr>
            </w:pPr>
            <w:r w:rsidRPr="00A27C5B">
              <w:rPr>
                <w:rFonts w:cs="Arial"/>
                <w:color w:val="000000"/>
                <w:sz w:val="20"/>
                <w:szCs w:val="20"/>
              </w:rPr>
              <w:t>all other costs borne by employers in the employment of labour such as costs of training, welfare services to employees, payroll taxes</w:t>
            </w:r>
          </w:p>
        </w:tc>
      </w:tr>
      <w:tr w:rsidR="00E970E1" w:rsidRPr="00E970E1" w14:paraId="68D63F26" w14:textId="77777777" w:rsidTr="00E970E1">
        <w:trPr>
          <w:trHeight w:val="300"/>
        </w:trPr>
        <w:tc>
          <w:tcPr>
            <w:tcW w:w="3340" w:type="dxa"/>
            <w:tcBorders>
              <w:top w:val="nil"/>
              <w:left w:val="nil"/>
              <w:bottom w:val="nil"/>
              <w:right w:val="nil"/>
            </w:tcBorders>
            <w:shd w:val="clear" w:color="auto" w:fill="auto"/>
            <w:hideMark/>
          </w:tcPr>
          <w:p w14:paraId="5C3A9E69" w14:textId="4210E1A9" w:rsidR="00A059FA" w:rsidRDefault="00A059FA" w:rsidP="00D41583">
            <w:pPr>
              <w:spacing w:after="0" w:line="240" w:lineRule="auto"/>
              <w:rPr>
                <w:rFonts w:cs="Arial"/>
                <w:b/>
                <w:bCs/>
                <w:color w:val="000000"/>
                <w:sz w:val="20"/>
                <w:szCs w:val="20"/>
              </w:rPr>
            </w:pPr>
            <w:r w:rsidRPr="00A059FA">
              <w:rPr>
                <w:rFonts w:cs="Arial"/>
                <w:b/>
                <w:bCs/>
                <w:color w:val="000000"/>
                <w:sz w:val="20"/>
                <w:szCs w:val="20"/>
              </w:rPr>
              <w:t>Lease</w:t>
            </w:r>
          </w:p>
          <w:p w14:paraId="4C743D8F" w14:textId="77777777" w:rsidR="00A059FA" w:rsidRDefault="00A059FA" w:rsidP="00E970E1">
            <w:pPr>
              <w:spacing w:before="0" w:after="0" w:line="240" w:lineRule="auto"/>
              <w:rPr>
                <w:rFonts w:cs="Arial"/>
                <w:b/>
                <w:bCs/>
                <w:color w:val="000000"/>
                <w:sz w:val="20"/>
                <w:szCs w:val="20"/>
              </w:rPr>
            </w:pPr>
          </w:p>
          <w:p w14:paraId="7D50FAD4" w14:textId="77777777" w:rsidR="00A059FA" w:rsidRDefault="00A059FA" w:rsidP="00E970E1">
            <w:pPr>
              <w:spacing w:before="0" w:after="0" w:line="240" w:lineRule="auto"/>
              <w:rPr>
                <w:rFonts w:cs="Arial"/>
                <w:b/>
                <w:bCs/>
                <w:color w:val="000000"/>
                <w:sz w:val="20"/>
                <w:szCs w:val="20"/>
              </w:rPr>
            </w:pPr>
          </w:p>
          <w:p w14:paraId="24A8B97A" w14:textId="787360AE" w:rsidR="005A7D44" w:rsidRDefault="005A7D44" w:rsidP="00D41583">
            <w:pPr>
              <w:spacing w:after="0" w:line="240" w:lineRule="auto"/>
              <w:rPr>
                <w:rFonts w:cs="Arial"/>
                <w:b/>
                <w:bCs/>
                <w:color w:val="000000"/>
                <w:sz w:val="20"/>
                <w:szCs w:val="20"/>
              </w:rPr>
            </w:pPr>
            <w:r>
              <w:rPr>
                <w:rFonts w:cs="Arial"/>
                <w:b/>
                <w:bCs/>
                <w:color w:val="000000"/>
                <w:sz w:val="20"/>
                <w:szCs w:val="20"/>
              </w:rPr>
              <w:t>L</w:t>
            </w:r>
            <w:r w:rsidRPr="005A7D44">
              <w:rPr>
                <w:rFonts w:cs="Arial"/>
                <w:b/>
                <w:bCs/>
                <w:color w:val="000000"/>
                <w:sz w:val="20"/>
                <w:szCs w:val="20"/>
              </w:rPr>
              <w:t>essee</w:t>
            </w:r>
          </w:p>
          <w:p w14:paraId="6A925776" w14:textId="77777777" w:rsidR="00A059FA" w:rsidRDefault="00A059FA" w:rsidP="00E970E1">
            <w:pPr>
              <w:spacing w:before="0" w:after="0" w:line="240" w:lineRule="auto"/>
              <w:rPr>
                <w:rFonts w:cs="Arial"/>
                <w:b/>
                <w:bCs/>
                <w:color w:val="000000"/>
                <w:sz w:val="20"/>
                <w:szCs w:val="20"/>
              </w:rPr>
            </w:pPr>
          </w:p>
          <w:p w14:paraId="53BD7DDB" w14:textId="71EB3923" w:rsidR="00736555" w:rsidRDefault="00736555" w:rsidP="00D41583">
            <w:pPr>
              <w:spacing w:after="0" w:line="240" w:lineRule="auto"/>
              <w:rPr>
                <w:rFonts w:cs="Arial"/>
                <w:b/>
                <w:bCs/>
                <w:color w:val="000000"/>
                <w:sz w:val="20"/>
                <w:szCs w:val="20"/>
              </w:rPr>
            </w:pPr>
            <w:r w:rsidRPr="00736555">
              <w:rPr>
                <w:rFonts w:cs="Arial"/>
                <w:b/>
                <w:bCs/>
                <w:color w:val="000000"/>
                <w:sz w:val="20"/>
                <w:szCs w:val="20"/>
              </w:rPr>
              <w:t>Lease term</w:t>
            </w:r>
          </w:p>
          <w:p w14:paraId="2FA0D6D6" w14:textId="77777777" w:rsidR="00736555" w:rsidRDefault="00736555" w:rsidP="00E970E1">
            <w:pPr>
              <w:spacing w:before="0" w:after="0" w:line="240" w:lineRule="auto"/>
              <w:rPr>
                <w:rFonts w:cs="Arial"/>
                <w:b/>
                <w:bCs/>
                <w:color w:val="000000"/>
                <w:sz w:val="20"/>
                <w:szCs w:val="20"/>
              </w:rPr>
            </w:pPr>
          </w:p>
          <w:p w14:paraId="68D63F24" w14:textId="2A879D0D" w:rsidR="00E970E1" w:rsidRPr="00E970E1" w:rsidRDefault="00E970E1" w:rsidP="00D41583">
            <w:pPr>
              <w:spacing w:after="0" w:line="240" w:lineRule="auto"/>
              <w:rPr>
                <w:rFonts w:cs="Arial"/>
                <w:b/>
                <w:bCs/>
                <w:color w:val="000000"/>
                <w:sz w:val="20"/>
                <w:szCs w:val="20"/>
              </w:rPr>
            </w:pPr>
            <w:r w:rsidRPr="00E970E1">
              <w:rPr>
                <w:rFonts w:cs="Arial"/>
                <w:b/>
                <w:bCs/>
                <w:color w:val="000000"/>
                <w:sz w:val="20"/>
                <w:szCs w:val="20"/>
              </w:rPr>
              <w:t xml:space="preserve">Line </w:t>
            </w:r>
            <w:r w:rsidR="002F7820">
              <w:rPr>
                <w:rFonts w:cs="Arial"/>
                <w:b/>
                <w:bCs/>
                <w:color w:val="000000"/>
                <w:sz w:val="20"/>
                <w:szCs w:val="20"/>
              </w:rPr>
              <w:t>i</w:t>
            </w:r>
            <w:r w:rsidR="002F7820" w:rsidRPr="00E970E1">
              <w:rPr>
                <w:rFonts w:cs="Arial"/>
                <w:b/>
                <w:bCs/>
                <w:color w:val="000000"/>
                <w:sz w:val="20"/>
                <w:szCs w:val="20"/>
              </w:rPr>
              <w:t>tems</w:t>
            </w:r>
          </w:p>
        </w:tc>
        <w:tc>
          <w:tcPr>
            <w:tcW w:w="6480" w:type="dxa"/>
            <w:tcBorders>
              <w:top w:val="nil"/>
              <w:left w:val="nil"/>
              <w:bottom w:val="nil"/>
              <w:right w:val="nil"/>
            </w:tcBorders>
            <w:shd w:val="clear" w:color="auto" w:fill="auto"/>
            <w:hideMark/>
          </w:tcPr>
          <w:p w14:paraId="61772F65" w14:textId="3D71BD36" w:rsidR="00504BD7" w:rsidRDefault="00A059FA">
            <w:pPr>
              <w:spacing w:after="0" w:line="240" w:lineRule="auto"/>
              <w:rPr>
                <w:rFonts w:cs="Arial"/>
                <w:color w:val="000000"/>
                <w:sz w:val="20"/>
                <w:szCs w:val="20"/>
              </w:rPr>
            </w:pPr>
            <w:r w:rsidRPr="00A059FA">
              <w:rPr>
                <w:rFonts w:cs="Arial"/>
                <w:color w:val="000000"/>
                <w:sz w:val="20"/>
                <w:szCs w:val="20"/>
              </w:rPr>
              <w:t xml:space="preserve">A lease is a contract, or part of a contract, that conveys the right to use an asset (the underlying asset) for a period of time </w:t>
            </w:r>
            <w:r w:rsidR="00504BD7" w:rsidRPr="00504BD7">
              <w:rPr>
                <w:rFonts w:cs="Arial"/>
                <w:color w:val="000000"/>
                <w:sz w:val="20"/>
                <w:szCs w:val="20"/>
              </w:rPr>
              <w:t>in return for a payment or series of payments.</w:t>
            </w:r>
          </w:p>
          <w:p w14:paraId="63D1CA8D" w14:textId="4F7486AD" w:rsidR="005A7D44" w:rsidRDefault="00A059FA" w:rsidP="00D41583">
            <w:pPr>
              <w:spacing w:after="0" w:line="240" w:lineRule="auto"/>
              <w:rPr>
                <w:rFonts w:cs="Arial"/>
                <w:color w:val="000000"/>
                <w:sz w:val="20"/>
                <w:szCs w:val="20"/>
              </w:rPr>
            </w:pPr>
            <w:r w:rsidRPr="00A059FA">
              <w:rPr>
                <w:rFonts w:cs="Arial"/>
                <w:color w:val="000000"/>
                <w:sz w:val="20"/>
                <w:szCs w:val="20"/>
              </w:rPr>
              <w:t>An entity that obtains the right to use an underlying asset for a period of time in exchange for</w:t>
            </w:r>
            <w:r w:rsidR="00381E38">
              <w:rPr>
                <w:rFonts w:cs="Arial"/>
                <w:color w:val="000000"/>
                <w:sz w:val="20"/>
                <w:szCs w:val="20"/>
              </w:rPr>
              <w:t xml:space="preserve"> </w:t>
            </w:r>
            <w:r w:rsidR="00381E38" w:rsidRPr="00504BD7">
              <w:rPr>
                <w:rFonts w:cs="Arial"/>
                <w:color w:val="000000"/>
                <w:sz w:val="20"/>
                <w:szCs w:val="20"/>
              </w:rPr>
              <w:t>a payment or series of payments</w:t>
            </w:r>
            <w:r w:rsidRPr="00A059FA">
              <w:rPr>
                <w:rFonts w:cs="Arial"/>
                <w:color w:val="000000"/>
                <w:sz w:val="20"/>
                <w:szCs w:val="20"/>
              </w:rPr>
              <w:t>.</w:t>
            </w:r>
          </w:p>
          <w:p w14:paraId="1BD9E9B2" w14:textId="271B2A51" w:rsidR="00736555" w:rsidRDefault="00736555" w:rsidP="00D41583">
            <w:pPr>
              <w:spacing w:after="0" w:line="240" w:lineRule="auto"/>
              <w:rPr>
                <w:rFonts w:cs="Arial"/>
                <w:color w:val="000000"/>
                <w:sz w:val="20"/>
                <w:szCs w:val="20"/>
              </w:rPr>
            </w:pPr>
            <w:r w:rsidRPr="00736555">
              <w:rPr>
                <w:rFonts w:cs="Arial"/>
                <w:color w:val="000000"/>
                <w:sz w:val="20"/>
                <w:szCs w:val="20"/>
              </w:rPr>
              <w:t>The non-cancellable period for which a lessee has the right to use an underlying asset</w:t>
            </w:r>
            <w:r>
              <w:rPr>
                <w:rFonts w:cs="Arial"/>
                <w:color w:val="000000"/>
                <w:sz w:val="20"/>
                <w:szCs w:val="20"/>
              </w:rPr>
              <w:t>.</w:t>
            </w:r>
          </w:p>
          <w:p w14:paraId="68D63F25" w14:textId="101F4D01" w:rsidR="00E970E1" w:rsidRPr="00E970E1" w:rsidRDefault="00E970E1" w:rsidP="00D41583">
            <w:pPr>
              <w:spacing w:after="0" w:line="240" w:lineRule="auto"/>
              <w:rPr>
                <w:rFonts w:cs="Arial"/>
                <w:color w:val="000000"/>
                <w:sz w:val="20"/>
                <w:szCs w:val="20"/>
              </w:rPr>
            </w:pPr>
            <w:r w:rsidRPr="00E970E1">
              <w:rPr>
                <w:rFonts w:cs="Arial"/>
                <w:color w:val="000000"/>
                <w:sz w:val="20"/>
                <w:szCs w:val="20"/>
              </w:rPr>
              <w:t>A series of mapped account codes. See Attachments.</w:t>
            </w:r>
          </w:p>
        </w:tc>
      </w:tr>
      <w:tr w:rsidR="00E970E1" w:rsidRPr="00E970E1" w14:paraId="68D63F29" w14:textId="77777777" w:rsidTr="00E970E1">
        <w:trPr>
          <w:trHeight w:val="300"/>
        </w:trPr>
        <w:tc>
          <w:tcPr>
            <w:tcW w:w="3340" w:type="dxa"/>
            <w:vMerge w:val="restart"/>
            <w:tcBorders>
              <w:top w:val="nil"/>
              <w:left w:val="nil"/>
              <w:bottom w:val="nil"/>
              <w:right w:val="nil"/>
            </w:tcBorders>
            <w:shd w:val="clear" w:color="auto" w:fill="auto"/>
            <w:hideMark/>
          </w:tcPr>
          <w:p w14:paraId="68D63F27" w14:textId="77777777" w:rsidR="00E970E1" w:rsidRPr="00E970E1" w:rsidRDefault="00E970E1" w:rsidP="00D41583">
            <w:pPr>
              <w:spacing w:after="0" w:line="240" w:lineRule="auto"/>
              <w:rPr>
                <w:rFonts w:cs="Arial"/>
                <w:b/>
                <w:bCs/>
                <w:color w:val="000000"/>
                <w:sz w:val="20"/>
                <w:szCs w:val="20"/>
              </w:rPr>
            </w:pPr>
            <w:r w:rsidRPr="00E970E1">
              <w:rPr>
                <w:rFonts w:cs="Arial"/>
                <w:b/>
                <w:bCs/>
                <w:color w:val="000000"/>
                <w:sz w:val="20"/>
                <w:szCs w:val="20"/>
              </w:rPr>
              <w:t xml:space="preserve">Matching </w:t>
            </w:r>
          </w:p>
        </w:tc>
        <w:tc>
          <w:tcPr>
            <w:tcW w:w="6480" w:type="dxa"/>
            <w:tcBorders>
              <w:top w:val="nil"/>
              <w:left w:val="nil"/>
              <w:bottom w:val="nil"/>
              <w:right w:val="nil"/>
            </w:tcBorders>
            <w:shd w:val="clear" w:color="auto" w:fill="auto"/>
            <w:hideMark/>
          </w:tcPr>
          <w:p w14:paraId="68D63F28" w14:textId="77777777" w:rsidR="00E970E1" w:rsidRPr="00E970E1" w:rsidRDefault="00E970E1" w:rsidP="00D41583">
            <w:pPr>
              <w:spacing w:after="0" w:line="240" w:lineRule="auto"/>
              <w:rPr>
                <w:rFonts w:cs="Arial"/>
                <w:color w:val="000000"/>
                <w:sz w:val="20"/>
                <w:szCs w:val="20"/>
              </w:rPr>
            </w:pPr>
            <w:r w:rsidRPr="00E970E1">
              <w:rPr>
                <w:rFonts w:cs="Arial"/>
                <w:color w:val="000000"/>
                <w:sz w:val="20"/>
                <w:szCs w:val="20"/>
              </w:rPr>
              <w:t>Matching is a general term in product costing that covers both:</w:t>
            </w:r>
          </w:p>
        </w:tc>
      </w:tr>
      <w:tr w:rsidR="00E970E1" w:rsidRPr="00E970E1" w14:paraId="68D63F2C" w14:textId="77777777" w:rsidTr="00E970E1">
        <w:trPr>
          <w:trHeight w:val="1275"/>
        </w:trPr>
        <w:tc>
          <w:tcPr>
            <w:tcW w:w="3340" w:type="dxa"/>
            <w:vMerge/>
            <w:tcBorders>
              <w:top w:val="nil"/>
              <w:left w:val="nil"/>
              <w:bottom w:val="nil"/>
              <w:right w:val="nil"/>
            </w:tcBorders>
            <w:vAlign w:val="center"/>
            <w:hideMark/>
          </w:tcPr>
          <w:p w14:paraId="68D63F2A"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2B" w14:textId="43527EB2"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Matching expenses to a cost object directly when the expense can be easily identified as having a direct causal relationship</w:t>
            </w:r>
            <w:r w:rsidR="00C76532">
              <w:rPr>
                <w:rFonts w:cs="Arial"/>
                <w:color w:val="000000"/>
                <w:sz w:val="20"/>
                <w:szCs w:val="20"/>
              </w:rPr>
              <w:t>,</w:t>
            </w:r>
            <w:r w:rsidRPr="00E970E1">
              <w:rPr>
                <w:rFonts w:cs="Arial"/>
                <w:color w:val="000000"/>
                <w:sz w:val="20"/>
                <w:szCs w:val="20"/>
              </w:rPr>
              <w:t xml:space="preserve"> </w:t>
            </w:r>
            <w:r w:rsidR="00C76532">
              <w:rPr>
                <w:rFonts w:cs="Arial"/>
                <w:color w:val="000000"/>
                <w:sz w:val="20"/>
                <w:szCs w:val="20"/>
              </w:rPr>
              <w:t>that is,</w:t>
            </w:r>
            <w:r w:rsidRPr="00E970E1">
              <w:rPr>
                <w:rFonts w:cs="Arial"/>
                <w:color w:val="000000"/>
                <w:sz w:val="20"/>
                <w:szCs w:val="20"/>
              </w:rPr>
              <w:t xml:space="preserve"> the cost was generated as a direct result of the use of the cost object in the delivery of the hospital service, for example the price paid a given pharmaceutical prescribed to the patient; and</w:t>
            </w:r>
          </w:p>
        </w:tc>
      </w:tr>
      <w:tr w:rsidR="00E970E1" w:rsidRPr="00E970E1" w14:paraId="68D63F2F" w14:textId="77777777" w:rsidTr="00E970E1">
        <w:trPr>
          <w:trHeight w:val="1020"/>
        </w:trPr>
        <w:tc>
          <w:tcPr>
            <w:tcW w:w="3340" w:type="dxa"/>
            <w:vMerge/>
            <w:tcBorders>
              <w:top w:val="nil"/>
              <w:left w:val="nil"/>
              <w:bottom w:val="nil"/>
              <w:right w:val="nil"/>
            </w:tcBorders>
            <w:vAlign w:val="center"/>
            <w:hideMark/>
          </w:tcPr>
          <w:p w14:paraId="68D63F2D"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2E"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matching expenses by means of allocation where they cannot that cannot be directly matched to the cost object, for example the allocation of the cost of nursing staff on a given ward to the patients receiving care on that ward.</w:t>
            </w:r>
          </w:p>
        </w:tc>
      </w:tr>
      <w:tr w:rsidR="00E970E1" w:rsidRPr="00E970E1" w14:paraId="68D63F32" w14:textId="77777777" w:rsidTr="00E970E1">
        <w:trPr>
          <w:trHeight w:val="1530"/>
        </w:trPr>
        <w:tc>
          <w:tcPr>
            <w:tcW w:w="3340" w:type="dxa"/>
            <w:tcBorders>
              <w:top w:val="nil"/>
              <w:left w:val="nil"/>
              <w:bottom w:val="nil"/>
              <w:right w:val="nil"/>
            </w:tcBorders>
            <w:shd w:val="clear" w:color="auto" w:fill="auto"/>
            <w:hideMark/>
          </w:tcPr>
          <w:p w14:paraId="68D63F30"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Materiality</w:t>
            </w:r>
          </w:p>
        </w:tc>
        <w:tc>
          <w:tcPr>
            <w:tcW w:w="6480" w:type="dxa"/>
            <w:tcBorders>
              <w:top w:val="nil"/>
              <w:left w:val="nil"/>
              <w:bottom w:val="nil"/>
              <w:right w:val="nil"/>
            </w:tcBorders>
            <w:shd w:val="clear" w:color="auto" w:fill="auto"/>
            <w:hideMark/>
          </w:tcPr>
          <w:p w14:paraId="68D63F31"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Omissions or misstatements of items are material if they could, individually or collectively, influence the economic decisions of users taken on the basis of the financial statements. Materiality depends on the size and nature of the omission or misstatement judged in the surrounding circumstances. The size or nature of the item, or a combination of both, could be the determining factor. (AASB 1031)</w:t>
            </w:r>
          </w:p>
        </w:tc>
      </w:tr>
      <w:tr w:rsidR="00E970E1" w:rsidRPr="00E970E1" w14:paraId="68D63F35" w14:textId="77777777" w:rsidTr="00E970E1">
        <w:trPr>
          <w:trHeight w:val="2295"/>
        </w:trPr>
        <w:tc>
          <w:tcPr>
            <w:tcW w:w="3340" w:type="dxa"/>
            <w:tcBorders>
              <w:top w:val="nil"/>
              <w:left w:val="nil"/>
              <w:bottom w:val="nil"/>
              <w:right w:val="nil"/>
            </w:tcBorders>
            <w:shd w:val="clear" w:color="auto" w:fill="auto"/>
            <w:hideMark/>
          </w:tcPr>
          <w:p w14:paraId="68D63F33"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lastRenderedPageBreak/>
              <w:t>Multiple health care providers</w:t>
            </w:r>
          </w:p>
        </w:tc>
        <w:tc>
          <w:tcPr>
            <w:tcW w:w="6480" w:type="dxa"/>
            <w:tcBorders>
              <w:top w:val="nil"/>
              <w:left w:val="nil"/>
              <w:bottom w:val="nil"/>
              <w:right w:val="nil"/>
            </w:tcBorders>
            <w:shd w:val="clear" w:color="auto" w:fill="auto"/>
            <w:hideMark/>
          </w:tcPr>
          <w:p w14:paraId="68D63F34"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Multiple health care providers refer to two or more health care providers delivering care either individually or jointly within a non-admitted patient service event. The health care providers may be of the same profession (medical, nursing or allied health). However, they must each have a different speciality so that the care provided by each provider is unique and meets the definition of a non-admitted patient service event. In practice, this should be interpreted as meaning that the patient can separately identify the unique care provided by each healthcare provider.</w:t>
            </w:r>
          </w:p>
        </w:tc>
      </w:tr>
      <w:tr w:rsidR="00E970E1" w:rsidRPr="00E970E1" w14:paraId="68D63F38" w14:textId="77777777" w:rsidTr="00E970E1">
        <w:trPr>
          <w:trHeight w:val="1275"/>
        </w:trPr>
        <w:tc>
          <w:tcPr>
            <w:tcW w:w="3340" w:type="dxa"/>
            <w:tcBorders>
              <w:top w:val="nil"/>
              <w:left w:val="nil"/>
              <w:bottom w:val="nil"/>
              <w:right w:val="nil"/>
            </w:tcBorders>
            <w:shd w:val="clear" w:color="auto" w:fill="auto"/>
            <w:hideMark/>
          </w:tcPr>
          <w:p w14:paraId="68D63F36" w14:textId="77777777" w:rsidR="00E970E1" w:rsidRPr="00E970E1" w:rsidRDefault="002F7820" w:rsidP="00E970E1">
            <w:pPr>
              <w:spacing w:before="0" w:after="0" w:line="240" w:lineRule="auto"/>
              <w:rPr>
                <w:rFonts w:cs="Arial"/>
                <w:b/>
                <w:bCs/>
                <w:color w:val="000000"/>
                <w:sz w:val="20"/>
                <w:szCs w:val="20"/>
              </w:rPr>
            </w:pPr>
            <w:r w:rsidRPr="00E970E1">
              <w:rPr>
                <w:rFonts w:cs="Arial"/>
                <w:b/>
                <w:bCs/>
                <w:color w:val="000000"/>
                <w:sz w:val="20"/>
                <w:szCs w:val="20"/>
              </w:rPr>
              <w:t>Non</w:t>
            </w:r>
            <w:r>
              <w:rPr>
                <w:rFonts w:cs="Arial"/>
                <w:b/>
                <w:bCs/>
                <w:color w:val="000000"/>
                <w:sz w:val="20"/>
                <w:szCs w:val="20"/>
              </w:rPr>
              <w:t>-a</w:t>
            </w:r>
            <w:r w:rsidRPr="00E970E1">
              <w:rPr>
                <w:rFonts w:cs="Arial"/>
                <w:b/>
                <w:bCs/>
                <w:color w:val="000000"/>
                <w:sz w:val="20"/>
                <w:szCs w:val="20"/>
              </w:rPr>
              <w:t xml:space="preserve">dmitted </w:t>
            </w:r>
            <w:r>
              <w:rPr>
                <w:rFonts w:cs="Arial"/>
                <w:b/>
                <w:bCs/>
                <w:color w:val="000000"/>
                <w:sz w:val="20"/>
                <w:szCs w:val="20"/>
              </w:rPr>
              <w:t>c</w:t>
            </w:r>
            <w:r w:rsidRPr="00E970E1">
              <w:rPr>
                <w:rFonts w:cs="Arial"/>
                <w:b/>
                <w:bCs/>
                <w:color w:val="000000"/>
                <w:sz w:val="20"/>
                <w:szCs w:val="20"/>
              </w:rPr>
              <w:t>linic</w:t>
            </w:r>
            <w:r w:rsidR="00E970E1" w:rsidRPr="00E970E1">
              <w:rPr>
                <w:rFonts w:cs="Arial"/>
                <w:b/>
                <w:bCs/>
                <w:color w:val="000000"/>
                <w:sz w:val="20"/>
                <w:szCs w:val="20"/>
              </w:rPr>
              <w:t>/Non-admitted patient service units</w:t>
            </w:r>
          </w:p>
        </w:tc>
        <w:tc>
          <w:tcPr>
            <w:tcW w:w="6480" w:type="dxa"/>
            <w:tcBorders>
              <w:top w:val="nil"/>
              <w:left w:val="nil"/>
              <w:bottom w:val="nil"/>
              <w:right w:val="nil"/>
            </w:tcBorders>
            <w:shd w:val="clear" w:color="auto" w:fill="auto"/>
            <w:hideMark/>
          </w:tcPr>
          <w:p w14:paraId="68D63F37" w14:textId="0385CF90" w:rsidR="00E970E1" w:rsidRPr="00E970E1" w:rsidRDefault="00E970E1" w:rsidP="00626E5F">
            <w:pPr>
              <w:spacing w:before="0" w:after="0" w:line="240" w:lineRule="auto"/>
              <w:rPr>
                <w:rFonts w:cs="Arial"/>
                <w:color w:val="000000"/>
                <w:sz w:val="20"/>
                <w:szCs w:val="20"/>
              </w:rPr>
            </w:pPr>
            <w:r w:rsidRPr="00E970E1">
              <w:rPr>
                <w:rFonts w:cs="Arial"/>
                <w:color w:val="000000"/>
                <w:sz w:val="20"/>
                <w:szCs w:val="20"/>
              </w:rPr>
              <w:t>Non</w:t>
            </w:r>
            <w:r w:rsidR="00626E5F">
              <w:rPr>
                <w:rFonts w:cs="Arial"/>
                <w:color w:val="000000"/>
                <w:sz w:val="20"/>
                <w:szCs w:val="20"/>
              </w:rPr>
              <w:t>-a</w:t>
            </w:r>
            <w:r w:rsidRPr="00E970E1">
              <w:rPr>
                <w:rFonts w:cs="Arial"/>
                <w:color w:val="000000"/>
                <w:sz w:val="20"/>
                <w:szCs w:val="20"/>
              </w:rPr>
              <w:t xml:space="preserve">dmitted </w:t>
            </w:r>
            <w:r w:rsidR="00626E5F">
              <w:rPr>
                <w:rFonts w:cs="Arial"/>
                <w:color w:val="000000"/>
                <w:sz w:val="20"/>
                <w:szCs w:val="20"/>
              </w:rPr>
              <w:t>c</w:t>
            </w:r>
            <w:r w:rsidRPr="00E970E1">
              <w:rPr>
                <w:rFonts w:cs="Arial"/>
                <w:color w:val="000000"/>
                <w:sz w:val="20"/>
                <w:szCs w:val="20"/>
              </w:rPr>
              <w:t>linic/</w:t>
            </w:r>
            <w:r w:rsidR="00626E5F">
              <w:rPr>
                <w:rFonts w:cs="Arial"/>
                <w:color w:val="000000"/>
                <w:sz w:val="20"/>
                <w:szCs w:val="20"/>
              </w:rPr>
              <w:t>n</w:t>
            </w:r>
            <w:r w:rsidRPr="00E970E1">
              <w:rPr>
                <w:rFonts w:cs="Arial"/>
                <w:color w:val="000000"/>
                <w:sz w:val="20"/>
                <w:szCs w:val="20"/>
              </w:rPr>
              <w:t>on-admitted patient service units are a recognised clinical team of one or more healthcare providers within a hospital, multi-purpose service or community health service that provides non-admitted patient services and/or non-admitted patient support activities.</w:t>
            </w:r>
          </w:p>
        </w:tc>
      </w:tr>
      <w:tr w:rsidR="00E970E1" w:rsidRPr="00E970E1" w14:paraId="68D63F3B" w14:textId="77777777" w:rsidTr="00E970E1">
        <w:trPr>
          <w:trHeight w:val="510"/>
        </w:trPr>
        <w:tc>
          <w:tcPr>
            <w:tcW w:w="3340" w:type="dxa"/>
            <w:tcBorders>
              <w:top w:val="nil"/>
              <w:left w:val="nil"/>
              <w:bottom w:val="nil"/>
              <w:right w:val="nil"/>
            </w:tcBorders>
            <w:shd w:val="clear" w:color="auto" w:fill="auto"/>
            <w:hideMark/>
          </w:tcPr>
          <w:p w14:paraId="68D63F39"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Non-admitted patient </w:t>
            </w:r>
          </w:p>
        </w:tc>
        <w:tc>
          <w:tcPr>
            <w:tcW w:w="6480" w:type="dxa"/>
            <w:tcBorders>
              <w:top w:val="nil"/>
              <w:left w:val="nil"/>
              <w:bottom w:val="nil"/>
              <w:right w:val="nil"/>
            </w:tcBorders>
            <w:shd w:val="clear" w:color="auto" w:fill="auto"/>
            <w:hideMark/>
          </w:tcPr>
          <w:p w14:paraId="68D63F3A"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Non-admitted patient means services as provided as defined in (METeOR ID: 584028)</w:t>
            </w:r>
          </w:p>
        </w:tc>
      </w:tr>
      <w:tr w:rsidR="00E970E1" w:rsidRPr="00E970E1" w14:paraId="68D63F3E" w14:textId="77777777" w:rsidTr="00E970E1">
        <w:trPr>
          <w:trHeight w:val="1530"/>
        </w:trPr>
        <w:tc>
          <w:tcPr>
            <w:tcW w:w="3340" w:type="dxa"/>
            <w:tcBorders>
              <w:top w:val="nil"/>
              <w:left w:val="nil"/>
              <w:bottom w:val="nil"/>
              <w:right w:val="nil"/>
            </w:tcBorders>
            <w:shd w:val="clear" w:color="auto" w:fill="auto"/>
            <w:hideMark/>
          </w:tcPr>
          <w:p w14:paraId="68D63F3C" w14:textId="4ED35365" w:rsidR="00E970E1" w:rsidRPr="00E970E1" w:rsidRDefault="00E970E1">
            <w:pPr>
              <w:spacing w:before="0" w:after="0" w:line="240" w:lineRule="auto"/>
              <w:rPr>
                <w:rFonts w:cs="Arial"/>
                <w:b/>
                <w:bCs/>
                <w:color w:val="000000"/>
                <w:sz w:val="20"/>
                <w:szCs w:val="20"/>
              </w:rPr>
            </w:pPr>
            <w:r w:rsidRPr="00E970E1">
              <w:rPr>
                <w:rFonts w:cs="Arial"/>
                <w:b/>
                <w:bCs/>
                <w:color w:val="000000"/>
                <w:sz w:val="20"/>
                <w:szCs w:val="20"/>
              </w:rPr>
              <w:t>Non-</w:t>
            </w:r>
            <w:r w:rsidR="007F1AC6">
              <w:rPr>
                <w:rFonts w:cs="Arial"/>
                <w:b/>
                <w:bCs/>
                <w:color w:val="000000"/>
                <w:sz w:val="20"/>
                <w:szCs w:val="20"/>
              </w:rPr>
              <w:t>e</w:t>
            </w:r>
            <w:r w:rsidRPr="00E970E1">
              <w:rPr>
                <w:rFonts w:cs="Arial"/>
                <w:b/>
                <w:bCs/>
                <w:color w:val="000000"/>
                <w:sz w:val="20"/>
                <w:szCs w:val="20"/>
              </w:rPr>
              <w:t xml:space="preserve">mergency </w:t>
            </w:r>
            <w:r w:rsidR="007F1AC6">
              <w:rPr>
                <w:rFonts w:cs="Arial"/>
                <w:b/>
                <w:bCs/>
                <w:color w:val="000000"/>
                <w:sz w:val="20"/>
                <w:szCs w:val="20"/>
              </w:rPr>
              <w:t>p</w:t>
            </w:r>
            <w:r w:rsidRPr="00E970E1">
              <w:rPr>
                <w:rFonts w:cs="Arial"/>
                <w:b/>
                <w:bCs/>
                <w:color w:val="000000"/>
                <w:sz w:val="20"/>
                <w:szCs w:val="20"/>
              </w:rPr>
              <w:t xml:space="preserve">atient </w:t>
            </w:r>
            <w:r w:rsidR="007F1AC6">
              <w:rPr>
                <w:rFonts w:cs="Arial"/>
                <w:b/>
                <w:bCs/>
                <w:color w:val="000000"/>
                <w:sz w:val="20"/>
                <w:szCs w:val="20"/>
              </w:rPr>
              <w:t>t</w:t>
            </w:r>
            <w:r w:rsidRPr="00E970E1">
              <w:rPr>
                <w:rFonts w:cs="Arial"/>
                <w:b/>
                <w:bCs/>
                <w:color w:val="000000"/>
                <w:sz w:val="20"/>
                <w:szCs w:val="20"/>
              </w:rPr>
              <w:t xml:space="preserve">ransport </w:t>
            </w:r>
          </w:p>
        </w:tc>
        <w:tc>
          <w:tcPr>
            <w:tcW w:w="6480" w:type="dxa"/>
            <w:tcBorders>
              <w:top w:val="nil"/>
              <w:left w:val="nil"/>
              <w:bottom w:val="nil"/>
              <w:right w:val="nil"/>
            </w:tcBorders>
            <w:shd w:val="clear" w:color="auto" w:fill="auto"/>
            <w:hideMark/>
          </w:tcPr>
          <w:p w14:paraId="68D63F3D" w14:textId="53185F0D"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Non-</w:t>
            </w:r>
            <w:r w:rsidR="00C76532">
              <w:rPr>
                <w:rFonts w:cs="Arial"/>
                <w:color w:val="000000"/>
                <w:sz w:val="20"/>
                <w:szCs w:val="20"/>
              </w:rPr>
              <w:t>e</w:t>
            </w:r>
            <w:r w:rsidRPr="00E970E1">
              <w:rPr>
                <w:rFonts w:cs="Arial"/>
                <w:color w:val="000000"/>
                <w:sz w:val="20"/>
                <w:szCs w:val="20"/>
              </w:rPr>
              <w:t xml:space="preserve">mergency </w:t>
            </w:r>
            <w:r w:rsidR="00C76532">
              <w:rPr>
                <w:rFonts w:cs="Arial"/>
                <w:color w:val="000000"/>
                <w:sz w:val="20"/>
                <w:szCs w:val="20"/>
              </w:rPr>
              <w:t>p</w:t>
            </w:r>
            <w:r w:rsidRPr="00E970E1">
              <w:rPr>
                <w:rFonts w:cs="Arial"/>
                <w:color w:val="000000"/>
                <w:sz w:val="20"/>
                <w:szCs w:val="20"/>
              </w:rPr>
              <w:t xml:space="preserve">atient </w:t>
            </w:r>
            <w:r w:rsidR="00C76532">
              <w:rPr>
                <w:rFonts w:cs="Arial"/>
                <w:color w:val="000000"/>
                <w:sz w:val="20"/>
                <w:szCs w:val="20"/>
              </w:rPr>
              <w:t>t</w:t>
            </w:r>
            <w:r w:rsidRPr="00E970E1">
              <w:rPr>
                <w:rFonts w:cs="Arial"/>
                <w:color w:val="000000"/>
                <w:sz w:val="20"/>
                <w:szCs w:val="20"/>
              </w:rPr>
              <w:t xml:space="preserve">ransport (NEPT) refers to non-emergency road transportation to or from a health or diagnostic facility, inter-hospital transfers and transport to or from non-acute health services such as residential aged care and </w:t>
            </w:r>
            <w:r w:rsidR="00C76532">
              <w:rPr>
                <w:rFonts w:cs="Arial"/>
                <w:color w:val="000000"/>
                <w:sz w:val="20"/>
                <w:szCs w:val="20"/>
              </w:rPr>
              <w:t>c</w:t>
            </w:r>
            <w:r w:rsidRPr="00E970E1">
              <w:rPr>
                <w:rFonts w:cs="Arial"/>
                <w:color w:val="000000"/>
                <w:sz w:val="20"/>
                <w:szCs w:val="20"/>
              </w:rPr>
              <w:t xml:space="preserve">ommunity </w:t>
            </w:r>
            <w:r w:rsidR="00C76532">
              <w:rPr>
                <w:rFonts w:cs="Arial"/>
                <w:color w:val="000000"/>
                <w:sz w:val="20"/>
                <w:szCs w:val="20"/>
              </w:rPr>
              <w:t>h</w:t>
            </w:r>
            <w:r w:rsidRPr="00E970E1">
              <w:rPr>
                <w:rFonts w:cs="Arial"/>
                <w:color w:val="000000"/>
                <w:sz w:val="20"/>
                <w:szCs w:val="20"/>
              </w:rPr>
              <w:t xml:space="preserve">ealth </w:t>
            </w:r>
            <w:r w:rsidR="00C76532">
              <w:rPr>
                <w:rFonts w:cs="Arial"/>
                <w:color w:val="000000"/>
                <w:sz w:val="20"/>
                <w:szCs w:val="20"/>
              </w:rPr>
              <w:t>s</w:t>
            </w:r>
            <w:r w:rsidRPr="00E970E1">
              <w:rPr>
                <w:rFonts w:cs="Arial"/>
                <w:color w:val="000000"/>
                <w:sz w:val="20"/>
                <w:szCs w:val="20"/>
              </w:rPr>
              <w:t>ervices. NEPT only refers to road transport and must always be requested by a clinician.</w:t>
            </w:r>
          </w:p>
        </w:tc>
      </w:tr>
      <w:tr w:rsidR="00E970E1" w:rsidRPr="00E970E1" w14:paraId="68D63F41" w14:textId="77777777" w:rsidTr="00E970E1">
        <w:trPr>
          <w:trHeight w:val="510"/>
        </w:trPr>
        <w:tc>
          <w:tcPr>
            <w:tcW w:w="3340" w:type="dxa"/>
            <w:tcBorders>
              <w:top w:val="nil"/>
              <w:left w:val="nil"/>
              <w:bottom w:val="nil"/>
              <w:right w:val="nil"/>
            </w:tcBorders>
            <w:shd w:val="clear" w:color="auto" w:fill="auto"/>
            <w:hideMark/>
          </w:tcPr>
          <w:p w14:paraId="68D63F3F"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Non-patient products</w:t>
            </w:r>
          </w:p>
        </w:tc>
        <w:tc>
          <w:tcPr>
            <w:tcW w:w="6480" w:type="dxa"/>
            <w:tcBorders>
              <w:top w:val="nil"/>
              <w:left w:val="nil"/>
              <w:bottom w:val="nil"/>
              <w:right w:val="nil"/>
            </w:tcBorders>
            <w:shd w:val="clear" w:color="auto" w:fill="auto"/>
            <w:hideMark/>
          </w:tcPr>
          <w:p w14:paraId="68D63F40"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Non-patient products are all goods and service that the organisation may provide other than patient products.</w:t>
            </w:r>
          </w:p>
        </w:tc>
      </w:tr>
      <w:tr w:rsidR="00E970E1" w:rsidRPr="00E970E1" w14:paraId="68D63F44" w14:textId="77777777" w:rsidTr="00E970E1">
        <w:trPr>
          <w:trHeight w:val="510"/>
        </w:trPr>
        <w:tc>
          <w:tcPr>
            <w:tcW w:w="3340" w:type="dxa"/>
            <w:vMerge w:val="restart"/>
            <w:tcBorders>
              <w:top w:val="nil"/>
              <w:left w:val="nil"/>
              <w:bottom w:val="nil"/>
              <w:right w:val="nil"/>
            </w:tcBorders>
            <w:shd w:val="clear" w:color="auto" w:fill="auto"/>
            <w:hideMark/>
          </w:tcPr>
          <w:p w14:paraId="68D63F42"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Offsetting</w:t>
            </w:r>
          </w:p>
        </w:tc>
        <w:tc>
          <w:tcPr>
            <w:tcW w:w="6480" w:type="dxa"/>
            <w:tcBorders>
              <w:top w:val="nil"/>
              <w:left w:val="nil"/>
              <w:bottom w:val="nil"/>
              <w:right w:val="nil"/>
            </w:tcBorders>
            <w:shd w:val="clear" w:color="auto" w:fill="auto"/>
            <w:hideMark/>
          </w:tcPr>
          <w:p w14:paraId="68D63F43"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Offsetting means the reduction of an expense by income or vice versa so that only the net amount is reflected in product costing.</w:t>
            </w:r>
          </w:p>
        </w:tc>
      </w:tr>
      <w:tr w:rsidR="00E970E1" w:rsidRPr="00E970E1" w14:paraId="68D63F47" w14:textId="77777777" w:rsidTr="00E970E1">
        <w:trPr>
          <w:trHeight w:val="510"/>
        </w:trPr>
        <w:tc>
          <w:tcPr>
            <w:tcW w:w="3340" w:type="dxa"/>
            <w:vMerge/>
            <w:tcBorders>
              <w:top w:val="nil"/>
              <w:left w:val="nil"/>
              <w:bottom w:val="nil"/>
              <w:right w:val="nil"/>
            </w:tcBorders>
            <w:vAlign w:val="center"/>
            <w:hideMark/>
          </w:tcPr>
          <w:p w14:paraId="68D63F45"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46"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Income and expenses should only be offset where offsetting reflects the substance of the transaction.</w:t>
            </w:r>
          </w:p>
        </w:tc>
      </w:tr>
      <w:tr w:rsidR="00E970E1" w:rsidRPr="00E970E1" w14:paraId="68D63F4A" w14:textId="77777777" w:rsidTr="00E970E1">
        <w:trPr>
          <w:trHeight w:val="1530"/>
        </w:trPr>
        <w:tc>
          <w:tcPr>
            <w:tcW w:w="3340" w:type="dxa"/>
            <w:tcBorders>
              <w:top w:val="nil"/>
              <w:left w:val="nil"/>
              <w:bottom w:val="nil"/>
              <w:right w:val="nil"/>
            </w:tcBorders>
            <w:shd w:val="clear" w:color="auto" w:fill="auto"/>
            <w:hideMark/>
          </w:tcPr>
          <w:p w14:paraId="68D63F48"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Operating </w:t>
            </w:r>
            <w:r w:rsidR="002F7820">
              <w:rPr>
                <w:rFonts w:cs="Arial"/>
                <w:b/>
                <w:bCs/>
                <w:color w:val="000000"/>
                <w:sz w:val="20"/>
                <w:szCs w:val="20"/>
              </w:rPr>
              <w:t>r</w:t>
            </w:r>
            <w:r w:rsidR="002F7820" w:rsidRPr="00E970E1">
              <w:rPr>
                <w:rFonts w:cs="Arial"/>
                <w:b/>
                <w:bCs/>
                <w:color w:val="000000"/>
                <w:sz w:val="20"/>
                <w:szCs w:val="20"/>
              </w:rPr>
              <w:t>oom</w:t>
            </w:r>
          </w:p>
        </w:tc>
        <w:tc>
          <w:tcPr>
            <w:tcW w:w="6480" w:type="dxa"/>
            <w:tcBorders>
              <w:top w:val="nil"/>
              <w:left w:val="nil"/>
              <w:bottom w:val="nil"/>
              <w:right w:val="nil"/>
            </w:tcBorders>
            <w:shd w:val="clear" w:color="auto" w:fill="auto"/>
            <w:hideMark/>
          </w:tcPr>
          <w:p w14:paraId="68D63F49" w14:textId="690367E9"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Operating room refers to a designated area of a hospital where significant surgical procedures are carried out under surgical conditions under the supervision of qualified medical practitioners. The operating room must be equipped to deliver general anaesthesia and conform to the College of Anaesthetists and the Faculty of Intensive Care </w:t>
            </w:r>
            <w:r w:rsidR="00C76532">
              <w:rPr>
                <w:rFonts w:cs="Arial"/>
                <w:color w:val="000000"/>
                <w:sz w:val="20"/>
                <w:szCs w:val="20"/>
              </w:rPr>
              <w:t>S</w:t>
            </w:r>
            <w:r w:rsidRPr="00E970E1">
              <w:rPr>
                <w:rFonts w:cs="Arial"/>
                <w:color w:val="000000"/>
                <w:sz w:val="20"/>
                <w:szCs w:val="20"/>
              </w:rPr>
              <w:t>tandards. (METeOR ID</w:t>
            </w:r>
            <w:r w:rsidR="00C76532">
              <w:rPr>
                <w:rFonts w:cs="Arial"/>
                <w:color w:val="000000"/>
                <w:sz w:val="20"/>
                <w:szCs w:val="20"/>
              </w:rPr>
              <w:t>:</w:t>
            </w:r>
            <w:r w:rsidRPr="00E970E1">
              <w:rPr>
                <w:rFonts w:cs="Arial"/>
                <w:color w:val="000000"/>
                <w:sz w:val="20"/>
                <w:szCs w:val="20"/>
              </w:rPr>
              <w:t xml:space="preserve"> 584569).</w:t>
            </w:r>
          </w:p>
        </w:tc>
      </w:tr>
      <w:tr w:rsidR="00E970E1" w:rsidRPr="00E970E1" w14:paraId="68D63F4D" w14:textId="77777777" w:rsidTr="00E970E1">
        <w:trPr>
          <w:trHeight w:val="3060"/>
        </w:trPr>
        <w:tc>
          <w:tcPr>
            <w:tcW w:w="3340" w:type="dxa"/>
            <w:tcBorders>
              <w:top w:val="nil"/>
              <w:left w:val="nil"/>
              <w:bottom w:val="nil"/>
              <w:right w:val="nil"/>
            </w:tcBorders>
            <w:shd w:val="clear" w:color="auto" w:fill="auto"/>
            <w:hideMark/>
          </w:tcPr>
          <w:p w14:paraId="68D63F4B"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Organ/</w:t>
            </w:r>
            <w:r w:rsidR="002F7820">
              <w:rPr>
                <w:rFonts w:cs="Arial"/>
                <w:b/>
                <w:bCs/>
                <w:color w:val="000000"/>
                <w:sz w:val="20"/>
                <w:szCs w:val="20"/>
              </w:rPr>
              <w:t>t</w:t>
            </w:r>
            <w:r w:rsidR="002F7820" w:rsidRPr="00E970E1">
              <w:rPr>
                <w:rFonts w:cs="Arial"/>
                <w:b/>
                <w:bCs/>
                <w:color w:val="000000"/>
                <w:sz w:val="20"/>
                <w:szCs w:val="20"/>
              </w:rPr>
              <w:t xml:space="preserve">issue </w:t>
            </w:r>
            <w:r w:rsidR="002F7820">
              <w:rPr>
                <w:rFonts w:cs="Arial"/>
                <w:b/>
                <w:bCs/>
                <w:color w:val="000000"/>
                <w:sz w:val="20"/>
                <w:szCs w:val="20"/>
              </w:rPr>
              <w:t>r</w:t>
            </w:r>
            <w:r w:rsidR="002F7820" w:rsidRPr="00E970E1">
              <w:rPr>
                <w:rFonts w:cs="Arial"/>
                <w:b/>
                <w:bCs/>
                <w:color w:val="000000"/>
                <w:sz w:val="20"/>
                <w:szCs w:val="20"/>
              </w:rPr>
              <w:t xml:space="preserve">etrieval </w:t>
            </w:r>
            <w:r w:rsidR="002F7820">
              <w:rPr>
                <w:rFonts w:cs="Arial"/>
                <w:b/>
                <w:bCs/>
                <w:color w:val="000000"/>
                <w:sz w:val="20"/>
                <w:szCs w:val="20"/>
              </w:rPr>
              <w:t>t</w:t>
            </w:r>
            <w:r w:rsidRPr="00E970E1">
              <w:rPr>
                <w:rFonts w:cs="Arial"/>
                <w:b/>
                <w:bCs/>
                <w:color w:val="000000"/>
                <w:sz w:val="20"/>
                <w:szCs w:val="20"/>
              </w:rPr>
              <w:t>eam</w:t>
            </w:r>
          </w:p>
        </w:tc>
        <w:tc>
          <w:tcPr>
            <w:tcW w:w="6480" w:type="dxa"/>
            <w:tcBorders>
              <w:top w:val="nil"/>
              <w:left w:val="nil"/>
              <w:bottom w:val="nil"/>
              <w:right w:val="nil"/>
            </w:tcBorders>
            <w:shd w:val="clear" w:color="auto" w:fill="auto"/>
            <w:hideMark/>
          </w:tcPr>
          <w:p w14:paraId="68D63F4C" w14:textId="66FFC366" w:rsidR="00E970E1" w:rsidRPr="00E970E1" w:rsidRDefault="00E970E1" w:rsidP="00DA3A14">
            <w:pPr>
              <w:spacing w:before="0" w:after="0" w:line="240" w:lineRule="auto"/>
              <w:rPr>
                <w:rFonts w:cs="Arial"/>
                <w:color w:val="000000"/>
                <w:sz w:val="20"/>
                <w:szCs w:val="20"/>
              </w:rPr>
            </w:pPr>
            <w:r w:rsidRPr="00E970E1">
              <w:rPr>
                <w:rFonts w:cs="Arial"/>
                <w:color w:val="000000"/>
                <w:sz w:val="20"/>
                <w:szCs w:val="20"/>
              </w:rPr>
              <w:t xml:space="preserve">Retrieval Team refers to a group of hospital staff engaged in the procurement of human tissue and organs. They are generally situated within a </w:t>
            </w:r>
            <w:r w:rsidR="00DA3A14">
              <w:rPr>
                <w:rFonts w:cs="Arial"/>
                <w:color w:val="000000"/>
                <w:sz w:val="20"/>
                <w:szCs w:val="20"/>
              </w:rPr>
              <w:t xml:space="preserve">specific </w:t>
            </w:r>
            <w:r w:rsidRPr="00E970E1">
              <w:rPr>
                <w:rFonts w:cs="Arial"/>
                <w:color w:val="000000"/>
                <w:sz w:val="20"/>
                <w:szCs w:val="20"/>
              </w:rPr>
              <w:t>hospital and the core retrieval team generally comprises a surgeon, assistant surgeon, theatre technician to provide perfusionist services. They will also carry with them a range of medical and surgical supplies, drugs, perfusion solution and retrieval related goods and services. The retrieval team is generally supported by staff within the theatre setting to assist with the retrieval process. This staff support, including theatre nurses will be the retrievals own support team if the retrieval is undertaken within its own hospital (</w:t>
            </w:r>
            <w:r w:rsidR="00C76532">
              <w:rPr>
                <w:rFonts w:cs="Arial"/>
                <w:color w:val="000000"/>
                <w:sz w:val="20"/>
                <w:szCs w:val="20"/>
              </w:rPr>
              <w:t>h</w:t>
            </w:r>
            <w:r w:rsidRPr="00E970E1">
              <w:rPr>
                <w:rFonts w:cs="Arial"/>
                <w:color w:val="000000"/>
                <w:sz w:val="20"/>
                <w:szCs w:val="20"/>
              </w:rPr>
              <w:t>ospital A see below), or staff from the external hospital (</w:t>
            </w:r>
            <w:r w:rsidR="00C76532">
              <w:rPr>
                <w:rFonts w:cs="Arial"/>
                <w:color w:val="000000"/>
                <w:sz w:val="20"/>
                <w:szCs w:val="20"/>
              </w:rPr>
              <w:t>h</w:t>
            </w:r>
            <w:r w:rsidRPr="00E970E1">
              <w:rPr>
                <w:rFonts w:cs="Arial"/>
                <w:color w:val="000000"/>
                <w:sz w:val="20"/>
                <w:szCs w:val="20"/>
              </w:rPr>
              <w:t>ospital B see below), if the retrieval occurs externally.</w:t>
            </w:r>
          </w:p>
        </w:tc>
      </w:tr>
      <w:tr w:rsidR="00E970E1" w:rsidRPr="00E970E1" w14:paraId="68D63F50" w14:textId="77777777" w:rsidTr="00E970E1">
        <w:trPr>
          <w:trHeight w:val="510"/>
        </w:trPr>
        <w:tc>
          <w:tcPr>
            <w:tcW w:w="3340" w:type="dxa"/>
            <w:tcBorders>
              <w:top w:val="nil"/>
              <w:left w:val="nil"/>
              <w:bottom w:val="nil"/>
              <w:right w:val="nil"/>
            </w:tcBorders>
            <w:shd w:val="clear" w:color="auto" w:fill="auto"/>
            <w:hideMark/>
          </w:tcPr>
          <w:p w14:paraId="68D63F4E"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Other </w:t>
            </w:r>
            <w:r w:rsidR="002F7820">
              <w:rPr>
                <w:rFonts w:cs="Arial"/>
                <w:b/>
                <w:bCs/>
                <w:color w:val="000000"/>
                <w:sz w:val="20"/>
                <w:szCs w:val="20"/>
              </w:rPr>
              <w:t>n</w:t>
            </w:r>
            <w:r w:rsidR="002F7820" w:rsidRPr="00E970E1">
              <w:rPr>
                <w:rFonts w:cs="Arial"/>
                <w:b/>
                <w:bCs/>
                <w:color w:val="000000"/>
                <w:sz w:val="20"/>
                <w:szCs w:val="20"/>
              </w:rPr>
              <w:t>on</w:t>
            </w:r>
            <w:r w:rsidRPr="00E970E1">
              <w:rPr>
                <w:rFonts w:cs="Arial"/>
                <w:b/>
                <w:bCs/>
                <w:color w:val="000000"/>
                <w:sz w:val="20"/>
                <w:szCs w:val="20"/>
              </w:rPr>
              <w:t>-patient products</w:t>
            </w:r>
          </w:p>
        </w:tc>
        <w:tc>
          <w:tcPr>
            <w:tcW w:w="6480" w:type="dxa"/>
            <w:tcBorders>
              <w:top w:val="nil"/>
              <w:left w:val="nil"/>
              <w:bottom w:val="nil"/>
              <w:right w:val="nil"/>
            </w:tcBorders>
            <w:shd w:val="clear" w:color="auto" w:fill="auto"/>
            <w:hideMark/>
          </w:tcPr>
          <w:p w14:paraId="68D63F4F" w14:textId="22113686" w:rsidR="00E970E1" w:rsidRPr="00E970E1" w:rsidRDefault="00E970E1" w:rsidP="00FE2A9F">
            <w:pPr>
              <w:spacing w:before="0" w:after="0" w:line="240" w:lineRule="auto"/>
              <w:rPr>
                <w:rFonts w:cs="Arial"/>
                <w:color w:val="000000"/>
                <w:sz w:val="20"/>
                <w:szCs w:val="20"/>
              </w:rPr>
            </w:pPr>
            <w:r w:rsidRPr="00E970E1">
              <w:rPr>
                <w:rFonts w:cs="Arial"/>
                <w:color w:val="000000"/>
                <w:sz w:val="20"/>
                <w:szCs w:val="20"/>
              </w:rPr>
              <w:t xml:space="preserve">Other </w:t>
            </w:r>
            <w:r w:rsidR="00FE2A9F">
              <w:rPr>
                <w:rFonts w:cs="Arial"/>
                <w:color w:val="000000"/>
                <w:sz w:val="20"/>
                <w:szCs w:val="20"/>
              </w:rPr>
              <w:t>n</w:t>
            </w:r>
            <w:r w:rsidRPr="00E970E1">
              <w:rPr>
                <w:rFonts w:cs="Arial"/>
                <w:color w:val="000000"/>
                <w:sz w:val="20"/>
                <w:szCs w:val="20"/>
              </w:rPr>
              <w:t>on-patient products are not further sub-divided and may include, but not limited to, commercial services</w:t>
            </w:r>
          </w:p>
        </w:tc>
      </w:tr>
      <w:tr w:rsidR="00E970E1" w:rsidRPr="00E970E1" w14:paraId="68D63F53" w14:textId="77777777" w:rsidTr="00E970E1">
        <w:trPr>
          <w:trHeight w:val="300"/>
        </w:trPr>
        <w:tc>
          <w:tcPr>
            <w:tcW w:w="3340" w:type="dxa"/>
            <w:vMerge w:val="restart"/>
            <w:tcBorders>
              <w:top w:val="nil"/>
              <w:left w:val="nil"/>
              <w:bottom w:val="nil"/>
              <w:right w:val="nil"/>
            </w:tcBorders>
            <w:shd w:val="clear" w:color="auto" w:fill="auto"/>
            <w:hideMark/>
          </w:tcPr>
          <w:p w14:paraId="68D63F51"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Outreach and </w:t>
            </w:r>
            <w:r w:rsidR="002F7820">
              <w:rPr>
                <w:rFonts w:cs="Arial"/>
                <w:b/>
                <w:bCs/>
                <w:color w:val="000000"/>
                <w:sz w:val="20"/>
                <w:szCs w:val="20"/>
              </w:rPr>
              <w:t>s</w:t>
            </w:r>
            <w:r w:rsidR="002F7820" w:rsidRPr="00E970E1">
              <w:rPr>
                <w:rFonts w:cs="Arial"/>
                <w:b/>
                <w:bCs/>
                <w:color w:val="000000"/>
                <w:sz w:val="20"/>
                <w:szCs w:val="20"/>
              </w:rPr>
              <w:t xml:space="preserve">pecialist </w:t>
            </w:r>
            <w:r w:rsidR="002F7820">
              <w:rPr>
                <w:rFonts w:cs="Arial"/>
                <w:b/>
                <w:bCs/>
                <w:color w:val="000000"/>
                <w:sz w:val="20"/>
                <w:szCs w:val="20"/>
              </w:rPr>
              <w:t>s</w:t>
            </w:r>
            <w:r w:rsidR="002F7820" w:rsidRPr="00E970E1">
              <w:rPr>
                <w:rFonts w:cs="Arial"/>
                <w:b/>
                <w:bCs/>
                <w:color w:val="000000"/>
                <w:sz w:val="20"/>
                <w:szCs w:val="20"/>
              </w:rPr>
              <w:t>ervices</w:t>
            </w:r>
          </w:p>
        </w:tc>
        <w:tc>
          <w:tcPr>
            <w:tcW w:w="6480" w:type="dxa"/>
            <w:tcBorders>
              <w:top w:val="nil"/>
              <w:left w:val="nil"/>
              <w:bottom w:val="nil"/>
              <w:right w:val="nil"/>
            </w:tcBorders>
            <w:shd w:val="clear" w:color="auto" w:fill="auto"/>
            <w:hideMark/>
          </w:tcPr>
          <w:p w14:paraId="68D63F52" w14:textId="6F358DED" w:rsidR="00E970E1" w:rsidRPr="00E970E1" w:rsidRDefault="00422677" w:rsidP="00422677">
            <w:pPr>
              <w:spacing w:before="0" w:after="0" w:line="240" w:lineRule="auto"/>
              <w:rPr>
                <w:rFonts w:cs="Arial"/>
                <w:color w:val="000000"/>
                <w:sz w:val="20"/>
                <w:szCs w:val="20"/>
              </w:rPr>
            </w:pPr>
            <w:r>
              <w:rPr>
                <w:rFonts w:cs="Arial"/>
                <w:color w:val="000000"/>
                <w:sz w:val="20"/>
                <w:szCs w:val="20"/>
              </w:rPr>
              <w:t>Outreach and s</w:t>
            </w:r>
            <w:r w:rsidR="00E970E1" w:rsidRPr="00E970E1">
              <w:rPr>
                <w:rFonts w:cs="Arial"/>
                <w:color w:val="000000"/>
                <w:sz w:val="20"/>
                <w:szCs w:val="20"/>
              </w:rPr>
              <w:t xml:space="preserve">pecialist </w:t>
            </w:r>
            <w:r>
              <w:rPr>
                <w:rFonts w:cs="Arial"/>
                <w:color w:val="000000"/>
                <w:sz w:val="20"/>
                <w:szCs w:val="20"/>
              </w:rPr>
              <w:t>s</w:t>
            </w:r>
            <w:r w:rsidR="00E970E1" w:rsidRPr="00E970E1">
              <w:rPr>
                <w:rFonts w:cs="Arial"/>
                <w:color w:val="000000"/>
                <w:sz w:val="20"/>
                <w:szCs w:val="20"/>
              </w:rPr>
              <w:t>ervices are:</w:t>
            </w:r>
          </w:p>
        </w:tc>
      </w:tr>
      <w:tr w:rsidR="00E970E1" w:rsidRPr="00E970E1" w14:paraId="68D63F56" w14:textId="77777777" w:rsidTr="00E970E1">
        <w:trPr>
          <w:trHeight w:val="765"/>
        </w:trPr>
        <w:tc>
          <w:tcPr>
            <w:tcW w:w="3340" w:type="dxa"/>
            <w:vMerge/>
            <w:tcBorders>
              <w:top w:val="nil"/>
              <w:left w:val="nil"/>
              <w:bottom w:val="nil"/>
              <w:right w:val="nil"/>
            </w:tcBorders>
            <w:vAlign w:val="center"/>
            <w:hideMark/>
          </w:tcPr>
          <w:p w14:paraId="68D63F54"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35BB3DD" w14:textId="77777777" w:rsidR="00422677" w:rsidRDefault="00422677" w:rsidP="00FE2A9F">
            <w:pPr>
              <w:pStyle w:val="ListParagraph"/>
              <w:numPr>
                <w:ilvl w:val="0"/>
                <w:numId w:val="29"/>
              </w:numPr>
              <w:spacing w:before="0" w:after="0" w:line="240" w:lineRule="auto"/>
              <w:rPr>
                <w:rFonts w:cs="Arial"/>
                <w:color w:val="000000"/>
                <w:sz w:val="20"/>
                <w:szCs w:val="20"/>
              </w:rPr>
            </w:pPr>
            <w:r w:rsidRPr="00FE2A9F">
              <w:rPr>
                <w:rFonts w:cs="Arial"/>
                <w:color w:val="000000"/>
                <w:sz w:val="20"/>
                <w:szCs w:val="20"/>
              </w:rPr>
              <w:t>examination, consultation, treatment or other services provided as individual sessions to non-admitted patients through the outreach services of an establishment not defined elsewhere (METeOR: 270514)</w:t>
            </w:r>
          </w:p>
          <w:p w14:paraId="68D63F55" w14:textId="7CF81B4F" w:rsidR="00E970E1" w:rsidRPr="00FE2A9F" w:rsidRDefault="00E970E1" w:rsidP="00FE2A9F">
            <w:pPr>
              <w:pStyle w:val="ListParagraph"/>
              <w:numPr>
                <w:ilvl w:val="0"/>
                <w:numId w:val="29"/>
              </w:numPr>
              <w:spacing w:before="0" w:after="0" w:line="240" w:lineRule="auto"/>
              <w:rPr>
                <w:rFonts w:cs="Arial"/>
                <w:color w:val="000000"/>
                <w:sz w:val="20"/>
                <w:szCs w:val="20"/>
              </w:rPr>
            </w:pPr>
            <w:r w:rsidRPr="00FE2A9F">
              <w:rPr>
                <w:rFonts w:cs="Arial"/>
                <w:color w:val="000000"/>
                <w:sz w:val="20"/>
                <w:szCs w:val="20"/>
              </w:rPr>
              <w:lastRenderedPageBreak/>
              <w:t>hospital-based outreach services events relate to treatment of patients by hospital staff in a location that is not part of the hospital campus (such as in the patient's home or</w:t>
            </w:r>
            <w:r w:rsidR="00422677">
              <w:rPr>
                <w:rFonts w:cs="Arial"/>
                <w:color w:val="000000"/>
                <w:sz w:val="20"/>
                <w:szCs w:val="20"/>
              </w:rPr>
              <w:t xml:space="preserve"> place of work (METeOR: 327172)</w:t>
            </w:r>
            <w:r w:rsidR="00C76532">
              <w:rPr>
                <w:rFonts w:cs="Arial"/>
                <w:color w:val="000000"/>
                <w:sz w:val="20"/>
                <w:szCs w:val="20"/>
              </w:rPr>
              <w:t>.</w:t>
            </w:r>
          </w:p>
        </w:tc>
      </w:tr>
      <w:tr w:rsidR="00E970E1" w:rsidRPr="00E970E1" w14:paraId="68D63F59" w14:textId="77777777" w:rsidTr="00E970E1">
        <w:trPr>
          <w:trHeight w:val="765"/>
        </w:trPr>
        <w:tc>
          <w:tcPr>
            <w:tcW w:w="3340" w:type="dxa"/>
            <w:vMerge/>
            <w:tcBorders>
              <w:top w:val="nil"/>
              <w:left w:val="nil"/>
              <w:bottom w:val="nil"/>
              <w:right w:val="nil"/>
            </w:tcBorders>
            <w:vAlign w:val="center"/>
            <w:hideMark/>
          </w:tcPr>
          <w:p w14:paraId="68D63F57"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58" w14:textId="6329D5E5" w:rsidR="00E970E1" w:rsidRPr="00422677" w:rsidRDefault="00E970E1" w:rsidP="00422677">
            <w:pPr>
              <w:spacing w:before="0" w:after="0" w:line="240" w:lineRule="auto"/>
              <w:rPr>
                <w:rFonts w:cs="Arial"/>
                <w:color w:val="000000"/>
                <w:sz w:val="20"/>
                <w:szCs w:val="20"/>
              </w:rPr>
            </w:pPr>
          </w:p>
        </w:tc>
      </w:tr>
      <w:tr w:rsidR="00E970E1" w:rsidRPr="00E970E1" w14:paraId="68D63F5C" w14:textId="77777777" w:rsidTr="00E970E1">
        <w:trPr>
          <w:trHeight w:val="1020"/>
        </w:trPr>
        <w:tc>
          <w:tcPr>
            <w:tcW w:w="3340" w:type="dxa"/>
            <w:tcBorders>
              <w:top w:val="nil"/>
              <w:left w:val="nil"/>
              <w:bottom w:val="nil"/>
              <w:right w:val="nil"/>
            </w:tcBorders>
            <w:shd w:val="clear" w:color="auto" w:fill="auto"/>
            <w:hideMark/>
          </w:tcPr>
          <w:p w14:paraId="68D63F5A"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Overhead cost centre</w:t>
            </w:r>
          </w:p>
        </w:tc>
        <w:tc>
          <w:tcPr>
            <w:tcW w:w="6480" w:type="dxa"/>
            <w:tcBorders>
              <w:top w:val="nil"/>
              <w:left w:val="nil"/>
              <w:bottom w:val="nil"/>
              <w:right w:val="nil"/>
            </w:tcBorders>
            <w:shd w:val="clear" w:color="auto" w:fill="auto"/>
            <w:hideMark/>
          </w:tcPr>
          <w:p w14:paraId="68D63F5B" w14:textId="2DDA0822"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An overhead cost centre is a collection of costs that are not relat</w:t>
            </w:r>
            <w:r w:rsidR="004844AB">
              <w:rPr>
                <w:rFonts w:cs="Arial"/>
                <w:color w:val="000000"/>
                <w:sz w:val="20"/>
                <w:szCs w:val="20"/>
              </w:rPr>
              <w:t>ed directly to the delivery of p</w:t>
            </w:r>
            <w:r w:rsidRPr="00E970E1">
              <w:rPr>
                <w:rFonts w:cs="Arial"/>
                <w:color w:val="000000"/>
                <w:sz w:val="20"/>
                <w:szCs w:val="20"/>
              </w:rPr>
              <w:t>roducts but which are required for the delivery of the service and therefore need to be allocated to final cost centres.</w:t>
            </w:r>
          </w:p>
        </w:tc>
      </w:tr>
      <w:tr w:rsidR="00E970E1" w:rsidRPr="00E970E1" w14:paraId="68D63F5F" w14:textId="77777777" w:rsidTr="00E970E1">
        <w:trPr>
          <w:trHeight w:val="1020"/>
        </w:trPr>
        <w:tc>
          <w:tcPr>
            <w:tcW w:w="3340" w:type="dxa"/>
            <w:tcBorders>
              <w:top w:val="nil"/>
              <w:left w:val="nil"/>
              <w:bottom w:val="nil"/>
              <w:right w:val="nil"/>
            </w:tcBorders>
            <w:shd w:val="clear" w:color="auto" w:fill="auto"/>
            <w:hideMark/>
          </w:tcPr>
          <w:p w14:paraId="68D63F5D"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Overhead expenses</w:t>
            </w:r>
          </w:p>
        </w:tc>
        <w:tc>
          <w:tcPr>
            <w:tcW w:w="6480" w:type="dxa"/>
            <w:tcBorders>
              <w:top w:val="nil"/>
              <w:left w:val="nil"/>
              <w:bottom w:val="nil"/>
              <w:right w:val="nil"/>
            </w:tcBorders>
            <w:shd w:val="clear" w:color="auto" w:fill="auto"/>
            <w:hideMark/>
          </w:tcPr>
          <w:p w14:paraId="68D63F5E" w14:textId="74F2BF81" w:rsidR="00E970E1" w:rsidRPr="00E970E1" w:rsidRDefault="00E970E1" w:rsidP="004844AB">
            <w:pPr>
              <w:spacing w:before="0" w:after="0" w:line="240" w:lineRule="auto"/>
              <w:rPr>
                <w:rFonts w:cs="Arial"/>
                <w:color w:val="000000"/>
                <w:sz w:val="20"/>
                <w:szCs w:val="20"/>
              </w:rPr>
            </w:pPr>
            <w:r w:rsidRPr="00E970E1">
              <w:rPr>
                <w:rFonts w:cs="Arial"/>
                <w:color w:val="000000"/>
                <w:sz w:val="20"/>
                <w:szCs w:val="20"/>
              </w:rPr>
              <w:t>Overhead expenses refer to expenses of services within the hospital that generally relate to organisational services that are not directly involved in patient care, such as the functions o</w:t>
            </w:r>
            <w:r w:rsidR="004844AB">
              <w:rPr>
                <w:rFonts w:cs="Arial"/>
                <w:color w:val="000000"/>
                <w:sz w:val="20"/>
                <w:szCs w:val="20"/>
              </w:rPr>
              <w:t xml:space="preserve">f the </w:t>
            </w:r>
            <w:r w:rsidR="00C76532">
              <w:rPr>
                <w:rFonts w:cs="Arial"/>
                <w:color w:val="000000"/>
                <w:sz w:val="20"/>
                <w:szCs w:val="20"/>
              </w:rPr>
              <w:t>c</w:t>
            </w:r>
            <w:r w:rsidR="004844AB">
              <w:rPr>
                <w:rFonts w:cs="Arial"/>
                <w:color w:val="000000"/>
                <w:sz w:val="20"/>
                <w:szCs w:val="20"/>
              </w:rPr>
              <w:t xml:space="preserve">hief </w:t>
            </w:r>
            <w:r w:rsidR="00C76532">
              <w:rPr>
                <w:rFonts w:cs="Arial"/>
                <w:color w:val="000000"/>
                <w:sz w:val="20"/>
                <w:szCs w:val="20"/>
              </w:rPr>
              <w:t>e</w:t>
            </w:r>
            <w:r w:rsidR="004844AB">
              <w:rPr>
                <w:rFonts w:cs="Arial"/>
                <w:color w:val="000000"/>
                <w:sz w:val="20"/>
                <w:szCs w:val="20"/>
              </w:rPr>
              <w:t xml:space="preserve">xecutive </w:t>
            </w:r>
            <w:r w:rsidR="00C76532">
              <w:rPr>
                <w:rFonts w:cs="Arial"/>
                <w:color w:val="000000"/>
                <w:sz w:val="20"/>
                <w:szCs w:val="20"/>
              </w:rPr>
              <w:t>o</w:t>
            </w:r>
            <w:r w:rsidR="004844AB">
              <w:rPr>
                <w:rFonts w:cs="Arial"/>
                <w:color w:val="000000"/>
                <w:sz w:val="20"/>
                <w:szCs w:val="20"/>
              </w:rPr>
              <w:t>fficer, d</w:t>
            </w:r>
            <w:r w:rsidRPr="00E970E1">
              <w:rPr>
                <w:rFonts w:cs="Arial"/>
                <w:color w:val="000000"/>
                <w:sz w:val="20"/>
                <w:szCs w:val="20"/>
              </w:rPr>
              <w:t xml:space="preserve">epartment of </w:t>
            </w:r>
            <w:r w:rsidR="004844AB">
              <w:rPr>
                <w:rFonts w:cs="Arial"/>
                <w:color w:val="000000"/>
                <w:sz w:val="20"/>
                <w:szCs w:val="20"/>
              </w:rPr>
              <w:t>f</w:t>
            </w:r>
            <w:r w:rsidRPr="00E970E1">
              <w:rPr>
                <w:rFonts w:cs="Arial"/>
                <w:color w:val="000000"/>
                <w:sz w:val="20"/>
                <w:szCs w:val="20"/>
              </w:rPr>
              <w:t xml:space="preserve">inance and </w:t>
            </w:r>
            <w:r w:rsidR="004844AB">
              <w:rPr>
                <w:rFonts w:cs="Arial"/>
                <w:color w:val="000000"/>
                <w:sz w:val="20"/>
                <w:szCs w:val="20"/>
              </w:rPr>
              <w:t>p</w:t>
            </w:r>
            <w:r w:rsidRPr="00E970E1">
              <w:rPr>
                <w:rFonts w:cs="Arial"/>
                <w:color w:val="000000"/>
                <w:sz w:val="20"/>
                <w:szCs w:val="20"/>
              </w:rPr>
              <w:t xml:space="preserve">atient </w:t>
            </w:r>
            <w:r w:rsidR="004844AB">
              <w:rPr>
                <w:rFonts w:cs="Arial"/>
                <w:color w:val="000000"/>
                <w:sz w:val="20"/>
                <w:szCs w:val="20"/>
              </w:rPr>
              <w:t>l</w:t>
            </w:r>
            <w:r w:rsidRPr="00E970E1">
              <w:rPr>
                <w:rFonts w:cs="Arial"/>
                <w:color w:val="000000"/>
                <w:sz w:val="20"/>
                <w:szCs w:val="20"/>
              </w:rPr>
              <w:t xml:space="preserve">evel </w:t>
            </w:r>
            <w:r w:rsidR="004844AB">
              <w:rPr>
                <w:rFonts w:cs="Arial"/>
                <w:color w:val="000000"/>
                <w:sz w:val="20"/>
                <w:szCs w:val="20"/>
              </w:rPr>
              <w:t>c</w:t>
            </w:r>
            <w:r w:rsidRPr="00E970E1">
              <w:rPr>
                <w:rFonts w:cs="Arial"/>
                <w:color w:val="000000"/>
                <w:sz w:val="20"/>
                <w:szCs w:val="20"/>
              </w:rPr>
              <w:t>osting.</w:t>
            </w:r>
          </w:p>
        </w:tc>
      </w:tr>
      <w:tr w:rsidR="00E970E1" w:rsidRPr="00E970E1" w14:paraId="68D63F62" w14:textId="77777777" w:rsidTr="00E970E1">
        <w:trPr>
          <w:trHeight w:val="2295"/>
        </w:trPr>
        <w:tc>
          <w:tcPr>
            <w:tcW w:w="3340" w:type="dxa"/>
            <w:tcBorders>
              <w:top w:val="nil"/>
              <w:left w:val="nil"/>
              <w:bottom w:val="nil"/>
              <w:right w:val="nil"/>
            </w:tcBorders>
            <w:shd w:val="clear" w:color="auto" w:fill="auto"/>
            <w:hideMark/>
          </w:tcPr>
          <w:p w14:paraId="68D63F60"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Pathology </w:t>
            </w:r>
            <w:r w:rsidR="002F7820">
              <w:rPr>
                <w:rFonts w:cs="Arial"/>
                <w:b/>
                <w:bCs/>
                <w:color w:val="000000"/>
                <w:sz w:val="20"/>
                <w:szCs w:val="20"/>
              </w:rPr>
              <w:t>s</w:t>
            </w:r>
            <w:r w:rsidRPr="00E970E1">
              <w:rPr>
                <w:rFonts w:cs="Arial"/>
                <w:b/>
                <w:bCs/>
                <w:color w:val="000000"/>
                <w:sz w:val="20"/>
                <w:szCs w:val="20"/>
              </w:rPr>
              <w:t>ervices</w:t>
            </w:r>
          </w:p>
        </w:tc>
        <w:tc>
          <w:tcPr>
            <w:tcW w:w="6480" w:type="dxa"/>
            <w:tcBorders>
              <w:top w:val="nil"/>
              <w:left w:val="nil"/>
              <w:bottom w:val="nil"/>
              <w:right w:val="nil"/>
            </w:tcBorders>
            <w:shd w:val="clear" w:color="auto" w:fill="auto"/>
            <w:hideMark/>
          </w:tcPr>
          <w:p w14:paraId="68D63F61" w14:textId="4B410A5B" w:rsidR="00E970E1" w:rsidRPr="00E970E1" w:rsidRDefault="00E970E1">
            <w:pPr>
              <w:spacing w:before="0" w:after="0" w:line="240" w:lineRule="auto"/>
              <w:rPr>
                <w:rFonts w:cs="Arial"/>
                <w:color w:val="000000"/>
                <w:sz w:val="20"/>
                <w:szCs w:val="20"/>
              </w:rPr>
            </w:pPr>
            <w:r w:rsidRPr="00E970E1">
              <w:rPr>
                <w:rFonts w:cs="Arial"/>
                <w:color w:val="000000"/>
                <w:sz w:val="20"/>
                <w:szCs w:val="20"/>
              </w:rPr>
              <w:t>Pathology services are goods and services used in the provision of a pathology service and consumables (</w:t>
            </w:r>
            <w:r w:rsidR="00C76532">
              <w:rPr>
                <w:rFonts w:cs="Arial"/>
                <w:color w:val="000000"/>
                <w:sz w:val="20"/>
                <w:szCs w:val="20"/>
              </w:rPr>
              <w:t>such as</w:t>
            </w:r>
            <w:r w:rsidRPr="00E970E1">
              <w:rPr>
                <w:rFonts w:cs="Arial"/>
                <w:color w:val="000000"/>
                <w:sz w:val="20"/>
                <w:szCs w:val="20"/>
              </w:rPr>
              <w:t xml:space="preserve"> reagents, stains and calibration products) or the actual cost as billed by a provider.</w:t>
            </w:r>
            <w:r w:rsidR="00B63007">
              <w:rPr>
                <w:rFonts w:cs="Arial"/>
                <w:color w:val="000000"/>
                <w:sz w:val="20"/>
                <w:szCs w:val="20"/>
              </w:rPr>
              <w:t xml:space="preserve"> </w:t>
            </w:r>
            <w:r w:rsidRPr="00E970E1">
              <w:rPr>
                <w:rFonts w:cs="Arial"/>
                <w:color w:val="000000"/>
                <w:sz w:val="20"/>
                <w:szCs w:val="20"/>
              </w:rPr>
              <w:t xml:space="preserve">Pathology functions are generally spread across three functional areas including diagnostic, </w:t>
            </w:r>
            <w:r w:rsidR="009B2BDB">
              <w:rPr>
                <w:rFonts w:cs="Arial"/>
                <w:color w:val="000000"/>
                <w:sz w:val="20"/>
                <w:szCs w:val="20"/>
              </w:rPr>
              <w:t>b</w:t>
            </w:r>
            <w:r w:rsidRPr="00E970E1">
              <w:rPr>
                <w:rFonts w:cs="Arial"/>
                <w:color w:val="000000"/>
                <w:sz w:val="20"/>
                <w:szCs w:val="20"/>
              </w:rPr>
              <w:t>lood products and management of adverse drug reactions. Whilst most pathology functions are performed within a centralised laboratory setting, there may be mobile resources which attend to a given patient as required in any setting. Hence, the functions may not be restrictive to a particular location or setting</w:t>
            </w:r>
            <w:r w:rsidR="00AB2E24">
              <w:rPr>
                <w:rFonts w:cs="Arial"/>
                <w:color w:val="000000"/>
                <w:sz w:val="20"/>
                <w:szCs w:val="20"/>
              </w:rPr>
              <w:t>.</w:t>
            </w:r>
          </w:p>
        </w:tc>
      </w:tr>
      <w:tr w:rsidR="00E970E1" w:rsidRPr="00E970E1" w14:paraId="68D63F65" w14:textId="77777777" w:rsidTr="00E970E1">
        <w:trPr>
          <w:trHeight w:val="300"/>
        </w:trPr>
        <w:tc>
          <w:tcPr>
            <w:tcW w:w="3340" w:type="dxa"/>
            <w:vMerge w:val="restart"/>
            <w:tcBorders>
              <w:top w:val="nil"/>
              <w:left w:val="nil"/>
              <w:bottom w:val="nil"/>
              <w:right w:val="nil"/>
            </w:tcBorders>
            <w:shd w:val="clear" w:color="auto" w:fill="auto"/>
            <w:hideMark/>
          </w:tcPr>
          <w:p w14:paraId="68D63F63"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Patient products</w:t>
            </w:r>
          </w:p>
        </w:tc>
        <w:tc>
          <w:tcPr>
            <w:tcW w:w="6480" w:type="dxa"/>
            <w:tcBorders>
              <w:top w:val="nil"/>
              <w:left w:val="nil"/>
              <w:bottom w:val="nil"/>
              <w:right w:val="nil"/>
            </w:tcBorders>
            <w:shd w:val="clear" w:color="auto" w:fill="auto"/>
            <w:hideMark/>
          </w:tcPr>
          <w:p w14:paraId="68D63F64"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Patient products are either:</w:t>
            </w:r>
          </w:p>
        </w:tc>
      </w:tr>
      <w:tr w:rsidR="00E970E1" w:rsidRPr="00E970E1" w14:paraId="68D63F68" w14:textId="77777777" w:rsidTr="00E970E1">
        <w:trPr>
          <w:trHeight w:val="300"/>
        </w:trPr>
        <w:tc>
          <w:tcPr>
            <w:tcW w:w="3340" w:type="dxa"/>
            <w:vMerge/>
            <w:tcBorders>
              <w:top w:val="nil"/>
              <w:left w:val="nil"/>
              <w:bottom w:val="nil"/>
              <w:right w:val="nil"/>
            </w:tcBorders>
            <w:vAlign w:val="center"/>
            <w:hideMark/>
          </w:tcPr>
          <w:p w14:paraId="68D63F66"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67" w14:textId="77777777" w:rsidR="00E970E1" w:rsidRPr="004844AB" w:rsidRDefault="00E970E1" w:rsidP="004844AB">
            <w:pPr>
              <w:pStyle w:val="ListParagraph"/>
              <w:numPr>
                <w:ilvl w:val="0"/>
                <w:numId w:val="28"/>
              </w:numPr>
              <w:spacing w:before="0" w:after="0" w:line="240" w:lineRule="auto"/>
              <w:rPr>
                <w:rFonts w:cs="Arial"/>
                <w:color w:val="000000"/>
                <w:sz w:val="20"/>
                <w:szCs w:val="20"/>
              </w:rPr>
            </w:pPr>
            <w:r w:rsidRPr="004844AB">
              <w:rPr>
                <w:rFonts w:cs="Arial"/>
                <w:color w:val="000000"/>
                <w:sz w:val="20"/>
                <w:szCs w:val="20"/>
              </w:rPr>
              <w:t>health services provided to someone for the purpose of:</w:t>
            </w:r>
          </w:p>
        </w:tc>
      </w:tr>
      <w:tr w:rsidR="00E970E1" w:rsidRPr="00E970E1" w14:paraId="68D63F6B" w14:textId="77777777" w:rsidTr="00E970E1">
        <w:trPr>
          <w:trHeight w:val="510"/>
        </w:trPr>
        <w:tc>
          <w:tcPr>
            <w:tcW w:w="3340" w:type="dxa"/>
            <w:vMerge/>
            <w:tcBorders>
              <w:top w:val="nil"/>
              <w:left w:val="nil"/>
              <w:bottom w:val="nil"/>
              <w:right w:val="nil"/>
            </w:tcBorders>
            <w:vAlign w:val="center"/>
            <w:hideMark/>
          </w:tcPr>
          <w:p w14:paraId="68D63F69"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6A" w14:textId="5A445B43" w:rsidR="00E970E1" w:rsidRPr="004844AB" w:rsidRDefault="004844AB" w:rsidP="004844AB">
            <w:pPr>
              <w:pStyle w:val="ListParagraph"/>
              <w:numPr>
                <w:ilvl w:val="0"/>
                <w:numId w:val="28"/>
              </w:numPr>
              <w:spacing w:before="0" w:after="0" w:line="240" w:lineRule="auto"/>
              <w:rPr>
                <w:rFonts w:cs="Arial"/>
                <w:color w:val="000000"/>
                <w:sz w:val="20"/>
                <w:szCs w:val="20"/>
              </w:rPr>
            </w:pPr>
            <w:r>
              <w:rPr>
                <w:rFonts w:cs="Arial"/>
                <w:color w:val="000000"/>
                <w:sz w:val="20"/>
                <w:szCs w:val="20"/>
              </w:rPr>
              <w:t>a</w:t>
            </w:r>
            <w:r w:rsidR="00E970E1" w:rsidRPr="004844AB">
              <w:rPr>
                <w:rFonts w:cs="Arial"/>
                <w:color w:val="000000"/>
                <w:sz w:val="20"/>
                <w:szCs w:val="20"/>
              </w:rPr>
              <w:t>ssessing, recording, maintaining or improving the physical, mental or emotional health, comfort o</w:t>
            </w:r>
            <w:r>
              <w:rPr>
                <w:rFonts w:cs="Arial"/>
                <w:color w:val="000000"/>
                <w:sz w:val="20"/>
                <w:szCs w:val="20"/>
              </w:rPr>
              <w:t>r wellbeing of the service user</w:t>
            </w:r>
          </w:p>
        </w:tc>
      </w:tr>
      <w:tr w:rsidR="00E970E1" w:rsidRPr="00E970E1" w14:paraId="68D63F6E" w14:textId="77777777" w:rsidTr="00E970E1">
        <w:trPr>
          <w:trHeight w:val="510"/>
        </w:trPr>
        <w:tc>
          <w:tcPr>
            <w:tcW w:w="3340" w:type="dxa"/>
            <w:vMerge/>
            <w:tcBorders>
              <w:top w:val="nil"/>
              <w:left w:val="nil"/>
              <w:bottom w:val="nil"/>
              <w:right w:val="nil"/>
            </w:tcBorders>
            <w:vAlign w:val="center"/>
            <w:hideMark/>
          </w:tcPr>
          <w:p w14:paraId="68D63F6C"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6D" w14:textId="69A2BCE1" w:rsidR="00E970E1" w:rsidRPr="004844AB" w:rsidRDefault="004844AB" w:rsidP="004844AB">
            <w:pPr>
              <w:pStyle w:val="ListParagraph"/>
              <w:numPr>
                <w:ilvl w:val="0"/>
                <w:numId w:val="28"/>
              </w:numPr>
              <w:spacing w:before="0" w:after="0" w:line="240" w:lineRule="auto"/>
              <w:rPr>
                <w:rFonts w:cs="Arial"/>
                <w:color w:val="000000"/>
                <w:sz w:val="20"/>
                <w:szCs w:val="20"/>
              </w:rPr>
            </w:pPr>
            <w:r>
              <w:rPr>
                <w:rFonts w:cs="Arial"/>
                <w:color w:val="000000"/>
                <w:sz w:val="20"/>
                <w:szCs w:val="20"/>
              </w:rPr>
              <w:t>d</w:t>
            </w:r>
            <w:r w:rsidR="00E970E1" w:rsidRPr="004844AB">
              <w:rPr>
                <w:rFonts w:cs="Arial"/>
                <w:color w:val="000000"/>
                <w:sz w:val="20"/>
                <w:szCs w:val="20"/>
              </w:rPr>
              <w:t xml:space="preserve">iagnosing or treating an illness, disability, disorder or </w:t>
            </w:r>
            <w:r>
              <w:rPr>
                <w:rFonts w:cs="Arial"/>
                <w:color w:val="000000"/>
                <w:sz w:val="20"/>
                <w:szCs w:val="20"/>
              </w:rPr>
              <w:t>condition of the service use</w:t>
            </w:r>
          </w:p>
        </w:tc>
      </w:tr>
      <w:tr w:rsidR="00E970E1" w:rsidRPr="00E970E1" w14:paraId="68D63F71" w14:textId="77777777" w:rsidTr="00E970E1">
        <w:trPr>
          <w:trHeight w:val="510"/>
        </w:trPr>
        <w:tc>
          <w:tcPr>
            <w:tcW w:w="3340" w:type="dxa"/>
            <w:vMerge/>
            <w:tcBorders>
              <w:top w:val="nil"/>
              <w:left w:val="nil"/>
              <w:bottom w:val="nil"/>
              <w:right w:val="nil"/>
            </w:tcBorders>
            <w:vAlign w:val="center"/>
            <w:hideMark/>
          </w:tcPr>
          <w:p w14:paraId="68D63F6F"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70" w14:textId="77777777" w:rsidR="00E970E1" w:rsidRPr="004844AB" w:rsidRDefault="00E970E1" w:rsidP="004844AB">
            <w:pPr>
              <w:pStyle w:val="ListParagraph"/>
              <w:numPr>
                <w:ilvl w:val="0"/>
                <w:numId w:val="28"/>
              </w:numPr>
              <w:spacing w:before="0" w:after="0" w:line="240" w:lineRule="auto"/>
              <w:rPr>
                <w:rFonts w:cs="Arial"/>
                <w:color w:val="000000"/>
                <w:sz w:val="20"/>
                <w:szCs w:val="20"/>
              </w:rPr>
            </w:pPr>
            <w:r w:rsidRPr="004844AB">
              <w:rPr>
                <w:rFonts w:cs="Arial"/>
                <w:color w:val="000000"/>
                <w:sz w:val="20"/>
                <w:szCs w:val="20"/>
              </w:rPr>
              <w:t>services provided by health professionals and non-professionals under their supervision to a patient.</w:t>
            </w:r>
          </w:p>
        </w:tc>
      </w:tr>
      <w:tr w:rsidR="00E970E1" w:rsidRPr="00E970E1" w14:paraId="68D63F74" w14:textId="77777777" w:rsidTr="00E970E1">
        <w:trPr>
          <w:trHeight w:val="1530"/>
        </w:trPr>
        <w:tc>
          <w:tcPr>
            <w:tcW w:w="3340" w:type="dxa"/>
            <w:tcBorders>
              <w:top w:val="nil"/>
              <w:left w:val="nil"/>
              <w:bottom w:val="nil"/>
              <w:right w:val="nil"/>
            </w:tcBorders>
            <w:shd w:val="clear" w:color="auto" w:fill="auto"/>
            <w:hideMark/>
          </w:tcPr>
          <w:p w14:paraId="68D63F72"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Pharmaceuticals</w:t>
            </w:r>
          </w:p>
        </w:tc>
        <w:tc>
          <w:tcPr>
            <w:tcW w:w="6480" w:type="dxa"/>
            <w:tcBorders>
              <w:top w:val="nil"/>
              <w:left w:val="nil"/>
              <w:bottom w:val="nil"/>
              <w:right w:val="nil"/>
            </w:tcBorders>
            <w:shd w:val="clear" w:color="auto" w:fill="auto"/>
            <w:hideMark/>
          </w:tcPr>
          <w:p w14:paraId="68D63F73" w14:textId="605263EB"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Pharmacy costs are goods and services used in the provision of a pharmaceutical service and consumables or the actual cost as billed by a provider. They include the purchase, production, distribution, supply and storage of drug products and clinical pharmacy services of both </w:t>
            </w:r>
            <w:r w:rsidR="00C76532">
              <w:rPr>
                <w:rFonts w:cs="Arial"/>
                <w:color w:val="000000"/>
                <w:sz w:val="20"/>
                <w:szCs w:val="20"/>
              </w:rPr>
              <w:t>Pharmaceutical Benefits Scheme (</w:t>
            </w:r>
            <w:r w:rsidRPr="00E970E1">
              <w:rPr>
                <w:rFonts w:cs="Arial"/>
                <w:color w:val="000000"/>
                <w:sz w:val="20"/>
                <w:szCs w:val="20"/>
              </w:rPr>
              <w:t>PBS</w:t>
            </w:r>
            <w:r w:rsidR="00C76532">
              <w:rPr>
                <w:rFonts w:cs="Arial"/>
                <w:color w:val="000000"/>
                <w:sz w:val="20"/>
                <w:szCs w:val="20"/>
              </w:rPr>
              <w:t>)</w:t>
            </w:r>
            <w:r w:rsidRPr="00E970E1">
              <w:rPr>
                <w:rFonts w:cs="Arial"/>
                <w:color w:val="000000"/>
                <w:sz w:val="20"/>
                <w:szCs w:val="20"/>
              </w:rPr>
              <w:t xml:space="preserve"> reimbursed pharmaceuticals and PBS non–reimbursed pharmaceuticals.</w:t>
            </w:r>
          </w:p>
        </w:tc>
      </w:tr>
      <w:tr w:rsidR="00E970E1" w:rsidRPr="00E970E1" w14:paraId="68D63F77" w14:textId="77777777" w:rsidTr="00E970E1">
        <w:trPr>
          <w:trHeight w:val="1020"/>
        </w:trPr>
        <w:tc>
          <w:tcPr>
            <w:tcW w:w="3340" w:type="dxa"/>
            <w:vMerge w:val="restart"/>
            <w:tcBorders>
              <w:top w:val="nil"/>
              <w:left w:val="nil"/>
              <w:bottom w:val="nil"/>
              <w:right w:val="nil"/>
            </w:tcBorders>
            <w:shd w:val="clear" w:color="auto" w:fill="auto"/>
            <w:hideMark/>
          </w:tcPr>
          <w:p w14:paraId="68D63F75"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Posthumous </w:t>
            </w:r>
            <w:r w:rsidR="002F7820">
              <w:rPr>
                <w:rFonts w:cs="Arial"/>
                <w:b/>
                <w:bCs/>
                <w:color w:val="000000"/>
                <w:sz w:val="20"/>
                <w:szCs w:val="20"/>
              </w:rPr>
              <w:t>o</w:t>
            </w:r>
            <w:r w:rsidR="002F7820" w:rsidRPr="00E970E1">
              <w:rPr>
                <w:rFonts w:cs="Arial"/>
                <w:b/>
                <w:bCs/>
                <w:color w:val="000000"/>
                <w:sz w:val="20"/>
                <w:szCs w:val="20"/>
              </w:rPr>
              <w:t xml:space="preserve">rgan </w:t>
            </w:r>
            <w:r w:rsidR="002F7820">
              <w:rPr>
                <w:rFonts w:cs="Arial"/>
                <w:b/>
                <w:bCs/>
                <w:color w:val="000000"/>
                <w:sz w:val="20"/>
                <w:szCs w:val="20"/>
              </w:rPr>
              <w:t>p</w:t>
            </w:r>
            <w:r w:rsidR="002F7820" w:rsidRPr="00E970E1">
              <w:rPr>
                <w:rFonts w:cs="Arial"/>
                <w:b/>
                <w:bCs/>
                <w:color w:val="000000"/>
                <w:sz w:val="20"/>
                <w:szCs w:val="20"/>
              </w:rPr>
              <w:t>rocurement</w:t>
            </w:r>
          </w:p>
        </w:tc>
        <w:tc>
          <w:tcPr>
            <w:tcW w:w="6480" w:type="dxa"/>
            <w:tcBorders>
              <w:top w:val="nil"/>
              <w:left w:val="nil"/>
              <w:bottom w:val="nil"/>
              <w:right w:val="nil"/>
            </w:tcBorders>
            <w:shd w:val="clear" w:color="auto" w:fill="auto"/>
            <w:hideMark/>
          </w:tcPr>
          <w:p w14:paraId="68D63F76" w14:textId="1937245F" w:rsidR="00E970E1" w:rsidRPr="00E970E1" w:rsidRDefault="00FE2A9F" w:rsidP="00FE2A9F">
            <w:pPr>
              <w:spacing w:before="0" w:after="0" w:line="240" w:lineRule="auto"/>
              <w:rPr>
                <w:rFonts w:cs="Arial"/>
                <w:color w:val="000000"/>
                <w:sz w:val="20"/>
                <w:szCs w:val="20"/>
              </w:rPr>
            </w:pPr>
            <w:r>
              <w:rPr>
                <w:rFonts w:cs="Arial"/>
                <w:color w:val="000000"/>
                <w:sz w:val="20"/>
                <w:szCs w:val="20"/>
              </w:rPr>
              <w:t>Posthumous o</w:t>
            </w:r>
            <w:r w:rsidR="00E970E1" w:rsidRPr="00E970E1">
              <w:rPr>
                <w:rFonts w:cs="Arial"/>
                <w:color w:val="000000"/>
                <w:sz w:val="20"/>
                <w:szCs w:val="20"/>
              </w:rPr>
              <w:t xml:space="preserve">rgan </w:t>
            </w:r>
            <w:r>
              <w:rPr>
                <w:rFonts w:cs="Arial"/>
                <w:color w:val="000000"/>
                <w:sz w:val="20"/>
                <w:szCs w:val="20"/>
              </w:rPr>
              <w:t>p</w:t>
            </w:r>
            <w:r w:rsidR="00E970E1" w:rsidRPr="00E970E1">
              <w:rPr>
                <w:rFonts w:cs="Arial"/>
                <w:color w:val="000000"/>
                <w:sz w:val="20"/>
                <w:szCs w:val="20"/>
              </w:rPr>
              <w:t>rocurement refers to an activity undertaken by hospitals in which human tissue is procured for the purposes of transplantation from a donor who has been declared brain dead (</w:t>
            </w:r>
            <w:r w:rsidR="00C76532" w:rsidRPr="00E970E1">
              <w:rPr>
                <w:rFonts w:cs="Arial"/>
                <w:color w:val="000000"/>
                <w:sz w:val="20"/>
                <w:szCs w:val="20"/>
              </w:rPr>
              <w:t>METeOR ID:</w:t>
            </w:r>
            <w:r w:rsidR="00C76532">
              <w:rPr>
                <w:rFonts w:cs="Arial"/>
                <w:color w:val="000000"/>
                <w:sz w:val="20"/>
                <w:szCs w:val="20"/>
              </w:rPr>
              <w:t xml:space="preserve"> </w:t>
            </w:r>
            <w:r w:rsidR="00E970E1" w:rsidRPr="00E970E1">
              <w:rPr>
                <w:rFonts w:cs="Arial"/>
                <w:color w:val="000000"/>
                <w:sz w:val="20"/>
                <w:szCs w:val="20"/>
              </w:rPr>
              <w:t>327258)</w:t>
            </w:r>
          </w:p>
        </w:tc>
      </w:tr>
      <w:tr w:rsidR="00E970E1" w:rsidRPr="00E970E1" w14:paraId="68D63F7A" w14:textId="77777777" w:rsidTr="00E970E1">
        <w:trPr>
          <w:trHeight w:val="1275"/>
        </w:trPr>
        <w:tc>
          <w:tcPr>
            <w:tcW w:w="3340" w:type="dxa"/>
            <w:vMerge/>
            <w:tcBorders>
              <w:top w:val="nil"/>
              <w:left w:val="nil"/>
              <w:bottom w:val="nil"/>
              <w:right w:val="nil"/>
            </w:tcBorders>
            <w:vAlign w:val="center"/>
            <w:hideMark/>
          </w:tcPr>
          <w:p w14:paraId="68D63F78"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79"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Diagnoses and procedures undertaken during this activity, including mechanical ventilation and tissue procurement, should be recorded in accordance with the relevant ICD-10-AM Australian Coding Standards. These patients are not admitted to the hospital but are registered by the hospital (METeOR ID: 491557).</w:t>
            </w:r>
          </w:p>
        </w:tc>
      </w:tr>
      <w:tr w:rsidR="00E970E1" w:rsidRPr="00E970E1" w14:paraId="68D63F7D" w14:textId="77777777" w:rsidTr="00E970E1">
        <w:trPr>
          <w:trHeight w:val="510"/>
        </w:trPr>
        <w:tc>
          <w:tcPr>
            <w:tcW w:w="3340" w:type="dxa"/>
            <w:tcBorders>
              <w:top w:val="nil"/>
              <w:left w:val="nil"/>
              <w:bottom w:val="nil"/>
              <w:right w:val="nil"/>
            </w:tcBorders>
            <w:shd w:val="clear" w:color="auto" w:fill="auto"/>
            <w:hideMark/>
          </w:tcPr>
          <w:p w14:paraId="68D63F7B"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Product </w:t>
            </w:r>
          </w:p>
        </w:tc>
        <w:tc>
          <w:tcPr>
            <w:tcW w:w="6480" w:type="dxa"/>
            <w:tcBorders>
              <w:top w:val="nil"/>
              <w:left w:val="nil"/>
              <w:bottom w:val="nil"/>
              <w:right w:val="nil"/>
            </w:tcBorders>
            <w:shd w:val="clear" w:color="auto" w:fill="auto"/>
            <w:hideMark/>
          </w:tcPr>
          <w:p w14:paraId="68D63F7C"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For the purposes of these standards, products provided by an organisation are categorised into patient and non-patient products.</w:t>
            </w:r>
          </w:p>
        </w:tc>
      </w:tr>
      <w:tr w:rsidR="00E970E1" w:rsidRPr="00E970E1" w14:paraId="68D63F80" w14:textId="77777777" w:rsidTr="00E970E1">
        <w:trPr>
          <w:trHeight w:val="300"/>
        </w:trPr>
        <w:tc>
          <w:tcPr>
            <w:tcW w:w="3340" w:type="dxa"/>
            <w:tcBorders>
              <w:top w:val="nil"/>
              <w:left w:val="nil"/>
              <w:bottom w:val="nil"/>
              <w:right w:val="nil"/>
            </w:tcBorders>
            <w:shd w:val="clear" w:color="auto" w:fill="auto"/>
            <w:hideMark/>
          </w:tcPr>
          <w:p w14:paraId="68D63F7E"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Product cost</w:t>
            </w:r>
          </w:p>
        </w:tc>
        <w:tc>
          <w:tcPr>
            <w:tcW w:w="6480" w:type="dxa"/>
            <w:tcBorders>
              <w:top w:val="nil"/>
              <w:left w:val="nil"/>
              <w:bottom w:val="nil"/>
              <w:right w:val="nil"/>
            </w:tcBorders>
            <w:shd w:val="clear" w:color="auto" w:fill="auto"/>
            <w:hideMark/>
          </w:tcPr>
          <w:p w14:paraId="68D63F7F"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Product cost refers to the sum of all expenses assigned to a product.</w:t>
            </w:r>
          </w:p>
        </w:tc>
      </w:tr>
      <w:tr w:rsidR="00E970E1" w:rsidRPr="00E970E1" w14:paraId="68D63F83" w14:textId="77777777" w:rsidTr="00E970E1">
        <w:trPr>
          <w:trHeight w:val="1020"/>
        </w:trPr>
        <w:tc>
          <w:tcPr>
            <w:tcW w:w="3340" w:type="dxa"/>
            <w:tcBorders>
              <w:top w:val="nil"/>
              <w:left w:val="nil"/>
              <w:bottom w:val="nil"/>
              <w:right w:val="nil"/>
            </w:tcBorders>
            <w:shd w:val="clear" w:color="auto" w:fill="auto"/>
            <w:hideMark/>
          </w:tcPr>
          <w:p w14:paraId="68D63F81"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lastRenderedPageBreak/>
              <w:t>Program fractions</w:t>
            </w:r>
            <w:r w:rsidR="00B63007">
              <w:rPr>
                <w:rFonts w:cs="Arial"/>
                <w:b/>
                <w:bCs/>
                <w:color w:val="000000"/>
                <w:sz w:val="20"/>
                <w:szCs w:val="20"/>
              </w:rPr>
              <w:t>/</w:t>
            </w:r>
            <w:r w:rsidRPr="00E970E1">
              <w:rPr>
                <w:rFonts w:cs="Arial"/>
                <w:b/>
                <w:bCs/>
                <w:color w:val="000000"/>
                <w:sz w:val="20"/>
                <w:szCs w:val="20"/>
              </w:rPr>
              <w:t xml:space="preserve">product fraction </w:t>
            </w:r>
          </w:p>
        </w:tc>
        <w:tc>
          <w:tcPr>
            <w:tcW w:w="6480" w:type="dxa"/>
            <w:tcBorders>
              <w:top w:val="nil"/>
              <w:left w:val="nil"/>
              <w:bottom w:val="nil"/>
              <w:right w:val="nil"/>
            </w:tcBorders>
            <w:shd w:val="clear" w:color="auto" w:fill="auto"/>
            <w:hideMark/>
          </w:tcPr>
          <w:p w14:paraId="68D63F82"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Program fractions are ratios applied to production cost centres that relate to the various product categories associated with patient or non-patient products. These include, but are not limited to, admitted, non-admitted, emergency, teaching and training’</w:t>
            </w:r>
          </w:p>
        </w:tc>
      </w:tr>
      <w:tr w:rsidR="00E970E1" w:rsidRPr="00E970E1" w14:paraId="68D63F86" w14:textId="77777777" w:rsidTr="00E970E1">
        <w:trPr>
          <w:trHeight w:val="300"/>
        </w:trPr>
        <w:tc>
          <w:tcPr>
            <w:tcW w:w="3340" w:type="dxa"/>
            <w:tcBorders>
              <w:top w:val="nil"/>
              <w:left w:val="nil"/>
              <w:bottom w:val="nil"/>
              <w:right w:val="nil"/>
            </w:tcBorders>
            <w:shd w:val="clear" w:color="auto" w:fill="auto"/>
            <w:hideMark/>
          </w:tcPr>
          <w:p w14:paraId="68D63F84"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Prostheses</w:t>
            </w:r>
          </w:p>
        </w:tc>
        <w:tc>
          <w:tcPr>
            <w:tcW w:w="6480" w:type="dxa"/>
            <w:tcBorders>
              <w:top w:val="nil"/>
              <w:left w:val="nil"/>
              <w:bottom w:val="nil"/>
              <w:right w:val="nil"/>
            </w:tcBorders>
            <w:shd w:val="clear" w:color="auto" w:fill="auto"/>
            <w:hideMark/>
          </w:tcPr>
          <w:p w14:paraId="68D63F85" w14:textId="6A5CB996"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An artificial substitute or replacement of a part of the body</w:t>
            </w:r>
            <w:r w:rsidR="005C1D3C">
              <w:rPr>
                <w:rFonts w:cs="Arial"/>
                <w:color w:val="000000"/>
                <w:sz w:val="20"/>
                <w:szCs w:val="20"/>
              </w:rPr>
              <w:t>.</w:t>
            </w:r>
          </w:p>
        </w:tc>
      </w:tr>
      <w:tr w:rsidR="00E970E1" w:rsidRPr="00E970E1" w14:paraId="68D63F89" w14:textId="77777777" w:rsidTr="00E970E1">
        <w:trPr>
          <w:trHeight w:val="765"/>
        </w:trPr>
        <w:tc>
          <w:tcPr>
            <w:tcW w:w="3340" w:type="dxa"/>
            <w:tcBorders>
              <w:top w:val="nil"/>
              <w:left w:val="nil"/>
              <w:bottom w:val="nil"/>
              <w:right w:val="nil"/>
            </w:tcBorders>
            <w:shd w:val="clear" w:color="auto" w:fill="auto"/>
            <w:hideMark/>
          </w:tcPr>
          <w:p w14:paraId="68D63F87"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Recovery</w:t>
            </w:r>
          </w:p>
        </w:tc>
        <w:tc>
          <w:tcPr>
            <w:tcW w:w="6480" w:type="dxa"/>
            <w:tcBorders>
              <w:top w:val="nil"/>
              <w:left w:val="nil"/>
              <w:bottom w:val="nil"/>
              <w:right w:val="nil"/>
            </w:tcBorders>
            <w:shd w:val="clear" w:color="auto" w:fill="auto"/>
            <w:hideMark/>
          </w:tcPr>
          <w:p w14:paraId="68D63F88" w14:textId="5199CF7A"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Recovery refers to an amount recovered for the provision of a product or service by a hospital to a third party (</w:t>
            </w:r>
            <w:r w:rsidR="00C76532">
              <w:rPr>
                <w:rFonts w:cs="Arial"/>
                <w:color w:val="000000"/>
                <w:sz w:val="20"/>
                <w:szCs w:val="20"/>
              </w:rPr>
              <w:t>that is,</w:t>
            </w:r>
            <w:r w:rsidRPr="00E970E1">
              <w:rPr>
                <w:rFonts w:cs="Arial"/>
                <w:color w:val="000000"/>
                <w:sz w:val="20"/>
                <w:szCs w:val="20"/>
              </w:rPr>
              <w:t xml:space="preserve"> not a hospital patient or staff member).</w:t>
            </w:r>
          </w:p>
        </w:tc>
      </w:tr>
      <w:tr w:rsidR="00E970E1" w:rsidRPr="00E970E1" w14:paraId="68D63F8C" w14:textId="77777777" w:rsidTr="00E970E1">
        <w:trPr>
          <w:trHeight w:val="765"/>
        </w:trPr>
        <w:tc>
          <w:tcPr>
            <w:tcW w:w="3340" w:type="dxa"/>
            <w:tcBorders>
              <w:top w:val="nil"/>
              <w:left w:val="nil"/>
              <w:bottom w:val="nil"/>
              <w:right w:val="nil"/>
            </w:tcBorders>
            <w:shd w:val="clear" w:color="auto" w:fill="auto"/>
            <w:hideMark/>
          </w:tcPr>
          <w:p w14:paraId="68D63F8A"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Relative value unit</w:t>
            </w:r>
          </w:p>
        </w:tc>
        <w:tc>
          <w:tcPr>
            <w:tcW w:w="6480" w:type="dxa"/>
            <w:tcBorders>
              <w:top w:val="nil"/>
              <w:left w:val="nil"/>
              <w:bottom w:val="nil"/>
              <w:right w:val="nil"/>
            </w:tcBorders>
            <w:shd w:val="clear" w:color="auto" w:fill="auto"/>
            <w:hideMark/>
          </w:tcPr>
          <w:p w14:paraId="68D63F8B" w14:textId="27663C2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A relative value unit is a weighted unit that reflects the comparative costs of production of one product</w:t>
            </w:r>
            <w:r w:rsidR="00C76532">
              <w:rPr>
                <w:rFonts w:cs="Arial"/>
                <w:color w:val="000000"/>
                <w:sz w:val="20"/>
                <w:szCs w:val="20"/>
              </w:rPr>
              <w:t xml:space="preserve"> or </w:t>
            </w:r>
            <w:r w:rsidRPr="00E970E1">
              <w:rPr>
                <w:rFonts w:cs="Arial"/>
                <w:color w:val="000000"/>
                <w:sz w:val="20"/>
                <w:szCs w:val="20"/>
              </w:rPr>
              <w:t>service against another, across the full range of products</w:t>
            </w:r>
            <w:r w:rsidR="00C76532">
              <w:rPr>
                <w:rFonts w:cs="Arial"/>
                <w:color w:val="000000"/>
                <w:sz w:val="20"/>
                <w:szCs w:val="20"/>
              </w:rPr>
              <w:t xml:space="preserve"> or </w:t>
            </w:r>
            <w:r w:rsidRPr="00E970E1">
              <w:rPr>
                <w:rFonts w:cs="Arial"/>
                <w:color w:val="000000"/>
                <w:sz w:val="20"/>
                <w:szCs w:val="20"/>
              </w:rPr>
              <w:t>services produced within the same department.</w:t>
            </w:r>
          </w:p>
        </w:tc>
      </w:tr>
      <w:tr w:rsidR="00E970E1" w:rsidRPr="00E970E1" w14:paraId="68D63F8F" w14:textId="77777777" w:rsidTr="00E970E1">
        <w:trPr>
          <w:trHeight w:val="765"/>
        </w:trPr>
        <w:tc>
          <w:tcPr>
            <w:tcW w:w="3340" w:type="dxa"/>
            <w:vMerge w:val="restart"/>
            <w:tcBorders>
              <w:top w:val="nil"/>
              <w:left w:val="nil"/>
              <w:bottom w:val="nil"/>
              <w:right w:val="nil"/>
            </w:tcBorders>
            <w:shd w:val="clear" w:color="auto" w:fill="auto"/>
            <w:hideMark/>
          </w:tcPr>
          <w:p w14:paraId="68D63F8D"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Research</w:t>
            </w:r>
          </w:p>
        </w:tc>
        <w:tc>
          <w:tcPr>
            <w:tcW w:w="6480" w:type="dxa"/>
            <w:tcBorders>
              <w:top w:val="nil"/>
              <w:left w:val="nil"/>
              <w:bottom w:val="nil"/>
              <w:right w:val="nil"/>
            </w:tcBorders>
            <w:shd w:val="clear" w:color="auto" w:fill="auto"/>
            <w:hideMark/>
          </w:tcPr>
          <w:p w14:paraId="68D63F8E" w14:textId="181E5FE3"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Research is an activity undertaken in a public health service where the primary objective is the advancement of knowledge that ultimately aims to improve patient health outcomes or health system performance. </w:t>
            </w:r>
          </w:p>
        </w:tc>
      </w:tr>
      <w:tr w:rsidR="00E970E1" w:rsidRPr="00E970E1" w14:paraId="68D63F92" w14:textId="77777777" w:rsidTr="00E970E1">
        <w:trPr>
          <w:trHeight w:val="1020"/>
        </w:trPr>
        <w:tc>
          <w:tcPr>
            <w:tcW w:w="3340" w:type="dxa"/>
            <w:vMerge/>
            <w:tcBorders>
              <w:top w:val="nil"/>
              <w:left w:val="nil"/>
              <w:bottom w:val="nil"/>
              <w:right w:val="nil"/>
            </w:tcBorders>
            <w:vAlign w:val="center"/>
            <w:hideMark/>
          </w:tcPr>
          <w:p w14:paraId="68D63F90"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91" w14:textId="4021CFAC"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The activity must be undertaken in a structured and ethical way, be formally approved by a research governance or ethics </w:t>
            </w:r>
            <w:r w:rsidR="00047D03" w:rsidRPr="00E970E1">
              <w:rPr>
                <w:rFonts w:cs="Arial"/>
                <w:color w:val="000000"/>
                <w:sz w:val="20"/>
                <w:szCs w:val="20"/>
              </w:rPr>
              <w:t>body and</w:t>
            </w:r>
            <w:r w:rsidRPr="00E970E1">
              <w:rPr>
                <w:rFonts w:cs="Arial"/>
                <w:color w:val="000000"/>
                <w:sz w:val="20"/>
                <w:szCs w:val="20"/>
              </w:rPr>
              <w:t xml:space="preserve"> have potential for application outside of the health service in which the activity is undertaken. </w:t>
            </w:r>
          </w:p>
        </w:tc>
      </w:tr>
      <w:tr w:rsidR="00E970E1" w:rsidRPr="00E970E1" w14:paraId="68D63F95" w14:textId="77777777" w:rsidTr="00E970E1">
        <w:trPr>
          <w:trHeight w:val="1020"/>
        </w:trPr>
        <w:tc>
          <w:tcPr>
            <w:tcW w:w="3340" w:type="dxa"/>
            <w:vMerge/>
            <w:tcBorders>
              <w:top w:val="nil"/>
              <w:left w:val="nil"/>
              <w:bottom w:val="nil"/>
              <w:right w:val="nil"/>
            </w:tcBorders>
            <w:vAlign w:val="center"/>
            <w:hideMark/>
          </w:tcPr>
          <w:p w14:paraId="68D63F93" w14:textId="77777777" w:rsidR="00E970E1" w:rsidRPr="00E970E1" w:rsidRDefault="00E970E1" w:rsidP="00E970E1">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94" w14:textId="60515863"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For </w:t>
            </w:r>
            <w:r w:rsidR="00C76532">
              <w:rPr>
                <w:rFonts w:cs="Arial"/>
                <w:color w:val="000000"/>
                <w:sz w:val="20"/>
                <w:szCs w:val="20"/>
              </w:rPr>
              <w:t>activity based funding</w:t>
            </w:r>
            <w:r w:rsidRPr="00E970E1">
              <w:rPr>
                <w:rFonts w:cs="Arial"/>
                <w:color w:val="000000"/>
                <w:sz w:val="20"/>
                <w:szCs w:val="20"/>
              </w:rPr>
              <w:t xml:space="preserve"> purposes, the definition of research relates to the public health service's contribution to maintain research capability, excluding the costs of research activities that are funded from a source other than the state or territory or provided in kind</w:t>
            </w:r>
          </w:p>
        </w:tc>
      </w:tr>
      <w:tr w:rsidR="00E970E1" w:rsidRPr="00E970E1" w14:paraId="68D63F98" w14:textId="77777777" w:rsidTr="00E970E1">
        <w:trPr>
          <w:trHeight w:val="1530"/>
        </w:trPr>
        <w:tc>
          <w:tcPr>
            <w:tcW w:w="3340" w:type="dxa"/>
            <w:tcBorders>
              <w:top w:val="nil"/>
              <w:left w:val="nil"/>
              <w:bottom w:val="nil"/>
              <w:right w:val="nil"/>
            </w:tcBorders>
            <w:shd w:val="clear" w:color="auto" w:fill="auto"/>
            <w:hideMark/>
          </w:tcPr>
          <w:p w14:paraId="6FE7AD57" w14:textId="78CC4A0C" w:rsidR="00A972B1" w:rsidRDefault="00A972B1" w:rsidP="00E970E1">
            <w:pPr>
              <w:spacing w:before="0" w:after="0" w:line="240" w:lineRule="auto"/>
              <w:rPr>
                <w:rFonts w:cs="Arial"/>
                <w:b/>
                <w:bCs/>
                <w:color w:val="000000"/>
                <w:sz w:val="20"/>
                <w:szCs w:val="20"/>
              </w:rPr>
            </w:pPr>
            <w:r>
              <w:rPr>
                <w:rFonts w:cs="Arial"/>
                <w:b/>
                <w:bCs/>
                <w:color w:val="000000"/>
                <w:sz w:val="20"/>
                <w:szCs w:val="20"/>
              </w:rPr>
              <w:t>Right-of-use asset</w:t>
            </w:r>
          </w:p>
          <w:p w14:paraId="7834390F" w14:textId="77777777" w:rsidR="00A972B1" w:rsidRDefault="00A972B1" w:rsidP="00E970E1">
            <w:pPr>
              <w:spacing w:before="0" w:after="0" w:line="240" w:lineRule="auto"/>
              <w:rPr>
                <w:rFonts w:cs="Arial"/>
                <w:b/>
                <w:bCs/>
                <w:color w:val="000000"/>
                <w:sz w:val="20"/>
                <w:szCs w:val="20"/>
              </w:rPr>
            </w:pPr>
          </w:p>
          <w:p w14:paraId="01AC8274" w14:textId="77777777" w:rsidR="00AD000F" w:rsidRDefault="00AD000F">
            <w:pPr>
              <w:spacing w:after="0" w:line="240" w:lineRule="auto"/>
              <w:rPr>
                <w:rFonts w:cs="Arial"/>
                <w:b/>
                <w:bCs/>
                <w:color w:val="000000"/>
                <w:sz w:val="20"/>
                <w:szCs w:val="20"/>
              </w:rPr>
            </w:pPr>
          </w:p>
          <w:p w14:paraId="34A5A36F" w14:textId="306B3849" w:rsidR="00AF635D" w:rsidRDefault="00AF635D">
            <w:pPr>
              <w:spacing w:before="0" w:after="0" w:line="240" w:lineRule="auto"/>
              <w:rPr>
                <w:rFonts w:cs="Arial"/>
                <w:b/>
                <w:bCs/>
                <w:color w:val="000000"/>
                <w:sz w:val="20"/>
                <w:szCs w:val="20"/>
              </w:rPr>
            </w:pPr>
            <w:r>
              <w:rPr>
                <w:rFonts w:cs="Arial"/>
                <w:b/>
                <w:bCs/>
                <w:color w:val="000000"/>
                <w:sz w:val="20"/>
                <w:szCs w:val="20"/>
              </w:rPr>
              <w:t xml:space="preserve">Right-of-use </w:t>
            </w:r>
            <w:r w:rsidR="00F175B4">
              <w:rPr>
                <w:rFonts w:cs="Arial"/>
                <w:b/>
                <w:bCs/>
                <w:color w:val="000000"/>
                <w:sz w:val="20"/>
                <w:szCs w:val="20"/>
              </w:rPr>
              <w:t>asset d</w:t>
            </w:r>
            <w:r>
              <w:rPr>
                <w:rFonts w:cs="Arial"/>
                <w:b/>
                <w:bCs/>
                <w:color w:val="000000"/>
                <w:sz w:val="20"/>
                <w:szCs w:val="20"/>
              </w:rPr>
              <w:t>epreciation</w:t>
            </w:r>
          </w:p>
          <w:p w14:paraId="5420618B" w14:textId="77777777" w:rsidR="00594D7A" w:rsidRDefault="00594D7A" w:rsidP="00E970E1">
            <w:pPr>
              <w:spacing w:before="0" w:after="0" w:line="240" w:lineRule="auto"/>
              <w:rPr>
                <w:rFonts w:cs="Arial"/>
                <w:b/>
                <w:bCs/>
                <w:color w:val="000000"/>
                <w:sz w:val="20"/>
                <w:szCs w:val="20"/>
              </w:rPr>
            </w:pPr>
          </w:p>
          <w:p w14:paraId="68D63F96" w14:textId="19AB208D" w:rsidR="00E970E1" w:rsidRPr="00E970E1" w:rsidRDefault="00E970E1" w:rsidP="00D41583">
            <w:pPr>
              <w:spacing w:after="0" w:line="240" w:lineRule="auto"/>
              <w:rPr>
                <w:rFonts w:cs="Arial"/>
                <w:b/>
                <w:bCs/>
                <w:color w:val="000000"/>
                <w:sz w:val="20"/>
                <w:szCs w:val="20"/>
              </w:rPr>
            </w:pPr>
            <w:r w:rsidRPr="00E970E1">
              <w:rPr>
                <w:rFonts w:cs="Arial"/>
                <w:b/>
                <w:bCs/>
                <w:color w:val="000000"/>
                <w:sz w:val="20"/>
                <w:szCs w:val="20"/>
              </w:rPr>
              <w:t xml:space="preserve">Service </w:t>
            </w:r>
            <w:r w:rsidR="002F7820">
              <w:rPr>
                <w:rFonts w:cs="Arial"/>
                <w:b/>
                <w:bCs/>
                <w:color w:val="000000"/>
                <w:sz w:val="20"/>
                <w:szCs w:val="20"/>
              </w:rPr>
              <w:t>w</w:t>
            </w:r>
            <w:r w:rsidRPr="00E970E1">
              <w:rPr>
                <w:rFonts w:cs="Arial"/>
                <w:b/>
                <w:bCs/>
                <w:color w:val="000000"/>
                <w:sz w:val="20"/>
                <w:szCs w:val="20"/>
              </w:rPr>
              <w:t>eight</w:t>
            </w:r>
          </w:p>
        </w:tc>
        <w:tc>
          <w:tcPr>
            <w:tcW w:w="6480" w:type="dxa"/>
            <w:tcBorders>
              <w:top w:val="nil"/>
              <w:left w:val="nil"/>
              <w:bottom w:val="nil"/>
              <w:right w:val="nil"/>
            </w:tcBorders>
            <w:shd w:val="clear" w:color="auto" w:fill="auto"/>
            <w:hideMark/>
          </w:tcPr>
          <w:p w14:paraId="55B55619" w14:textId="25C1BE68" w:rsidR="00A972B1" w:rsidRDefault="00A972B1">
            <w:pPr>
              <w:spacing w:before="0" w:line="240" w:lineRule="auto"/>
              <w:rPr>
                <w:rFonts w:cs="Arial"/>
                <w:color w:val="000000"/>
                <w:sz w:val="20"/>
                <w:szCs w:val="20"/>
              </w:rPr>
            </w:pPr>
            <w:r w:rsidRPr="00A972B1">
              <w:rPr>
                <w:rFonts w:cs="Arial"/>
                <w:color w:val="000000"/>
                <w:sz w:val="20"/>
                <w:szCs w:val="20"/>
              </w:rPr>
              <w:t xml:space="preserve">An asset that represents a lessee’s right to use an underlying asset for </w:t>
            </w:r>
            <w:r w:rsidR="00D51822" w:rsidRPr="00D51822">
              <w:rPr>
                <w:rFonts w:cs="Arial"/>
                <w:color w:val="000000"/>
                <w:sz w:val="20"/>
                <w:szCs w:val="20"/>
              </w:rPr>
              <w:t xml:space="preserve">an agreed period of time </w:t>
            </w:r>
            <w:r w:rsidR="007B5AD8">
              <w:rPr>
                <w:rFonts w:cs="Arial"/>
                <w:color w:val="000000"/>
                <w:sz w:val="20"/>
                <w:szCs w:val="20"/>
              </w:rPr>
              <w:t xml:space="preserve">(lease term) </w:t>
            </w:r>
            <w:r w:rsidR="00D51822" w:rsidRPr="00D51822">
              <w:rPr>
                <w:rFonts w:cs="Arial"/>
                <w:color w:val="000000"/>
                <w:sz w:val="20"/>
                <w:szCs w:val="20"/>
              </w:rPr>
              <w:t>in return for a payment or series of payments</w:t>
            </w:r>
            <w:r w:rsidRPr="00A972B1">
              <w:rPr>
                <w:rFonts w:cs="Arial"/>
                <w:color w:val="000000"/>
                <w:sz w:val="20"/>
                <w:szCs w:val="20"/>
              </w:rPr>
              <w:t>.</w:t>
            </w:r>
          </w:p>
          <w:p w14:paraId="737CCAC0" w14:textId="5FDBF25A" w:rsidR="006C0D5F" w:rsidRDefault="00AD6EF1" w:rsidP="00D41583">
            <w:pPr>
              <w:spacing w:before="0" w:line="240" w:lineRule="auto"/>
              <w:rPr>
                <w:rFonts w:cs="Arial"/>
                <w:color w:val="000000"/>
                <w:sz w:val="20"/>
                <w:szCs w:val="20"/>
              </w:rPr>
            </w:pPr>
            <w:r>
              <w:rPr>
                <w:rFonts w:cs="Arial"/>
                <w:color w:val="000000"/>
                <w:sz w:val="20"/>
                <w:szCs w:val="20"/>
              </w:rPr>
              <w:t>R</w:t>
            </w:r>
            <w:r w:rsidRPr="00AD6EF1">
              <w:rPr>
                <w:rFonts w:cs="Arial"/>
                <w:color w:val="000000"/>
                <w:sz w:val="20"/>
                <w:szCs w:val="20"/>
              </w:rPr>
              <w:t>ight-of-use asset</w:t>
            </w:r>
            <w:r w:rsidR="00D1366B">
              <w:rPr>
                <w:rFonts w:cs="Arial"/>
                <w:color w:val="000000"/>
                <w:sz w:val="20"/>
                <w:szCs w:val="20"/>
              </w:rPr>
              <w:t xml:space="preserve"> depreciation</w:t>
            </w:r>
            <w:r w:rsidRPr="00AD6EF1">
              <w:rPr>
                <w:rFonts w:cs="Arial"/>
                <w:color w:val="000000"/>
                <w:sz w:val="20"/>
                <w:szCs w:val="20"/>
              </w:rPr>
              <w:t xml:space="preserve"> represent</w:t>
            </w:r>
            <w:r>
              <w:rPr>
                <w:rFonts w:cs="Arial"/>
                <w:color w:val="000000"/>
                <w:sz w:val="20"/>
                <w:szCs w:val="20"/>
              </w:rPr>
              <w:t>s</w:t>
            </w:r>
            <w:r w:rsidRPr="00AD6EF1">
              <w:rPr>
                <w:rFonts w:cs="Arial"/>
                <w:color w:val="000000"/>
                <w:sz w:val="20"/>
                <w:szCs w:val="20"/>
              </w:rPr>
              <w:t xml:space="preserve"> </w:t>
            </w:r>
            <w:r w:rsidR="00D1366B">
              <w:rPr>
                <w:rFonts w:cs="Arial"/>
                <w:color w:val="000000"/>
                <w:sz w:val="20"/>
                <w:szCs w:val="20"/>
              </w:rPr>
              <w:t>the reduction in</w:t>
            </w:r>
            <w:r w:rsidR="00D1366B" w:rsidRPr="00AD6EF1" w:rsidDel="00EB50F6">
              <w:rPr>
                <w:rFonts w:cs="Arial"/>
                <w:color w:val="000000"/>
                <w:sz w:val="20"/>
                <w:szCs w:val="20"/>
              </w:rPr>
              <w:t xml:space="preserve"> </w:t>
            </w:r>
            <w:r w:rsidR="00EB50F6">
              <w:rPr>
                <w:rFonts w:cs="Arial"/>
                <w:color w:val="000000"/>
                <w:sz w:val="20"/>
                <w:szCs w:val="20"/>
              </w:rPr>
              <w:t>a le</w:t>
            </w:r>
            <w:r w:rsidR="00594D7A">
              <w:rPr>
                <w:rFonts w:cs="Arial"/>
                <w:color w:val="000000"/>
                <w:sz w:val="20"/>
                <w:szCs w:val="20"/>
              </w:rPr>
              <w:t>ss</w:t>
            </w:r>
            <w:r w:rsidR="00EB50F6">
              <w:rPr>
                <w:rFonts w:cs="Arial"/>
                <w:color w:val="000000"/>
                <w:sz w:val="20"/>
                <w:szCs w:val="20"/>
              </w:rPr>
              <w:t>ee’</w:t>
            </w:r>
            <w:r w:rsidR="00872EA4">
              <w:rPr>
                <w:rFonts w:cs="Arial"/>
                <w:color w:val="000000"/>
                <w:sz w:val="20"/>
                <w:szCs w:val="20"/>
              </w:rPr>
              <w:t>s</w:t>
            </w:r>
            <w:r w:rsidRPr="00AD6EF1">
              <w:rPr>
                <w:rFonts w:cs="Arial"/>
                <w:color w:val="000000"/>
                <w:sz w:val="20"/>
                <w:szCs w:val="20"/>
              </w:rPr>
              <w:t xml:space="preserve"> right to use </w:t>
            </w:r>
            <w:r w:rsidR="00594D7A">
              <w:rPr>
                <w:rFonts w:cs="Arial"/>
                <w:color w:val="000000"/>
                <w:sz w:val="20"/>
                <w:szCs w:val="20"/>
              </w:rPr>
              <w:t>an</w:t>
            </w:r>
            <w:r w:rsidRPr="00AD6EF1">
              <w:rPr>
                <w:rFonts w:cs="Arial"/>
                <w:color w:val="000000"/>
                <w:sz w:val="20"/>
                <w:szCs w:val="20"/>
              </w:rPr>
              <w:t xml:space="preserve"> underlying leased asset</w:t>
            </w:r>
            <w:r w:rsidR="00594D7A">
              <w:rPr>
                <w:rFonts w:cs="Arial"/>
                <w:color w:val="000000"/>
                <w:sz w:val="20"/>
                <w:szCs w:val="20"/>
              </w:rPr>
              <w:t xml:space="preserve"> over the lease term</w:t>
            </w:r>
            <w:r w:rsidR="00D1366B">
              <w:rPr>
                <w:rFonts w:cs="Arial"/>
                <w:color w:val="000000"/>
                <w:sz w:val="20"/>
                <w:szCs w:val="20"/>
              </w:rPr>
              <w:t xml:space="preserve">. </w:t>
            </w:r>
          </w:p>
          <w:p w14:paraId="68D63F97" w14:textId="438F5F83" w:rsidR="00E970E1" w:rsidRPr="00E970E1" w:rsidRDefault="00E970E1" w:rsidP="00D41583">
            <w:pPr>
              <w:spacing w:before="0" w:line="240" w:lineRule="auto"/>
              <w:rPr>
                <w:rFonts w:cs="Arial"/>
                <w:color w:val="000000"/>
                <w:sz w:val="20"/>
                <w:szCs w:val="20"/>
              </w:rPr>
            </w:pPr>
            <w:r w:rsidRPr="00E970E1">
              <w:rPr>
                <w:rFonts w:cs="Arial"/>
                <w:color w:val="000000"/>
                <w:sz w:val="20"/>
                <w:szCs w:val="20"/>
              </w:rPr>
              <w:t>A service weight is a series of weightings by specified categories (for example DRG) and by cost bucket which are a relative measure of resource use within a category. In the case of service weights, a weighting is applied at the classification level and it assumes that on average the relative consumption of resources for episodes within that classification is on average similar.</w:t>
            </w:r>
          </w:p>
        </w:tc>
      </w:tr>
      <w:tr w:rsidR="00E970E1" w:rsidRPr="00E970E1" w14:paraId="68D63F9B" w14:textId="77777777" w:rsidTr="005C1D3C">
        <w:trPr>
          <w:trHeight w:val="300"/>
        </w:trPr>
        <w:tc>
          <w:tcPr>
            <w:tcW w:w="3340" w:type="dxa"/>
            <w:vMerge w:val="restart"/>
            <w:tcBorders>
              <w:top w:val="nil"/>
              <w:left w:val="nil"/>
              <w:bottom w:val="nil"/>
              <w:right w:val="nil"/>
            </w:tcBorders>
            <w:shd w:val="clear" w:color="auto" w:fill="auto"/>
            <w:hideMark/>
          </w:tcPr>
          <w:p w14:paraId="68D63F99" w14:textId="77777777" w:rsidR="00E970E1" w:rsidRPr="00E970E1" w:rsidRDefault="00E970E1" w:rsidP="00E970E1">
            <w:pPr>
              <w:spacing w:before="0" w:after="0" w:line="240" w:lineRule="auto"/>
              <w:rPr>
                <w:rFonts w:cs="Arial"/>
                <w:b/>
                <w:bCs/>
                <w:color w:val="000000"/>
                <w:sz w:val="20"/>
                <w:szCs w:val="20"/>
              </w:rPr>
            </w:pPr>
            <w:r w:rsidRPr="00E970E1">
              <w:rPr>
                <w:rFonts w:cs="Arial"/>
                <w:b/>
                <w:bCs/>
                <w:color w:val="000000"/>
                <w:sz w:val="20"/>
                <w:szCs w:val="20"/>
              </w:rPr>
              <w:t xml:space="preserve">Short </w:t>
            </w:r>
            <w:r w:rsidR="002F7820">
              <w:rPr>
                <w:rFonts w:cs="Arial"/>
                <w:b/>
                <w:bCs/>
                <w:color w:val="000000"/>
                <w:sz w:val="20"/>
                <w:szCs w:val="20"/>
              </w:rPr>
              <w:t>s</w:t>
            </w:r>
            <w:r w:rsidR="002F7820" w:rsidRPr="00E970E1">
              <w:rPr>
                <w:rFonts w:cs="Arial"/>
                <w:b/>
                <w:bCs/>
                <w:color w:val="000000"/>
                <w:sz w:val="20"/>
                <w:szCs w:val="20"/>
              </w:rPr>
              <w:t xml:space="preserve">tay </w:t>
            </w:r>
            <w:r w:rsidR="002F7820">
              <w:rPr>
                <w:rFonts w:cs="Arial"/>
                <w:b/>
                <w:bCs/>
                <w:color w:val="000000"/>
                <w:sz w:val="20"/>
                <w:szCs w:val="20"/>
              </w:rPr>
              <w:t>a</w:t>
            </w:r>
            <w:r w:rsidRPr="00E970E1">
              <w:rPr>
                <w:rFonts w:cs="Arial"/>
                <w:b/>
                <w:bCs/>
                <w:color w:val="000000"/>
                <w:sz w:val="20"/>
                <w:szCs w:val="20"/>
              </w:rPr>
              <w:t xml:space="preserve">ssessment </w:t>
            </w:r>
          </w:p>
        </w:tc>
        <w:tc>
          <w:tcPr>
            <w:tcW w:w="6480" w:type="dxa"/>
            <w:tcBorders>
              <w:top w:val="nil"/>
              <w:left w:val="nil"/>
              <w:right w:val="nil"/>
            </w:tcBorders>
            <w:shd w:val="clear" w:color="auto" w:fill="auto"/>
            <w:hideMark/>
          </w:tcPr>
          <w:p w14:paraId="68D63F9A" w14:textId="77777777" w:rsidR="00E970E1" w:rsidRPr="00E970E1" w:rsidRDefault="00E970E1" w:rsidP="00E970E1">
            <w:pPr>
              <w:spacing w:before="0" w:after="0" w:line="240" w:lineRule="auto"/>
              <w:rPr>
                <w:rFonts w:cs="Arial"/>
                <w:color w:val="000000"/>
                <w:sz w:val="20"/>
                <w:szCs w:val="20"/>
              </w:rPr>
            </w:pPr>
            <w:r w:rsidRPr="00E970E1">
              <w:rPr>
                <w:rFonts w:cs="Arial"/>
                <w:color w:val="000000"/>
                <w:sz w:val="20"/>
                <w:szCs w:val="20"/>
              </w:rPr>
              <w:t xml:space="preserve">Short stay assessment (METeOR ID: 655704) is, as follows: </w:t>
            </w:r>
          </w:p>
        </w:tc>
      </w:tr>
      <w:tr w:rsidR="005C1D3C" w:rsidRPr="00E970E1" w14:paraId="68D63F9E" w14:textId="77777777" w:rsidTr="005C1D3C">
        <w:trPr>
          <w:trHeight w:val="765"/>
        </w:trPr>
        <w:tc>
          <w:tcPr>
            <w:tcW w:w="3340" w:type="dxa"/>
            <w:vMerge/>
            <w:tcBorders>
              <w:top w:val="nil"/>
              <w:left w:val="nil"/>
              <w:bottom w:val="nil"/>
            </w:tcBorders>
            <w:vAlign w:val="center"/>
            <w:hideMark/>
          </w:tcPr>
          <w:p w14:paraId="68D63F9C"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hideMark/>
          </w:tcPr>
          <w:p w14:paraId="68D63F9D" w14:textId="3A98A1DB"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c</w:t>
            </w:r>
            <w:r w:rsidRPr="005C1D3C">
              <w:rPr>
                <w:rFonts w:cs="Arial"/>
                <w:color w:val="000000"/>
                <w:sz w:val="20"/>
                <w:szCs w:val="20"/>
              </w:rPr>
              <w:t xml:space="preserve">linical </w:t>
            </w:r>
            <w:r>
              <w:rPr>
                <w:rFonts w:cs="Arial"/>
                <w:color w:val="000000"/>
                <w:sz w:val="20"/>
                <w:szCs w:val="20"/>
              </w:rPr>
              <w:t>e</w:t>
            </w:r>
            <w:r w:rsidRPr="005C1D3C">
              <w:rPr>
                <w:rFonts w:cs="Arial"/>
                <w:color w:val="000000"/>
                <w:sz w:val="20"/>
                <w:szCs w:val="20"/>
              </w:rPr>
              <w:t xml:space="preserve">mergency care also includes non-urgent emergency care, as per the IHPA </w:t>
            </w:r>
            <w:r>
              <w:rPr>
                <w:rFonts w:cs="Arial"/>
                <w:color w:val="000000"/>
                <w:sz w:val="20"/>
                <w:szCs w:val="20"/>
              </w:rPr>
              <w:t>e</w:t>
            </w:r>
            <w:r w:rsidRPr="005C1D3C">
              <w:rPr>
                <w:rFonts w:cs="Arial"/>
                <w:color w:val="000000"/>
                <w:sz w:val="20"/>
                <w:szCs w:val="20"/>
              </w:rPr>
              <w:t>mergency services definition</w:t>
            </w:r>
          </w:p>
        </w:tc>
      </w:tr>
      <w:tr w:rsidR="005C1D3C" w:rsidRPr="00E970E1" w14:paraId="68D63FA1" w14:textId="77777777" w:rsidTr="005C1D3C">
        <w:trPr>
          <w:trHeight w:val="300"/>
        </w:trPr>
        <w:tc>
          <w:tcPr>
            <w:tcW w:w="3340" w:type="dxa"/>
            <w:vMerge/>
            <w:tcBorders>
              <w:top w:val="nil"/>
              <w:left w:val="nil"/>
              <w:bottom w:val="nil"/>
            </w:tcBorders>
            <w:vAlign w:val="center"/>
            <w:hideMark/>
          </w:tcPr>
          <w:p w14:paraId="68D63F9F"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tcPr>
          <w:p w14:paraId="68D63FA0" w14:textId="270F7C44"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d</w:t>
            </w:r>
            <w:r w:rsidRPr="00E970E1">
              <w:rPr>
                <w:rFonts w:cs="Arial"/>
                <w:color w:val="000000"/>
                <w:sz w:val="20"/>
                <w:szCs w:val="20"/>
              </w:rPr>
              <w:t>esigned for short term stays no longer than 24 hours</w:t>
            </w:r>
          </w:p>
        </w:tc>
      </w:tr>
      <w:tr w:rsidR="005C1D3C" w:rsidRPr="00E970E1" w14:paraId="68D63FA4" w14:textId="77777777" w:rsidTr="005C1D3C">
        <w:trPr>
          <w:trHeight w:val="300"/>
        </w:trPr>
        <w:tc>
          <w:tcPr>
            <w:tcW w:w="3340" w:type="dxa"/>
            <w:vMerge/>
            <w:tcBorders>
              <w:top w:val="nil"/>
              <w:left w:val="nil"/>
              <w:bottom w:val="nil"/>
            </w:tcBorders>
            <w:vAlign w:val="center"/>
            <w:hideMark/>
          </w:tcPr>
          <w:p w14:paraId="68D63FA2"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hideMark/>
          </w:tcPr>
          <w:p w14:paraId="68D63FA3" w14:textId="10A9DB96"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d</w:t>
            </w:r>
            <w:r w:rsidRPr="005C1D3C">
              <w:rPr>
                <w:rFonts w:cs="Arial"/>
                <w:color w:val="000000"/>
                <w:sz w:val="20"/>
                <w:szCs w:val="20"/>
              </w:rPr>
              <w:t xml:space="preserve">esignated and designed for the short term treatment, observation, assessment and reassessment of patients initially triaged and assessed </w:t>
            </w:r>
            <w:r w:rsidR="00EC58FA">
              <w:rPr>
                <w:rFonts w:cs="Arial"/>
                <w:color w:val="000000"/>
                <w:sz w:val="20"/>
                <w:szCs w:val="20"/>
              </w:rPr>
              <w:t>in the e</w:t>
            </w:r>
            <w:r w:rsidRPr="005C1D3C">
              <w:rPr>
                <w:rFonts w:cs="Arial"/>
                <w:color w:val="000000"/>
                <w:sz w:val="20"/>
                <w:szCs w:val="20"/>
              </w:rPr>
              <w:t>mergency department</w:t>
            </w:r>
          </w:p>
        </w:tc>
      </w:tr>
      <w:tr w:rsidR="005C1D3C" w:rsidRPr="00E970E1" w14:paraId="68D63FA7" w14:textId="77777777" w:rsidTr="005C1D3C">
        <w:trPr>
          <w:trHeight w:val="300"/>
        </w:trPr>
        <w:tc>
          <w:tcPr>
            <w:tcW w:w="3340" w:type="dxa"/>
            <w:vMerge/>
            <w:tcBorders>
              <w:top w:val="nil"/>
              <w:left w:val="nil"/>
              <w:bottom w:val="nil"/>
            </w:tcBorders>
            <w:vAlign w:val="center"/>
            <w:hideMark/>
          </w:tcPr>
          <w:p w14:paraId="68D63FA5"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hideMark/>
          </w:tcPr>
          <w:p w14:paraId="68D63FA6" w14:textId="7460224E"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h</w:t>
            </w:r>
            <w:r w:rsidRPr="005C1D3C">
              <w:rPr>
                <w:rFonts w:cs="Arial"/>
                <w:color w:val="000000"/>
                <w:sz w:val="20"/>
                <w:szCs w:val="20"/>
              </w:rPr>
              <w:t>ave specific admission and discharge criteria and policies</w:t>
            </w:r>
          </w:p>
        </w:tc>
      </w:tr>
      <w:tr w:rsidR="005C1D3C" w:rsidRPr="00E970E1" w14:paraId="68D63FAA" w14:textId="77777777" w:rsidTr="005C1D3C">
        <w:trPr>
          <w:trHeight w:val="510"/>
        </w:trPr>
        <w:tc>
          <w:tcPr>
            <w:tcW w:w="3340" w:type="dxa"/>
            <w:vMerge/>
            <w:tcBorders>
              <w:top w:val="nil"/>
              <w:left w:val="nil"/>
              <w:bottom w:val="nil"/>
            </w:tcBorders>
            <w:vAlign w:val="center"/>
            <w:hideMark/>
          </w:tcPr>
          <w:p w14:paraId="68D63FA8"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hideMark/>
          </w:tcPr>
          <w:p w14:paraId="68D63FA9" w14:textId="19D1DAD7"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h</w:t>
            </w:r>
            <w:r w:rsidRPr="005C1D3C">
              <w:rPr>
                <w:rFonts w:cs="Arial"/>
                <w:color w:val="000000"/>
                <w:sz w:val="20"/>
                <w:szCs w:val="20"/>
              </w:rPr>
              <w:t>ave a static number of beds with oxygen, suction, patient ablution facilities</w:t>
            </w:r>
          </w:p>
        </w:tc>
      </w:tr>
      <w:tr w:rsidR="005C1D3C" w:rsidRPr="00E970E1" w14:paraId="68D63FAD" w14:textId="77777777" w:rsidTr="005C1D3C">
        <w:trPr>
          <w:trHeight w:val="510"/>
        </w:trPr>
        <w:tc>
          <w:tcPr>
            <w:tcW w:w="3340" w:type="dxa"/>
            <w:vMerge/>
            <w:tcBorders>
              <w:top w:val="nil"/>
              <w:left w:val="nil"/>
              <w:bottom w:val="nil"/>
            </w:tcBorders>
            <w:vAlign w:val="center"/>
            <w:hideMark/>
          </w:tcPr>
          <w:p w14:paraId="68D63FAB"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hideMark/>
          </w:tcPr>
          <w:p w14:paraId="68D63FAC" w14:textId="589BBE1B"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n</w:t>
            </w:r>
            <w:r w:rsidRPr="005C1D3C">
              <w:rPr>
                <w:rFonts w:cs="Arial"/>
                <w:color w:val="000000"/>
                <w:sz w:val="20"/>
                <w:szCs w:val="20"/>
              </w:rPr>
              <w:t>ot a temporary ED overflow area nor used to keep patients solely awaiting an inpatient bed nor awaiting treatment in the ED</w:t>
            </w:r>
          </w:p>
        </w:tc>
      </w:tr>
      <w:tr w:rsidR="005C1D3C" w:rsidRPr="00E970E1" w14:paraId="68D63FB0" w14:textId="77777777" w:rsidTr="005C1D3C">
        <w:trPr>
          <w:trHeight w:val="510"/>
        </w:trPr>
        <w:tc>
          <w:tcPr>
            <w:tcW w:w="3340" w:type="dxa"/>
            <w:vMerge/>
            <w:tcBorders>
              <w:top w:val="nil"/>
              <w:left w:val="nil"/>
              <w:bottom w:val="nil"/>
            </w:tcBorders>
            <w:vAlign w:val="center"/>
            <w:hideMark/>
          </w:tcPr>
          <w:p w14:paraId="68D63FAE" w14:textId="77777777" w:rsidR="005C1D3C" w:rsidRPr="00E970E1" w:rsidRDefault="005C1D3C" w:rsidP="005C1D3C">
            <w:pPr>
              <w:spacing w:before="0" w:after="0" w:line="240" w:lineRule="auto"/>
              <w:rPr>
                <w:rFonts w:cs="Arial"/>
                <w:b/>
                <w:bCs/>
                <w:color w:val="000000"/>
                <w:sz w:val="20"/>
                <w:szCs w:val="20"/>
              </w:rPr>
            </w:pPr>
          </w:p>
        </w:tc>
        <w:tc>
          <w:tcPr>
            <w:tcW w:w="6480" w:type="dxa"/>
            <w:shd w:val="clear" w:color="auto" w:fill="auto"/>
          </w:tcPr>
          <w:p w14:paraId="68D63FAF" w14:textId="29398C12" w:rsidR="005C1D3C" w:rsidRPr="005C1D3C" w:rsidRDefault="005C1D3C" w:rsidP="005C1D3C">
            <w:pPr>
              <w:pStyle w:val="ListParagraph"/>
              <w:numPr>
                <w:ilvl w:val="0"/>
                <w:numId w:val="30"/>
              </w:numPr>
              <w:spacing w:before="0" w:after="0" w:line="240" w:lineRule="auto"/>
              <w:rPr>
                <w:rFonts w:cs="Arial"/>
                <w:color w:val="000000"/>
                <w:sz w:val="20"/>
                <w:szCs w:val="20"/>
              </w:rPr>
            </w:pPr>
            <w:r>
              <w:rPr>
                <w:rFonts w:cs="Arial"/>
                <w:color w:val="000000"/>
                <w:sz w:val="20"/>
                <w:szCs w:val="20"/>
              </w:rPr>
              <w:t>p</w:t>
            </w:r>
            <w:r w:rsidRPr="005C1D3C">
              <w:rPr>
                <w:rFonts w:cs="Arial"/>
                <w:color w:val="000000"/>
                <w:sz w:val="20"/>
                <w:szCs w:val="20"/>
              </w:rPr>
              <w:t>hysically separated from the ED acute assessment area</w:t>
            </w:r>
          </w:p>
        </w:tc>
      </w:tr>
      <w:tr w:rsidR="005C1D3C" w:rsidRPr="00E970E1" w14:paraId="68D63FB3" w14:textId="77777777" w:rsidTr="005C1D3C">
        <w:trPr>
          <w:trHeight w:val="765"/>
        </w:trPr>
        <w:tc>
          <w:tcPr>
            <w:tcW w:w="3340" w:type="dxa"/>
            <w:tcBorders>
              <w:top w:val="nil"/>
              <w:left w:val="nil"/>
              <w:bottom w:val="nil"/>
              <w:right w:val="nil"/>
            </w:tcBorders>
            <w:shd w:val="clear" w:color="auto" w:fill="auto"/>
            <w:hideMark/>
          </w:tcPr>
          <w:p w14:paraId="68D63FB1" w14:textId="2BB8AE66" w:rsidR="005C1D3C" w:rsidRPr="00E970E1" w:rsidRDefault="005C1D3C">
            <w:pPr>
              <w:spacing w:before="0" w:after="0" w:line="240" w:lineRule="auto"/>
              <w:rPr>
                <w:rFonts w:cs="Arial"/>
                <w:b/>
                <w:bCs/>
                <w:color w:val="000000"/>
                <w:sz w:val="20"/>
                <w:szCs w:val="20"/>
              </w:rPr>
            </w:pPr>
            <w:r w:rsidRPr="00E970E1">
              <w:rPr>
                <w:rFonts w:cs="Arial"/>
                <w:b/>
                <w:bCs/>
                <w:color w:val="000000"/>
                <w:sz w:val="20"/>
                <w:szCs w:val="20"/>
              </w:rPr>
              <w:t xml:space="preserve">Specialised </w:t>
            </w:r>
            <w:r>
              <w:rPr>
                <w:rFonts w:cs="Arial"/>
                <w:b/>
                <w:bCs/>
                <w:color w:val="000000"/>
                <w:sz w:val="20"/>
                <w:szCs w:val="20"/>
              </w:rPr>
              <w:t>p</w:t>
            </w:r>
            <w:r w:rsidRPr="00E970E1">
              <w:rPr>
                <w:rFonts w:cs="Arial"/>
                <w:b/>
                <w:bCs/>
                <w:color w:val="000000"/>
                <w:sz w:val="20"/>
                <w:szCs w:val="20"/>
              </w:rPr>
              <w:t xml:space="preserve">rocedure </w:t>
            </w:r>
            <w:r>
              <w:rPr>
                <w:rFonts w:cs="Arial"/>
                <w:b/>
                <w:bCs/>
                <w:color w:val="000000"/>
                <w:sz w:val="20"/>
                <w:szCs w:val="20"/>
              </w:rPr>
              <w:t>s</w:t>
            </w:r>
            <w:r w:rsidRPr="00E970E1">
              <w:rPr>
                <w:rFonts w:cs="Arial"/>
                <w:b/>
                <w:bCs/>
                <w:color w:val="000000"/>
                <w:sz w:val="20"/>
                <w:szCs w:val="20"/>
              </w:rPr>
              <w:t xml:space="preserve">uite </w:t>
            </w:r>
          </w:p>
        </w:tc>
        <w:tc>
          <w:tcPr>
            <w:tcW w:w="6480" w:type="dxa"/>
            <w:tcBorders>
              <w:left w:val="nil"/>
              <w:bottom w:val="nil"/>
              <w:right w:val="nil"/>
            </w:tcBorders>
            <w:shd w:val="clear" w:color="auto" w:fill="auto"/>
            <w:hideMark/>
          </w:tcPr>
          <w:p w14:paraId="68D63FB2" w14:textId="1E99C9FF" w:rsidR="005C1D3C" w:rsidRPr="00E970E1" w:rsidRDefault="005C1D3C" w:rsidP="005C1D3C">
            <w:pPr>
              <w:spacing w:before="0" w:after="0" w:line="240" w:lineRule="auto"/>
              <w:rPr>
                <w:rFonts w:cs="Arial"/>
                <w:color w:val="000000"/>
                <w:sz w:val="20"/>
                <w:szCs w:val="20"/>
              </w:rPr>
            </w:pPr>
            <w:r w:rsidRPr="00E970E1">
              <w:rPr>
                <w:rFonts w:cs="Arial"/>
                <w:color w:val="000000"/>
                <w:sz w:val="20"/>
                <w:szCs w:val="20"/>
              </w:rPr>
              <w:t xml:space="preserve">Specialised </w:t>
            </w:r>
            <w:r w:rsidR="00C76532">
              <w:rPr>
                <w:rFonts w:cs="Arial"/>
                <w:color w:val="000000"/>
                <w:sz w:val="20"/>
                <w:szCs w:val="20"/>
              </w:rPr>
              <w:t>p</w:t>
            </w:r>
            <w:r w:rsidRPr="00E970E1">
              <w:rPr>
                <w:rFonts w:cs="Arial"/>
                <w:color w:val="000000"/>
                <w:sz w:val="20"/>
                <w:szCs w:val="20"/>
              </w:rPr>
              <w:t xml:space="preserve">rocedure </w:t>
            </w:r>
            <w:r w:rsidR="00C76532">
              <w:rPr>
                <w:rFonts w:cs="Arial"/>
                <w:color w:val="000000"/>
                <w:sz w:val="20"/>
                <w:szCs w:val="20"/>
              </w:rPr>
              <w:t>s</w:t>
            </w:r>
            <w:r w:rsidRPr="00E970E1">
              <w:rPr>
                <w:rFonts w:cs="Arial"/>
                <w:color w:val="000000"/>
                <w:sz w:val="20"/>
                <w:szCs w:val="20"/>
              </w:rPr>
              <w:t>uite (SPS) refers to a designated area of a hospital where surgical and non-surgical procedures are performed by an appropriately qualified clinician (including medical scientists)</w:t>
            </w:r>
            <w:r w:rsidR="00C76532">
              <w:rPr>
                <w:rFonts w:cs="Arial"/>
                <w:color w:val="000000"/>
                <w:sz w:val="20"/>
                <w:szCs w:val="20"/>
              </w:rPr>
              <w:t>.</w:t>
            </w:r>
          </w:p>
        </w:tc>
      </w:tr>
      <w:tr w:rsidR="005C1D3C" w:rsidRPr="00E970E1" w14:paraId="68D63FB6" w14:textId="77777777" w:rsidTr="00E970E1">
        <w:trPr>
          <w:trHeight w:val="765"/>
        </w:trPr>
        <w:tc>
          <w:tcPr>
            <w:tcW w:w="3340" w:type="dxa"/>
            <w:vMerge w:val="restart"/>
            <w:tcBorders>
              <w:top w:val="nil"/>
              <w:left w:val="nil"/>
              <w:bottom w:val="nil"/>
              <w:right w:val="nil"/>
            </w:tcBorders>
            <w:shd w:val="clear" w:color="auto" w:fill="auto"/>
            <w:hideMark/>
          </w:tcPr>
          <w:p w14:paraId="68D63FB4" w14:textId="77777777" w:rsidR="005C1D3C" w:rsidRPr="00E970E1" w:rsidRDefault="005C1D3C" w:rsidP="005C1D3C">
            <w:pPr>
              <w:spacing w:before="0" w:after="0" w:line="240" w:lineRule="auto"/>
              <w:rPr>
                <w:rFonts w:cs="Arial"/>
                <w:b/>
                <w:bCs/>
                <w:color w:val="000000"/>
                <w:sz w:val="20"/>
                <w:szCs w:val="20"/>
              </w:rPr>
            </w:pPr>
            <w:r w:rsidRPr="00E970E1">
              <w:rPr>
                <w:rFonts w:cs="Arial"/>
                <w:b/>
                <w:bCs/>
                <w:color w:val="000000"/>
                <w:sz w:val="20"/>
                <w:szCs w:val="20"/>
              </w:rPr>
              <w:lastRenderedPageBreak/>
              <w:t xml:space="preserve">Teaching and </w:t>
            </w:r>
            <w:r>
              <w:rPr>
                <w:rFonts w:cs="Arial"/>
                <w:b/>
                <w:bCs/>
                <w:color w:val="000000"/>
                <w:sz w:val="20"/>
                <w:szCs w:val="20"/>
              </w:rPr>
              <w:t>t</w:t>
            </w:r>
            <w:r w:rsidRPr="00E970E1">
              <w:rPr>
                <w:rFonts w:cs="Arial"/>
                <w:b/>
                <w:bCs/>
                <w:color w:val="000000"/>
                <w:sz w:val="20"/>
                <w:szCs w:val="20"/>
              </w:rPr>
              <w:t>raining</w:t>
            </w:r>
          </w:p>
        </w:tc>
        <w:tc>
          <w:tcPr>
            <w:tcW w:w="6480" w:type="dxa"/>
            <w:tcBorders>
              <w:top w:val="nil"/>
              <w:left w:val="nil"/>
              <w:bottom w:val="nil"/>
              <w:right w:val="nil"/>
            </w:tcBorders>
            <w:shd w:val="clear" w:color="auto" w:fill="auto"/>
            <w:hideMark/>
          </w:tcPr>
          <w:p w14:paraId="68D63FB5" w14:textId="5809E607" w:rsidR="005C1D3C" w:rsidRPr="00E970E1" w:rsidRDefault="005C1D3C" w:rsidP="005C1D3C">
            <w:pPr>
              <w:spacing w:before="0" w:after="0" w:line="240" w:lineRule="auto"/>
              <w:rPr>
                <w:rFonts w:cs="Arial"/>
                <w:color w:val="000000"/>
                <w:sz w:val="20"/>
                <w:szCs w:val="20"/>
              </w:rPr>
            </w:pPr>
            <w:r w:rsidRPr="00E970E1">
              <w:rPr>
                <w:rFonts w:cs="Arial"/>
                <w:color w:val="000000"/>
                <w:sz w:val="20"/>
                <w:szCs w:val="20"/>
              </w:rPr>
              <w:t>Teaching and training refer to the activities provided by or on behalf of a public health service to facilitate the acquisition of knowledge, or development of skills. These activities are required for an individual to:</w:t>
            </w:r>
          </w:p>
        </w:tc>
      </w:tr>
      <w:tr w:rsidR="005C1D3C" w:rsidRPr="00E970E1" w14:paraId="68D63FB9" w14:textId="77777777" w:rsidTr="00E970E1">
        <w:trPr>
          <w:trHeight w:val="510"/>
        </w:trPr>
        <w:tc>
          <w:tcPr>
            <w:tcW w:w="3340" w:type="dxa"/>
            <w:vMerge/>
            <w:tcBorders>
              <w:top w:val="nil"/>
              <w:left w:val="nil"/>
              <w:bottom w:val="nil"/>
              <w:right w:val="nil"/>
            </w:tcBorders>
            <w:vAlign w:val="center"/>
            <w:hideMark/>
          </w:tcPr>
          <w:p w14:paraId="68D63FB7"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B8" w14:textId="0CE70478" w:rsidR="005C1D3C" w:rsidRPr="00A27C5B" w:rsidRDefault="005C1D3C" w:rsidP="00A27C5B">
            <w:pPr>
              <w:pStyle w:val="ListParagraph"/>
              <w:numPr>
                <w:ilvl w:val="0"/>
                <w:numId w:val="32"/>
              </w:numPr>
              <w:spacing w:before="0" w:after="0" w:line="240" w:lineRule="auto"/>
              <w:rPr>
                <w:rFonts w:cs="Arial"/>
                <w:color w:val="000000"/>
                <w:sz w:val="20"/>
                <w:szCs w:val="20"/>
              </w:rPr>
            </w:pPr>
            <w:r w:rsidRPr="00A27C5B">
              <w:rPr>
                <w:rFonts w:cs="Arial"/>
                <w:color w:val="000000"/>
                <w:sz w:val="20"/>
                <w:szCs w:val="20"/>
              </w:rPr>
              <w:t>attain the necessary qualifications or recognised professional body registration to practice</w:t>
            </w:r>
          </w:p>
        </w:tc>
      </w:tr>
      <w:tr w:rsidR="005C1D3C" w:rsidRPr="00E970E1" w14:paraId="68D63FBC" w14:textId="77777777" w:rsidTr="00E970E1">
        <w:trPr>
          <w:trHeight w:val="510"/>
        </w:trPr>
        <w:tc>
          <w:tcPr>
            <w:tcW w:w="3340" w:type="dxa"/>
            <w:vMerge/>
            <w:tcBorders>
              <w:top w:val="nil"/>
              <w:left w:val="nil"/>
              <w:bottom w:val="nil"/>
              <w:right w:val="nil"/>
            </w:tcBorders>
            <w:vAlign w:val="center"/>
            <w:hideMark/>
          </w:tcPr>
          <w:p w14:paraId="68D63FBA"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BB" w14:textId="15A3385A" w:rsidR="005C1D3C" w:rsidRPr="00A27C5B" w:rsidRDefault="005C1D3C" w:rsidP="00A27C5B">
            <w:pPr>
              <w:pStyle w:val="ListParagraph"/>
              <w:numPr>
                <w:ilvl w:val="0"/>
                <w:numId w:val="32"/>
              </w:numPr>
              <w:spacing w:before="0" w:after="0" w:line="240" w:lineRule="auto"/>
              <w:rPr>
                <w:rFonts w:cs="Arial"/>
                <w:color w:val="000000"/>
                <w:sz w:val="20"/>
                <w:szCs w:val="20"/>
              </w:rPr>
            </w:pPr>
            <w:r w:rsidRPr="00A27C5B">
              <w:rPr>
                <w:rFonts w:cs="Arial"/>
                <w:color w:val="000000"/>
                <w:sz w:val="20"/>
                <w:szCs w:val="20"/>
              </w:rPr>
              <w:t>acquire sufficient clinical competence upon entering the workforce for practising their discipline</w:t>
            </w:r>
            <w:r w:rsidR="00C76532">
              <w:rPr>
                <w:rFonts w:cs="Arial"/>
                <w:color w:val="000000"/>
                <w:sz w:val="20"/>
                <w:szCs w:val="20"/>
              </w:rPr>
              <w:t>,</w:t>
            </w:r>
            <w:r w:rsidRPr="00A27C5B">
              <w:rPr>
                <w:rFonts w:cs="Arial"/>
                <w:color w:val="000000"/>
                <w:sz w:val="20"/>
                <w:szCs w:val="20"/>
              </w:rPr>
              <w:t xml:space="preserve"> or</w:t>
            </w:r>
          </w:p>
        </w:tc>
      </w:tr>
      <w:tr w:rsidR="005C1D3C" w:rsidRPr="00E970E1" w14:paraId="68D63FBF" w14:textId="77777777" w:rsidTr="00E970E1">
        <w:trPr>
          <w:trHeight w:val="510"/>
        </w:trPr>
        <w:tc>
          <w:tcPr>
            <w:tcW w:w="3340" w:type="dxa"/>
            <w:vMerge/>
            <w:tcBorders>
              <w:top w:val="nil"/>
              <w:left w:val="nil"/>
              <w:bottom w:val="nil"/>
              <w:right w:val="nil"/>
            </w:tcBorders>
            <w:vAlign w:val="center"/>
            <w:hideMark/>
          </w:tcPr>
          <w:p w14:paraId="68D63FBD"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BE" w14:textId="2888721F" w:rsidR="005C1D3C" w:rsidRPr="00A27C5B" w:rsidRDefault="005C1D3C" w:rsidP="00A27C5B">
            <w:pPr>
              <w:pStyle w:val="ListParagraph"/>
              <w:numPr>
                <w:ilvl w:val="0"/>
                <w:numId w:val="32"/>
              </w:numPr>
              <w:spacing w:before="0" w:after="0" w:line="240" w:lineRule="auto"/>
              <w:rPr>
                <w:rFonts w:cs="Arial"/>
                <w:color w:val="000000"/>
                <w:sz w:val="20"/>
                <w:szCs w:val="20"/>
              </w:rPr>
            </w:pPr>
            <w:r w:rsidRPr="00A27C5B">
              <w:rPr>
                <w:rFonts w:cs="Arial"/>
                <w:color w:val="000000"/>
                <w:sz w:val="20"/>
                <w:szCs w:val="20"/>
              </w:rPr>
              <w:t>undertake specialist</w:t>
            </w:r>
            <w:r w:rsidR="00C76532">
              <w:rPr>
                <w:rFonts w:cs="Arial"/>
                <w:color w:val="000000"/>
                <w:sz w:val="20"/>
                <w:szCs w:val="20"/>
              </w:rPr>
              <w:t xml:space="preserve"> or </w:t>
            </w:r>
            <w:r w:rsidRPr="00A27C5B">
              <w:rPr>
                <w:rFonts w:cs="Arial"/>
                <w:color w:val="000000"/>
                <w:sz w:val="20"/>
                <w:szCs w:val="20"/>
              </w:rPr>
              <w:t xml:space="preserve">advanced practice in </w:t>
            </w:r>
            <w:r w:rsidR="00C76532">
              <w:rPr>
                <w:rFonts w:cs="Arial"/>
                <w:color w:val="000000"/>
                <w:sz w:val="20"/>
                <w:szCs w:val="20"/>
              </w:rPr>
              <w:t>m</w:t>
            </w:r>
            <w:r w:rsidRPr="00A27C5B">
              <w:rPr>
                <w:rFonts w:cs="Arial"/>
                <w:color w:val="000000"/>
                <w:sz w:val="20"/>
                <w:szCs w:val="20"/>
              </w:rPr>
              <w:t xml:space="preserve">edicine, </w:t>
            </w:r>
            <w:r w:rsidR="00C76532">
              <w:rPr>
                <w:rFonts w:cs="Arial"/>
                <w:color w:val="000000"/>
                <w:sz w:val="20"/>
                <w:szCs w:val="20"/>
              </w:rPr>
              <w:t>d</w:t>
            </w:r>
            <w:r w:rsidRPr="00A27C5B">
              <w:rPr>
                <w:rFonts w:cs="Arial"/>
                <w:color w:val="000000"/>
                <w:sz w:val="20"/>
                <w:szCs w:val="20"/>
              </w:rPr>
              <w:t xml:space="preserve">entistry, </w:t>
            </w:r>
            <w:r w:rsidR="00C76532">
              <w:rPr>
                <w:rFonts w:cs="Arial"/>
                <w:color w:val="000000"/>
                <w:sz w:val="20"/>
                <w:szCs w:val="20"/>
              </w:rPr>
              <w:t>n</w:t>
            </w:r>
            <w:r w:rsidRPr="00A27C5B">
              <w:rPr>
                <w:rFonts w:cs="Arial"/>
                <w:color w:val="000000"/>
                <w:sz w:val="20"/>
                <w:szCs w:val="20"/>
              </w:rPr>
              <w:t xml:space="preserve">ursing, </w:t>
            </w:r>
            <w:r w:rsidR="00C76532">
              <w:rPr>
                <w:rFonts w:cs="Arial"/>
                <w:color w:val="000000"/>
                <w:sz w:val="20"/>
                <w:szCs w:val="20"/>
              </w:rPr>
              <w:t>m</w:t>
            </w:r>
            <w:r w:rsidRPr="00A27C5B">
              <w:rPr>
                <w:rFonts w:cs="Arial"/>
                <w:color w:val="000000"/>
                <w:sz w:val="20"/>
                <w:szCs w:val="20"/>
              </w:rPr>
              <w:t xml:space="preserve">idwifery or </w:t>
            </w:r>
            <w:r w:rsidR="00C76532">
              <w:rPr>
                <w:rFonts w:cs="Arial"/>
                <w:color w:val="000000"/>
                <w:sz w:val="20"/>
                <w:szCs w:val="20"/>
              </w:rPr>
              <w:t>a</w:t>
            </w:r>
            <w:r w:rsidRPr="00A27C5B">
              <w:rPr>
                <w:rFonts w:cs="Arial"/>
                <w:color w:val="000000"/>
                <w:sz w:val="20"/>
                <w:szCs w:val="20"/>
              </w:rPr>
              <w:t xml:space="preserve">llied </w:t>
            </w:r>
            <w:r w:rsidR="00C76532">
              <w:rPr>
                <w:rFonts w:cs="Arial"/>
                <w:color w:val="000000"/>
                <w:sz w:val="20"/>
                <w:szCs w:val="20"/>
              </w:rPr>
              <w:t>h</w:t>
            </w:r>
            <w:r w:rsidRPr="00A27C5B">
              <w:rPr>
                <w:rFonts w:cs="Arial"/>
                <w:color w:val="000000"/>
                <w:sz w:val="20"/>
                <w:szCs w:val="20"/>
              </w:rPr>
              <w:t>ealth.</w:t>
            </w:r>
          </w:p>
        </w:tc>
      </w:tr>
      <w:tr w:rsidR="005C1D3C" w:rsidRPr="00E970E1" w14:paraId="68D63FC2" w14:textId="77777777" w:rsidTr="00E970E1">
        <w:trPr>
          <w:trHeight w:val="510"/>
        </w:trPr>
        <w:tc>
          <w:tcPr>
            <w:tcW w:w="3340" w:type="dxa"/>
            <w:vMerge/>
            <w:tcBorders>
              <w:top w:val="nil"/>
              <w:left w:val="nil"/>
              <w:bottom w:val="nil"/>
              <w:right w:val="nil"/>
            </w:tcBorders>
            <w:vAlign w:val="center"/>
            <w:hideMark/>
          </w:tcPr>
          <w:p w14:paraId="68D63FC0"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C1" w14:textId="158ED147" w:rsidR="005C1D3C" w:rsidRPr="00E970E1" w:rsidRDefault="005C1D3C" w:rsidP="005C1D3C">
            <w:pPr>
              <w:spacing w:before="0" w:after="0" w:line="240" w:lineRule="auto"/>
              <w:rPr>
                <w:rFonts w:cs="Arial"/>
                <w:color w:val="000000"/>
                <w:sz w:val="20"/>
                <w:szCs w:val="20"/>
              </w:rPr>
            </w:pPr>
            <w:r w:rsidRPr="00E970E1">
              <w:rPr>
                <w:rFonts w:cs="Arial"/>
                <w:color w:val="000000"/>
                <w:sz w:val="20"/>
                <w:szCs w:val="20"/>
              </w:rPr>
              <w:t xml:space="preserve">A number of activities can be identified as </w:t>
            </w:r>
            <w:r w:rsidR="00C76532">
              <w:rPr>
                <w:rFonts w:cs="Arial"/>
                <w:color w:val="000000"/>
                <w:sz w:val="20"/>
                <w:szCs w:val="20"/>
              </w:rPr>
              <w:t>t</w:t>
            </w:r>
            <w:r w:rsidRPr="00E970E1">
              <w:rPr>
                <w:rFonts w:cs="Arial"/>
                <w:color w:val="000000"/>
                <w:sz w:val="20"/>
                <w:szCs w:val="20"/>
              </w:rPr>
              <w:t>eaching and training within a health service. These include:</w:t>
            </w:r>
          </w:p>
        </w:tc>
      </w:tr>
      <w:tr w:rsidR="005C1D3C" w:rsidRPr="00E970E1" w14:paraId="68D63FC5" w14:textId="77777777" w:rsidTr="00E970E1">
        <w:trPr>
          <w:trHeight w:val="1020"/>
        </w:trPr>
        <w:tc>
          <w:tcPr>
            <w:tcW w:w="3340" w:type="dxa"/>
            <w:vMerge/>
            <w:tcBorders>
              <w:top w:val="nil"/>
              <w:left w:val="nil"/>
              <w:bottom w:val="nil"/>
              <w:right w:val="nil"/>
            </w:tcBorders>
            <w:vAlign w:val="center"/>
            <w:hideMark/>
          </w:tcPr>
          <w:p w14:paraId="68D63FC3"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C4" w14:textId="77777777" w:rsidR="005C1D3C" w:rsidRPr="00A27C5B" w:rsidRDefault="005C1D3C" w:rsidP="00A27C5B">
            <w:pPr>
              <w:pStyle w:val="ListParagraph"/>
              <w:numPr>
                <w:ilvl w:val="0"/>
                <w:numId w:val="33"/>
              </w:numPr>
              <w:spacing w:before="0" w:after="0" w:line="240" w:lineRule="auto"/>
              <w:rPr>
                <w:rFonts w:cs="Arial"/>
                <w:color w:val="000000"/>
                <w:sz w:val="20"/>
                <w:szCs w:val="20"/>
              </w:rPr>
            </w:pPr>
            <w:r w:rsidRPr="00A27C5B">
              <w:rPr>
                <w:rFonts w:cs="Arial"/>
                <w:color w:val="000000"/>
                <w:sz w:val="20"/>
                <w:szCs w:val="20"/>
              </w:rPr>
              <w:t>Direct activities – are distinct and separable activities that occur outside an episode of care but are directed towards skills and knowledge development (in the case of teaching and training). Direct activities may include lectures, tutorials, simulations and workshops.</w:t>
            </w:r>
          </w:p>
        </w:tc>
      </w:tr>
      <w:tr w:rsidR="005C1D3C" w:rsidRPr="00E970E1" w14:paraId="68D63FC8" w14:textId="77777777" w:rsidTr="00E970E1">
        <w:trPr>
          <w:trHeight w:val="1785"/>
        </w:trPr>
        <w:tc>
          <w:tcPr>
            <w:tcW w:w="3340" w:type="dxa"/>
            <w:vMerge/>
            <w:tcBorders>
              <w:top w:val="nil"/>
              <w:left w:val="nil"/>
              <w:bottom w:val="nil"/>
              <w:right w:val="nil"/>
            </w:tcBorders>
            <w:vAlign w:val="center"/>
            <w:hideMark/>
          </w:tcPr>
          <w:p w14:paraId="68D63FC6"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C7" w14:textId="77777777" w:rsidR="005C1D3C" w:rsidRPr="00A27C5B" w:rsidRDefault="005C1D3C" w:rsidP="00A27C5B">
            <w:pPr>
              <w:pStyle w:val="ListParagraph"/>
              <w:numPr>
                <w:ilvl w:val="0"/>
                <w:numId w:val="33"/>
              </w:numPr>
              <w:spacing w:before="0" w:after="0" w:line="240" w:lineRule="auto"/>
              <w:rPr>
                <w:rFonts w:cs="Arial"/>
                <w:color w:val="000000"/>
                <w:sz w:val="20"/>
                <w:szCs w:val="20"/>
              </w:rPr>
            </w:pPr>
            <w:r w:rsidRPr="00A27C5B">
              <w:rPr>
                <w:rFonts w:cs="Arial"/>
                <w:color w:val="000000"/>
                <w:sz w:val="20"/>
                <w:szCs w:val="20"/>
              </w:rPr>
              <w:t>Indirect (overhead) activities – are those ‘back office’ administrative and coordination activities undertaken by a health service that are essential to facilitate teaching and training activities. These activities may include the coordination of pre-entry student placements, rotations, educational program development or negotiation with higher education providers. The medical, nursing, and allied health administration departments usually coordinate these activities within health services.</w:t>
            </w:r>
          </w:p>
        </w:tc>
      </w:tr>
      <w:tr w:rsidR="005C1D3C" w:rsidRPr="00E970E1" w14:paraId="68D63FCB" w14:textId="77777777" w:rsidTr="00E970E1">
        <w:trPr>
          <w:trHeight w:val="510"/>
        </w:trPr>
        <w:tc>
          <w:tcPr>
            <w:tcW w:w="3340" w:type="dxa"/>
            <w:vMerge/>
            <w:tcBorders>
              <w:top w:val="nil"/>
              <w:left w:val="nil"/>
              <w:bottom w:val="nil"/>
              <w:right w:val="nil"/>
            </w:tcBorders>
            <w:vAlign w:val="center"/>
            <w:hideMark/>
          </w:tcPr>
          <w:p w14:paraId="68D63FC9" w14:textId="77777777" w:rsidR="005C1D3C" w:rsidRPr="00E970E1" w:rsidRDefault="005C1D3C" w:rsidP="005C1D3C">
            <w:p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8D63FCA" w14:textId="36103B0F" w:rsidR="005C1D3C" w:rsidRPr="00A27C5B" w:rsidRDefault="005C1D3C" w:rsidP="00A27C5B">
            <w:pPr>
              <w:pStyle w:val="ListParagraph"/>
              <w:numPr>
                <w:ilvl w:val="0"/>
                <w:numId w:val="33"/>
              </w:numPr>
              <w:spacing w:before="0" w:after="0" w:line="240" w:lineRule="auto"/>
              <w:rPr>
                <w:rFonts w:cs="Arial"/>
                <w:color w:val="000000"/>
                <w:sz w:val="20"/>
                <w:szCs w:val="20"/>
              </w:rPr>
            </w:pPr>
            <w:r w:rsidRPr="00A27C5B">
              <w:rPr>
                <w:rFonts w:cs="Arial"/>
                <w:color w:val="000000"/>
                <w:sz w:val="20"/>
                <w:szCs w:val="20"/>
              </w:rPr>
              <w:t xml:space="preserve">Embedded activities – which describe where </w:t>
            </w:r>
            <w:r w:rsidR="00C76532" w:rsidRPr="00A27C5B">
              <w:rPr>
                <w:rFonts w:cs="Arial"/>
                <w:color w:val="000000"/>
                <w:sz w:val="20"/>
                <w:szCs w:val="20"/>
              </w:rPr>
              <w:t>t</w:t>
            </w:r>
            <w:r w:rsidRPr="00A27C5B">
              <w:rPr>
                <w:rFonts w:cs="Arial"/>
                <w:color w:val="000000"/>
                <w:sz w:val="20"/>
                <w:szCs w:val="20"/>
              </w:rPr>
              <w:t xml:space="preserve">eaching and </w:t>
            </w:r>
            <w:r w:rsidR="00C76532" w:rsidRPr="00A27C5B">
              <w:rPr>
                <w:rFonts w:cs="Arial"/>
                <w:color w:val="000000"/>
                <w:sz w:val="20"/>
                <w:szCs w:val="20"/>
              </w:rPr>
              <w:t>t</w:t>
            </w:r>
            <w:r w:rsidRPr="00A27C5B">
              <w:rPr>
                <w:rFonts w:cs="Arial"/>
                <w:color w:val="000000"/>
                <w:sz w:val="20"/>
                <w:szCs w:val="20"/>
              </w:rPr>
              <w:t>raining occurs in conjunction with patient care.</w:t>
            </w:r>
          </w:p>
        </w:tc>
      </w:tr>
      <w:tr w:rsidR="005C1D3C" w:rsidRPr="00E970E1" w14:paraId="68D63FCE" w14:textId="77777777" w:rsidTr="00E970E1">
        <w:trPr>
          <w:trHeight w:val="1020"/>
        </w:trPr>
        <w:tc>
          <w:tcPr>
            <w:tcW w:w="3340" w:type="dxa"/>
            <w:tcBorders>
              <w:top w:val="nil"/>
              <w:left w:val="nil"/>
              <w:bottom w:val="nil"/>
              <w:right w:val="nil"/>
            </w:tcBorders>
            <w:shd w:val="clear" w:color="auto" w:fill="auto"/>
            <w:hideMark/>
          </w:tcPr>
          <w:p w14:paraId="68D63FCC" w14:textId="77777777" w:rsidR="005C1D3C" w:rsidRPr="00E970E1" w:rsidRDefault="005C1D3C" w:rsidP="005C1D3C">
            <w:pPr>
              <w:spacing w:before="0" w:after="0" w:line="240" w:lineRule="auto"/>
              <w:rPr>
                <w:rFonts w:cs="Arial"/>
                <w:b/>
                <w:bCs/>
                <w:color w:val="000000"/>
                <w:sz w:val="20"/>
                <w:szCs w:val="20"/>
              </w:rPr>
            </w:pPr>
            <w:r w:rsidRPr="00E970E1">
              <w:rPr>
                <w:rFonts w:cs="Arial"/>
                <w:b/>
                <w:bCs/>
                <w:color w:val="000000"/>
                <w:sz w:val="20"/>
                <w:szCs w:val="20"/>
              </w:rPr>
              <w:t>Third party expenses</w:t>
            </w:r>
          </w:p>
        </w:tc>
        <w:tc>
          <w:tcPr>
            <w:tcW w:w="6480" w:type="dxa"/>
            <w:tcBorders>
              <w:top w:val="nil"/>
              <w:left w:val="nil"/>
              <w:bottom w:val="nil"/>
              <w:right w:val="nil"/>
            </w:tcBorders>
            <w:shd w:val="clear" w:color="auto" w:fill="auto"/>
            <w:hideMark/>
          </w:tcPr>
          <w:p w14:paraId="68D63FCD" w14:textId="77777777" w:rsidR="005C1D3C" w:rsidRPr="00E970E1" w:rsidRDefault="005C1D3C" w:rsidP="005C1D3C">
            <w:pPr>
              <w:spacing w:before="0" w:after="0" w:line="240" w:lineRule="auto"/>
              <w:rPr>
                <w:rFonts w:cs="Arial"/>
                <w:color w:val="000000"/>
                <w:sz w:val="20"/>
                <w:szCs w:val="20"/>
              </w:rPr>
            </w:pPr>
            <w:r w:rsidRPr="00E970E1">
              <w:rPr>
                <w:rFonts w:cs="Arial"/>
                <w:color w:val="000000"/>
                <w:sz w:val="20"/>
                <w:szCs w:val="20"/>
              </w:rPr>
              <w:t>Third party expenses are those expenses incurred by a third party on behalf of an organisation for the production of the organisation’s outputs. Third party expenses are not recorded in an organisation’s general ledger as they are not incurred by that organisation.</w:t>
            </w:r>
          </w:p>
        </w:tc>
      </w:tr>
      <w:tr w:rsidR="005C1D3C" w:rsidRPr="00E970E1" w14:paraId="68D63FD1" w14:textId="77777777" w:rsidTr="00E970E1">
        <w:trPr>
          <w:trHeight w:val="1020"/>
        </w:trPr>
        <w:tc>
          <w:tcPr>
            <w:tcW w:w="3340" w:type="dxa"/>
            <w:tcBorders>
              <w:top w:val="nil"/>
              <w:left w:val="nil"/>
              <w:bottom w:val="nil"/>
              <w:right w:val="nil"/>
            </w:tcBorders>
            <w:shd w:val="clear" w:color="auto" w:fill="auto"/>
            <w:hideMark/>
          </w:tcPr>
          <w:p w14:paraId="68D63FCF" w14:textId="77777777" w:rsidR="005C1D3C" w:rsidRPr="00E970E1" w:rsidRDefault="005C1D3C" w:rsidP="005C1D3C">
            <w:pPr>
              <w:spacing w:before="0" w:after="0" w:line="240" w:lineRule="auto"/>
              <w:rPr>
                <w:rFonts w:cs="Arial"/>
                <w:b/>
                <w:bCs/>
                <w:color w:val="000000"/>
                <w:sz w:val="20"/>
                <w:szCs w:val="20"/>
              </w:rPr>
            </w:pPr>
            <w:r w:rsidRPr="00E970E1">
              <w:rPr>
                <w:rFonts w:cs="Arial"/>
                <w:b/>
                <w:bCs/>
                <w:color w:val="000000"/>
                <w:sz w:val="20"/>
                <w:szCs w:val="20"/>
              </w:rPr>
              <w:t>Traceable costs</w:t>
            </w:r>
          </w:p>
        </w:tc>
        <w:tc>
          <w:tcPr>
            <w:tcW w:w="6480" w:type="dxa"/>
            <w:tcBorders>
              <w:top w:val="nil"/>
              <w:left w:val="nil"/>
              <w:bottom w:val="nil"/>
              <w:right w:val="nil"/>
            </w:tcBorders>
            <w:shd w:val="clear" w:color="auto" w:fill="auto"/>
            <w:hideMark/>
          </w:tcPr>
          <w:p w14:paraId="68D63FD0" w14:textId="77777777" w:rsidR="005C1D3C" w:rsidRPr="00E970E1" w:rsidRDefault="005C1D3C" w:rsidP="005C1D3C">
            <w:pPr>
              <w:spacing w:before="0" w:after="0" w:line="240" w:lineRule="auto"/>
              <w:rPr>
                <w:rFonts w:cs="Arial"/>
                <w:color w:val="000000"/>
                <w:sz w:val="20"/>
                <w:szCs w:val="20"/>
              </w:rPr>
            </w:pPr>
            <w:r w:rsidRPr="00E970E1">
              <w:rPr>
                <w:rFonts w:cs="Arial"/>
                <w:color w:val="000000"/>
                <w:sz w:val="20"/>
                <w:szCs w:val="20"/>
              </w:rPr>
              <w:t>Traceable costs are costs that are incurred solely for particular activities or to particular cost objects. They are usually the actual cost (such as the price paid to obtain the resource) and can be matched (traced) to the activity, intermediate product or patient activity.</w:t>
            </w:r>
          </w:p>
        </w:tc>
      </w:tr>
    </w:tbl>
    <w:p w14:paraId="68D63FD2" w14:textId="77777777" w:rsidR="00E970E1" w:rsidRDefault="00E970E1" w:rsidP="00E970E1"/>
    <w:p w14:paraId="68D63FD3" w14:textId="77777777" w:rsidR="00E970E1" w:rsidRPr="00E970E1" w:rsidRDefault="00E970E1" w:rsidP="00E970E1"/>
    <w:p w14:paraId="68D63FD4" w14:textId="77777777" w:rsidR="00463931" w:rsidRDefault="00463931">
      <w:pPr>
        <w:spacing w:before="0" w:after="0" w:line="240" w:lineRule="auto"/>
        <w:sectPr w:rsidR="00463931" w:rsidSect="00A27C5B">
          <w:pgSz w:w="11906" w:h="16838" w:code="9"/>
          <w:pgMar w:top="1701" w:right="1440" w:bottom="1021" w:left="1021" w:header="680" w:footer="510" w:gutter="0"/>
          <w:cols w:space="708"/>
          <w:docGrid w:linePitch="360"/>
        </w:sectPr>
      </w:pPr>
    </w:p>
    <w:p w14:paraId="68D63FD5" w14:textId="77777777" w:rsidR="00E970E1" w:rsidRDefault="00463931" w:rsidP="00463931">
      <w:pPr>
        <w:pStyle w:val="Heading1"/>
        <w:spacing w:after="0"/>
      </w:pPr>
      <w:bookmarkStart w:id="49" w:name="_Toc80778508"/>
      <w:r>
        <w:lastRenderedPageBreak/>
        <w:t>Attachment A – The Patient Costing Process</w:t>
      </w:r>
      <w:bookmarkEnd w:id="49"/>
    </w:p>
    <w:p w14:paraId="68D63FD6" w14:textId="77777777" w:rsidR="00463931" w:rsidRDefault="000860BD">
      <w:pPr>
        <w:spacing w:before="0" w:after="0" w:line="240" w:lineRule="auto"/>
      </w:pPr>
      <w:r>
        <w:object w:dxaOrig="15809" w:dyaOrig="20929" w14:anchorId="68D63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which shows the patient ccosting process and how the standards, business rules and costing guidelines relate to the various steps in process." style="width:10in;height:951.05pt" o:ole="">
            <v:imagedata r:id="rId19" o:title=""/>
          </v:shape>
          <o:OLEObject Type="Embed" ProgID="Visio.Drawing.11" ShapeID="_x0000_i1025" DrawAspect="Content" ObjectID="_1691391412" r:id="rId20"/>
        </w:object>
      </w:r>
    </w:p>
    <w:p w14:paraId="68D63FD7" w14:textId="77777777" w:rsidR="00463931" w:rsidRDefault="00463931">
      <w:pPr>
        <w:spacing w:before="0" w:after="0" w:line="240" w:lineRule="auto"/>
      </w:pPr>
    </w:p>
    <w:p w14:paraId="68D63FD8" w14:textId="77777777" w:rsidR="00463931" w:rsidRDefault="00463931">
      <w:pPr>
        <w:spacing w:before="0" w:after="0" w:line="240" w:lineRule="auto"/>
        <w:sectPr w:rsidR="00463931" w:rsidSect="00464B93">
          <w:headerReference w:type="default" r:id="rId21"/>
          <w:pgSz w:w="16839" w:h="23814" w:code="8"/>
          <w:pgMar w:top="1701" w:right="1440" w:bottom="1021" w:left="1021" w:header="680" w:footer="510" w:gutter="0"/>
          <w:cols w:space="708"/>
          <w:docGrid w:linePitch="360"/>
        </w:sectPr>
      </w:pPr>
    </w:p>
    <w:p w14:paraId="68D63FD9" w14:textId="77777777" w:rsidR="0059283C" w:rsidRPr="00350852" w:rsidRDefault="00523CB4" w:rsidP="00523CB4">
      <w:bookmarkStart w:id="50" w:name="_GoBack"/>
      <w:bookmarkEnd w:id="50"/>
      <w:r>
        <w:rPr>
          <w:noProof/>
        </w:rPr>
        <w:lastRenderedPageBreak/>
        <mc:AlternateContent>
          <mc:Choice Requires="wps">
            <w:drawing>
              <wp:anchor distT="0" distB="0" distL="114300" distR="114300" simplePos="0" relativeHeight="251666432" behindDoc="0" locked="0" layoutInCell="1" allowOverlap="1" wp14:anchorId="68D63FDF" wp14:editId="68D63FE0">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D63FEB" w14:textId="77777777" w:rsidR="008A6EB6" w:rsidRPr="0098702F" w:rsidRDefault="008A6EB6" w:rsidP="00523CB4">
                            <w:pPr>
                              <w:pStyle w:val="Address"/>
                              <w:rPr>
                                <w:color w:val="006700" w:themeColor="accent2" w:themeShade="BF"/>
                              </w:rPr>
                            </w:pPr>
                            <w:r w:rsidRPr="0098702F">
                              <w:rPr>
                                <w:color w:val="006700" w:themeColor="accent2" w:themeShade="BF"/>
                              </w:rPr>
                              <w:t>Independent Hospital Pricing Authority</w:t>
                            </w:r>
                          </w:p>
                          <w:p w14:paraId="2A1520C3" w14:textId="4E25FC22" w:rsidR="008A6EB6" w:rsidRDefault="008A6EB6" w:rsidP="00523CB4">
                            <w:pPr>
                              <w:pStyle w:val="Address"/>
                              <w:rPr>
                                <w:color w:val="000000" w:themeColor="text1"/>
                              </w:rPr>
                            </w:pPr>
                            <w:r w:rsidRPr="00AA4832">
                              <w:rPr>
                                <w:color w:val="000000" w:themeColor="text1"/>
                              </w:rPr>
                              <w:t>Eora Nation,</w:t>
                            </w:r>
                            <w:r>
                              <w:rPr>
                                <w:color w:val="006700" w:themeColor="accent2" w:themeShade="BF"/>
                              </w:rPr>
                              <w:t xml:space="preserve"> </w:t>
                            </w:r>
                            <w:r>
                              <w:rPr>
                                <w:color w:val="000000" w:themeColor="text1"/>
                              </w:rPr>
                              <w:t>Level 6</w:t>
                            </w:r>
                            <w:r w:rsidRPr="0098702F">
                              <w:rPr>
                                <w:color w:val="000000" w:themeColor="text1"/>
                              </w:rPr>
                              <w:t xml:space="preserve"> </w:t>
                            </w:r>
                          </w:p>
                          <w:p w14:paraId="68D63FED" w14:textId="1E51256A" w:rsidR="008A6EB6" w:rsidRPr="0098702F" w:rsidRDefault="008A6EB6" w:rsidP="00523CB4">
                            <w:pPr>
                              <w:pStyle w:val="Address"/>
                              <w:rPr>
                                <w:color w:val="000000" w:themeColor="text1"/>
                              </w:rPr>
                            </w:pPr>
                            <w:r w:rsidRPr="0098702F">
                              <w:rPr>
                                <w:color w:val="000000" w:themeColor="text1"/>
                              </w:rPr>
                              <w:t>1 Oxford Street</w:t>
                            </w:r>
                          </w:p>
                          <w:p w14:paraId="68D63FEE" w14:textId="77777777" w:rsidR="008A6EB6" w:rsidRPr="0098702F" w:rsidRDefault="008A6EB6" w:rsidP="00523CB4">
                            <w:pPr>
                              <w:pStyle w:val="Address"/>
                              <w:rPr>
                                <w:color w:val="006700" w:themeColor="accent2" w:themeShade="BF"/>
                              </w:rPr>
                            </w:pPr>
                            <w:r w:rsidRPr="0098702F">
                              <w:rPr>
                                <w:color w:val="000000" w:themeColor="text1"/>
                              </w:rPr>
                              <w:t>Sydney NSW 2000</w:t>
                            </w:r>
                          </w:p>
                          <w:p w14:paraId="68D63FEF" w14:textId="77777777" w:rsidR="008A6EB6" w:rsidRPr="0098702F" w:rsidRDefault="008A6EB6" w:rsidP="00523CB4">
                            <w:pPr>
                              <w:pStyle w:val="Address"/>
                              <w:rPr>
                                <w:color w:val="006700" w:themeColor="accent2" w:themeShade="BF"/>
                              </w:rPr>
                            </w:pPr>
                          </w:p>
                          <w:p w14:paraId="68D63FF0" w14:textId="77777777" w:rsidR="008A6EB6" w:rsidRPr="0098702F" w:rsidRDefault="008A6EB6" w:rsidP="00523CB4">
                            <w:pPr>
                              <w:pStyle w:val="Address"/>
                              <w:rPr>
                                <w:color w:val="006700" w:themeColor="accent2" w:themeShade="BF"/>
                              </w:rPr>
                            </w:pPr>
                            <w:r w:rsidRPr="0098702F">
                              <w:rPr>
                                <w:color w:val="006700" w:themeColor="accent2" w:themeShade="BF"/>
                              </w:rPr>
                              <w:t xml:space="preserve">Phone </w:t>
                            </w:r>
                            <w:r w:rsidRPr="0098702F">
                              <w:rPr>
                                <w:color w:val="000000" w:themeColor="text1"/>
                              </w:rPr>
                              <w:t>02 8215 1100</w:t>
                            </w:r>
                          </w:p>
                          <w:p w14:paraId="68D63FF1" w14:textId="77777777" w:rsidR="008A6EB6" w:rsidRPr="0098702F" w:rsidRDefault="008A6EB6" w:rsidP="00523CB4">
                            <w:pPr>
                              <w:pStyle w:val="Address"/>
                              <w:rPr>
                                <w:color w:val="006700" w:themeColor="accent2" w:themeShade="BF"/>
                              </w:rPr>
                            </w:pPr>
                            <w:r w:rsidRPr="0098702F">
                              <w:rPr>
                                <w:color w:val="006700" w:themeColor="accent2" w:themeShade="BF"/>
                              </w:rPr>
                              <w:t xml:space="preserve">Email </w:t>
                            </w:r>
                            <w:r w:rsidRPr="0098702F">
                              <w:rPr>
                                <w:color w:val="000000" w:themeColor="text1"/>
                              </w:rPr>
                              <w:t>enquiries.ihpa@ihpa.gov.au</w:t>
                            </w:r>
                          </w:p>
                          <w:p w14:paraId="68D63FF2" w14:textId="77777777" w:rsidR="008A6EB6" w:rsidRPr="0098702F" w:rsidRDefault="008A6EB6" w:rsidP="00523CB4">
                            <w:pPr>
                              <w:pStyle w:val="Address"/>
                              <w:rPr>
                                <w:color w:val="006700" w:themeColor="accent2" w:themeShade="BF"/>
                              </w:rPr>
                            </w:pPr>
                            <w:r w:rsidRPr="0098702F">
                              <w:rPr>
                                <w:color w:val="006700" w:themeColor="accent2" w:themeShade="BF"/>
                              </w:rPr>
                              <w:t xml:space="preserve">Twitter </w:t>
                            </w:r>
                            <w:r w:rsidRPr="0098702F">
                              <w:rPr>
                                <w:color w:val="000000" w:themeColor="text1"/>
                              </w:rPr>
                              <w:t>@IHPAnews</w:t>
                            </w:r>
                          </w:p>
                          <w:p w14:paraId="68D63FF3" w14:textId="77777777" w:rsidR="008A6EB6" w:rsidRPr="0098702F" w:rsidRDefault="008A6EB6" w:rsidP="00523CB4">
                            <w:pPr>
                              <w:pStyle w:val="Address"/>
                              <w:rPr>
                                <w:color w:val="006700" w:themeColor="accent2" w:themeShade="BF"/>
                              </w:rPr>
                            </w:pPr>
                          </w:p>
                          <w:p w14:paraId="68D63FF4" w14:textId="77777777" w:rsidR="008A6EB6" w:rsidRPr="0098702F" w:rsidRDefault="008A6EB6" w:rsidP="00523CB4">
                            <w:pPr>
                              <w:pStyle w:val="Address"/>
                              <w:rPr>
                                <w:color w:val="006700" w:themeColor="accent2" w:themeShade="BF"/>
                              </w:rPr>
                            </w:pPr>
                            <w:r w:rsidRPr="0098702F">
                              <w:rPr>
                                <w:color w:val="006700" w:themeColor="accent2" w:themeShade="BF"/>
                              </w:rPr>
                              <w:t>www.ihpa.gov.au</w:t>
                            </w:r>
                          </w:p>
                          <w:p w14:paraId="68D63FF5" w14:textId="77777777" w:rsidR="008A6EB6" w:rsidRPr="0098702F" w:rsidRDefault="008A6EB6" w:rsidP="00523CB4">
                            <w:pPr>
                              <w:pStyle w:val="Address"/>
                              <w:rPr>
                                <w:color w:val="006700" w:themeColor="accent2"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63FDF" id="_x0000_t202" coordsize="21600,21600" o:spt="202" path="m,l,21600r21600,l21600,xe">
                <v:stroke joinstyle="miter"/>
                <v:path gradientshapeok="t" o:connecttype="rect"/>
              </v:shapetype>
              <v:shape id="Text Box 3" o:spid="_x0000_s1026" type="#_x0000_t202" style="position:absolute;margin-left:0;margin-top:0;width:153pt;height:99pt;z-index:25166643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SJ+gxGwCAABKBQAADgAAAAAAAAAAAAAAAAAuAgAA&#10;ZHJzL2Uyb0RvYy54bWxQSwECLQAUAAYACAAAACEArorxuNoAAAAFAQAADwAAAAAAAAAAAAAAAADG&#10;BAAAZHJzL2Rvd25yZXYueG1sUEsFBgAAAAAEAAQA8wAAAM0FAAAAAA==&#10;" filled="f" stroked="f">
                <v:textbox inset="0,0,0,0">
                  <w:txbxContent>
                    <w:p w14:paraId="68D63FEB" w14:textId="77777777" w:rsidR="008A6EB6" w:rsidRPr="0098702F" w:rsidRDefault="008A6EB6" w:rsidP="00523CB4">
                      <w:pPr>
                        <w:pStyle w:val="Address"/>
                        <w:rPr>
                          <w:color w:val="006700" w:themeColor="accent2" w:themeShade="BF"/>
                        </w:rPr>
                      </w:pPr>
                      <w:r w:rsidRPr="0098702F">
                        <w:rPr>
                          <w:color w:val="006700" w:themeColor="accent2" w:themeShade="BF"/>
                        </w:rPr>
                        <w:t>Independent Hospital Pricing Authority</w:t>
                      </w:r>
                    </w:p>
                    <w:p w14:paraId="2A1520C3" w14:textId="4E25FC22" w:rsidR="008A6EB6" w:rsidRDefault="008A6EB6" w:rsidP="00523CB4">
                      <w:pPr>
                        <w:pStyle w:val="Address"/>
                        <w:rPr>
                          <w:color w:val="000000" w:themeColor="text1"/>
                        </w:rPr>
                      </w:pPr>
                      <w:r w:rsidRPr="00AA4832">
                        <w:rPr>
                          <w:color w:val="000000" w:themeColor="text1"/>
                        </w:rPr>
                        <w:t>Eora Nation,</w:t>
                      </w:r>
                      <w:r>
                        <w:rPr>
                          <w:color w:val="006700" w:themeColor="accent2" w:themeShade="BF"/>
                        </w:rPr>
                        <w:t xml:space="preserve"> </w:t>
                      </w:r>
                      <w:r>
                        <w:rPr>
                          <w:color w:val="000000" w:themeColor="text1"/>
                        </w:rPr>
                        <w:t>Level 6</w:t>
                      </w:r>
                      <w:r w:rsidRPr="0098702F">
                        <w:rPr>
                          <w:color w:val="000000" w:themeColor="text1"/>
                        </w:rPr>
                        <w:t xml:space="preserve"> </w:t>
                      </w:r>
                    </w:p>
                    <w:p w14:paraId="68D63FED" w14:textId="1E51256A" w:rsidR="008A6EB6" w:rsidRPr="0098702F" w:rsidRDefault="008A6EB6" w:rsidP="00523CB4">
                      <w:pPr>
                        <w:pStyle w:val="Address"/>
                        <w:rPr>
                          <w:color w:val="000000" w:themeColor="text1"/>
                        </w:rPr>
                      </w:pPr>
                      <w:r w:rsidRPr="0098702F">
                        <w:rPr>
                          <w:color w:val="000000" w:themeColor="text1"/>
                        </w:rPr>
                        <w:t>1 Oxford Street</w:t>
                      </w:r>
                    </w:p>
                    <w:p w14:paraId="68D63FEE" w14:textId="77777777" w:rsidR="008A6EB6" w:rsidRPr="0098702F" w:rsidRDefault="008A6EB6" w:rsidP="00523CB4">
                      <w:pPr>
                        <w:pStyle w:val="Address"/>
                        <w:rPr>
                          <w:color w:val="006700" w:themeColor="accent2" w:themeShade="BF"/>
                        </w:rPr>
                      </w:pPr>
                      <w:r w:rsidRPr="0098702F">
                        <w:rPr>
                          <w:color w:val="000000" w:themeColor="text1"/>
                        </w:rPr>
                        <w:t>Sydney NSW 2000</w:t>
                      </w:r>
                    </w:p>
                    <w:p w14:paraId="68D63FEF" w14:textId="77777777" w:rsidR="008A6EB6" w:rsidRPr="0098702F" w:rsidRDefault="008A6EB6" w:rsidP="00523CB4">
                      <w:pPr>
                        <w:pStyle w:val="Address"/>
                        <w:rPr>
                          <w:color w:val="006700" w:themeColor="accent2" w:themeShade="BF"/>
                        </w:rPr>
                      </w:pPr>
                    </w:p>
                    <w:p w14:paraId="68D63FF0" w14:textId="77777777" w:rsidR="008A6EB6" w:rsidRPr="0098702F" w:rsidRDefault="008A6EB6" w:rsidP="00523CB4">
                      <w:pPr>
                        <w:pStyle w:val="Address"/>
                        <w:rPr>
                          <w:color w:val="006700" w:themeColor="accent2" w:themeShade="BF"/>
                        </w:rPr>
                      </w:pPr>
                      <w:r w:rsidRPr="0098702F">
                        <w:rPr>
                          <w:color w:val="006700" w:themeColor="accent2" w:themeShade="BF"/>
                        </w:rPr>
                        <w:t xml:space="preserve">Phone </w:t>
                      </w:r>
                      <w:r w:rsidRPr="0098702F">
                        <w:rPr>
                          <w:color w:val="000000" w:themeColor="text1"/>
                        </w:rPr>
                        <w:t>02 8215 1100</w:t>
                      </w:r>
                    </w:p>
                    <w:p w14:paraId="68D63FF1" w14:textId="77777777" w:rsidR="008A6EB6" w:rsidRPr="0098702F" w:rsidRDefault="008A6EB6" w:rsidP="00523CB4">
                      <w:pPr>
                        <w:pStyle w:val="Address"/>
                        <w:rPr>
                          <w:color w:val="006700" w:themeColor="accent2" w:themeShade="BF"/>
                        </w:rPr>
                      </w:pPr>
                      <w:r w:rsidRPr="0098702F">
                        <w:rPr>
                          <w:color w:val="006700" w:themeColor="accent2" w:themeShade="BF"/>
                        </w:rPr>
                        <w:t xml:space="preserve">Email </w:t>
                      </w:r>
                      <w:r w:rsidRPr="0098702F">
                        <w:rPr>
                          <w:color w:val="000000" w:themeColor="text1"/>
                        </w:rPr>
                        <w:t>enquiries.ihpa@ihpa.gov.au</w:t>
                      </w:r>
                    </w:p>
                    <w:p w14:paraId="68D63FF2" w14:textId="77777777" w:rsidR="008A6EB6" w:rsidRPr="0098702F" w:rsidRDefault="008A6EB6" w:rsidP="00523CB4">
                      <w:pPr>
                        <w:pStyle w:val="Address"/>
                        <w:rPr>
                          <w:color w:val="006700" w:themeColor="accent2" w:themeShade="BF"/>
                        </w:rPr>
                      </w:pPr>
                      <w:r w:rsidRPr="0098702F">
                        <w:rPr>
                          <w:color w:val="006700" w:themeColor="accent2" w:themeShade="BF"/>
                        </w:rPr>
                        <w:t xml:space="preserve">Twitter </w:t>
                      </w:r>
                      <w:r w:rsidRPr="0098702F">
                        <w:rPr>
                          <w:color w:val="000000" w:themeColor="text1"/>
                        </w:rPr>
                        <w:t>@IHPAnews</w:t>
                      </w:r>
                    </w:p>
                    <w:p w14:paraId="68D63FF3" w14:textId="77777777" w:rsidR="008A6EB6" w:rsidRPr="0098702F" w:rsidRDefault="008A6EB6" w:rsidP="00523CB4">
                      <w:pPr>
                        <w:pStyle w:val="Address"/>
                        <w:rPr>
                          <w:color w:val="006700" w:themeColor="accent2" w:themeShade="BF"/>
                        </w:rPr>
                      </w:pPr>
                    </w:p>
                    <w:p w14:paraId="68D63FF4" w14:textId="77777777" w:rsidR="008A6EB6" w:rsidRPr="0098702F" w:rsidRDefault="008A6EB6" w:rsidP="00523CB4">
                      <w:pPr>
                        <w:pStyle w:val="Address"/>
                        <w:rPr>
                          <w:color w:val="006700" w:themeColor="accent2" w:themeShade="BF"/>
                        </w:rPr>
                      </w:pPr>
                      <w:r w:rsidRPr="0098702F">
                        <w:rPr>
                          <w:color w:val="006700" w:themeColor="accent2" w:themeShade="BF"/>
                        </w:rPr>
                        <w:t>www.ihpa.gov.au</w:t>
                      </w:r>
                    </w:p>
                    <w:p w14:paraId="68D63FF5" w14:textId="77777777" w:rsidR="008A6EB6" w:rsidRPr="0098702F" w:rsidRDefault="008A6EB6" w:rsidP="00523CB4">
                      <w:pPr>
                        <w:pStyle w:val="Address"/>
                        <w:rPr>
                          <w:color w:val="006700" w:themeColor="accent2" w:themeShade="BF"/>
                        </w:rPr>
                      </w:pPr>
                    </w:p>
                  </w:txbxContent>
                </v:textbox>
                <w10:wrap type="square" anchory="margin"/>
              </v:shape>
            </w:pict>
          </mc:Fallback>
        </mc:AlternateContent>
      </w:r>
      <w:r>
        <w:rPr>
          <w:noProof/>
        </w:rPr>
        <w:drawing>
          <wp:anchor distT="0" distB="0" distL="114300" distR="114300" simplePos="0" relativeHeight="251665408" behindDoc="1" locked="0" layoutInCell="1" allowOverlap="1" wp14:anchorId="68D63FE1" wp14:editId="750A20EA">
            <wp:simplePos x="0" y="0"/>
            <wp:positionH relativeFrom="page">
              <wp:align>left</wp:align>
            </wp:positionH>
            <wp:positionV relativeFrom="page">
              <wp:align>top</wp:align>
            </wp:positionV>
            <wp:extent cx="7593126" cy="10740600"/>
            <wp:effectExtent l="0" t="0" r="8255" b="3810"/>
            <wp:wrapNone/>
            <wp:docPr id="1" name="Picture 1" descr="Independent Hospital Pricing Authority&#10;Eora Nation, Level 6 &#10;1 Oxford Street&#10;Sydney NSW 2000&#10;&#10;Phone 02 8215 1100&#10;Email enquiries.ihpa@ihpa.gov.au&#10;Twitter @IHPAnews&#10;&#10;www.ihpa.gov.au&#10;" title="IHPA' contac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93126" cy="10740600"/>
                    </a:xfrm>
                    <a:prstGeom prst="rect">
                      <a:avLst/>
                    </a:prstGeom>
                  </pic:spPr>
                </pic:pic>
              </a:graphicData>
            </a:graphic>
            <wp14:sizeRelH relativeFrom="margin">
              <wp14:pctWidth>0</wp14:pctWidth>
            </wp14:sizeRelH>
            <wp14:sizeRelV relativeFrom="margin">
              <wp14:pctHeight>0</wp14:pctHeight>
            </wp14:sizeRelV>
          </wp:anchor>
        </w:drawing>
      </w:r>
    </w:p>
    <w:sectPr w:rsidR="0059283C" w:rsidRPr="00350852" w:rsidSect="0047601C">
      <w:pgSz w:w="11906" w:h="16838" w:code="9"/>
      <w:pgMar w:top="2041" w:right="1440" w:bottom="1021" w:left="1021" w:header="680" w:footer="51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05C6" w14:textId="77777777" w:rsidR="008A6EB6" w:rsidRDefault="008A6EB6">
      <w:r>
        <w:separator/>
      </w:r>
    </w:p>
  </w:endnote>
  <w:endnote w:type="continuationSeparator" w:id="0">
    <w:p w14:paraId="0791751D" w14:textId="77777777" w:rsidR="008A6EB6" w:rsidRDefault="008A6EB6">
      <w:r>
        <w:continuationSeparator/>
      </w:r>
    </w:p>
  </w:endnote>
  <w:endnote w:type="continuationNotice" w:id="1">
    <w:p w14:paraId="16ED25A7" w14:textId="77777777" w:rsidR="008A6EB6" w:rsidRDefault="008A6E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53500"/>
      <w:docPartObj>
        <w:docPartGallery w:val="Page Numbers (Bottom of Page)"/>
        <w:docPartUnique/>
      </w:docPartObj>
    </w:sdtPr>
    <w:sdtContent>
      <w:sdt>
        <w:sdtPr>
          <w:id w:val="-1769616900"/>
          <w:docPartObj>
            <w:docPartGallery w:val="Page Numbers (Top of Page)"/>
            <w:docPartUnique/>
          </w:docPartObj>
        </w:sdtPr>
        <w:sdtContent>
          <w:p w14:paraId="573FE70F" w14:textId="4D84B35D" w:rsidR="009E46AE" w:rsidRDefault="009E46AE" w:rsidP="00A27C5B">
            <w:pPr>
              <w:pStyle w:val="Footer"/>
              <w:tabs>
                <w:tab w:val="left" w:pos="8051"/>
                <w:tab w:val="right" w:pos="9445"/>
              </w:tabs>
            </w:pPr>
            <w:r w:rsidRPr="00A27C5B">
              <w:rPr>
                <w:sz w:val="20"/>
                <w:szCs w:val="20"/>
              </w:rPr>
              <w:t>IHPA Australian Hospital Patient Costing Standards 4.1</w:t>
            </w:r>
            <w:r w:rsidRPr="00A27C5B">
              <w:rPr>
                <w:sz w:val="20"/>
                <w:szCs w:val="20"/>
              </w:rPr>
              <w:tab/>
            </w:r>
            <w:r w:rsidRPr="00A27C5B">
              <w:rPr>
                <w:sz w:val="20"/>
                <w:szCs w:val="20"/>
              </w:rPr>
              <w:tab/>
            </w:r>
            <w:r w:rsidRPr="00A27C5B">
              <w:rPr>
                <w:sz w:val="20"/>
                <w:szCs w:val="20"/>
              </w:rPr>
              <w:t xml:space="preserve">Page </w:t>
            </w:r>
            <w:r w:rsidRPr="00A27C5B">
              <w:rPr>
                <w:b w:val="0"/>
                <w:bCs/>
                <w:sz w:val="20"/>
                <w:szCs w:val="20"/>
              </w:rPr>
              <w:fldChar w:fldCharType="begin"/>
            </w:r>
            <w:r w:rsidRPr="00A27C5B">
              <w:rPr>
                <w:bCs/>
                <w:sz w:val="20"/>
                <w:szCs w:val="20"/>
              </w:rPr>
              <w:instrText xml:space="preserve"> PAGE </w:instrText>
            </w:r>
            <w:r w:rsidRPr="00A27C5B">
              <w:rPr>
                <w:b w:val="0"/>
                <w:bCs/>
                <w:sz w:val="20"/>
                <w:szCs w:val="20"/>
              </w:rPr>
              <w:fldChar w:fldCharType="separate"/>
            </w:r>
            <w:r w:rsidR="00A27C5B">
              <w:rPr>
                <w:bCs/>
                <w:noProof/>
                <w:sz w:val="20"/>
                <w:szCs w:val="20"/>
              </w:rPr>
              <w:t>1</w:t>
            </w:r>
            <w:r w:rsidRPr="00A27C5B">
              <w:rPr>
                <w:b w:val="0"/>
                <w:bCs/>
                <w:sz w:val="20"/>
                <w:szCs w:val="20"/>
              </w:rPr>
              <w:fldChar w:fldCharType="end"/>
            </w:r>
            <w:r w:rsidRPr="00A27C5B">
              <w:rPr>
                <w:sz w:val="20"/>
                <w:szCs w:val="20"/>
              </w:rPr>
              <w:t xml:space="preserve"> of </w:t>
            </w:r>
            <w:r w:rsidRPr="00A27C5B">
              <w:rPr>
                <w:b w:val="0"/>
                <w:bCs/>
                <w:sz w:val="20"/>
                <w:szCs w:val="20"/>
              </w:rPr>
              <w:fldChar w:fldCharType="begin"/>
            </w:r>
            <w:r w:rsidRPr="00A27C5B">
              <w:rPr>
                <w:bCs/>
                <w:sz w:val="20"/>
                <w:szCs w:val="20"/>
              </w:rPr>
              <w:instrText xml:space="preserve"> NUMPAGES  </w:instrText>
            </w:r>
            <w:r w:rsidRPr="00A27C5B">
              <w:rPr>
                <w:b w:val="0"/>
                <w:bCs/>
                <w:sz w:val="20"/>
                <w:szCs w:val="20"/>
              </w:rPr>
              <w:fldChar w:fldCharType="separate"/>
            </w:r>
            <w:r w:rsidR="00A27C5B">
              <w:rPr>
                <w:bCs/>
                <w:noProof/>
                <w:sz w:val="20"/>
                <w:szCs w:val="20"/>
              </w:rPr>
              <w:t>71</w:t>
            </w:r>
            <w:r w:rsidRPr="00A27C5B">
              <w:rPr>
                <w:b w:val="0"/>
                <w:bCs/>
                <w:sz w:val="20"/>
                <w:szCs w:val="20"/>
              </w:rPr>
              <w:fldChar w:fldCharType="end"/>
            </w:r>
          </w:p>
        </w:sdtContent>
      </w:sdt>
    </w:sdtContent>
  </w:sdt>
  <w:p w14:paraId="15820FBA" w14:textId="77777777" w:rsidR="009E46AE" w:rsidRDefault="009E4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7173" w14:textId="77777777" w:rsidR="008A6EB6" w:rsidRDefault="008A6EB6">
      <w:r>
        <w:separator/>
      </w:r>
    </w:p>
  </w:footnote>
  <w:footnote w:type="continuationSeparator" w:id="0">
    <w:p w14:paraId="6E8F5132" w14:textId="77777777" w:rsidR="008A6EB6" w:rsidRDefault="008A6EB6">
      <w:r>
        <w:continuationSeparator/>
      </w:r>
    </w:p>
  </w:footnote>
  <w:footnote w:type="continuationNotice" w:id="1">
    <w:p w14:paraId="065560C4" w14:textId="77777777" w:rsidR="008A6EB6" w:rsidRDefault="008A6E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63FE9" w14:textId="607DBDD3" w:rsidR="008A6EB6" w:rsidRPr="005F219D" w:rsidRDefault="008A6EB6" w:rsidP="00A85487">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63FEA" w14:textId="4A1E74DB" w:rsidR="008A6EB6" w:rsidRPr="005F219D" w:rsidRDefault="008A6EB6" w:rsidP="004738A8">
    <w:pPr>
      <w:pStyle w:val="Header"/>
      <w:tabs>
        <w:tab w:val="clear" w:pos="10319"/>
        <w:tab w:val="right" w:pos="14317"/>
      </w:tabs>
      <w:rPr>
        <w:color w:val="008A00" w:themeColor="accent2"/>
      </w:rPr>
    </w:pPr>
    <w:r>
      <w:rPr>
        <w:noProof/>
      </w:rPr>
      <w:fldChar w:fldCharType="begin"/>
    </w:r>
    <w:r>
      <w:rPr>
        <w:noProof/>
      </w:rPr>
      <w:instrText xml:space="preserve"> STYLEREF  Title  \* MERGEFORMAT </w:instrText>
    </w:r>
    <w:r>
      <w:rPr>
        <w:noProof/>
      </w:rPr>
      <w:fldChar w:fldCharType="separate"/>
    </w:r>
    <w:r w:rsidR="00A27C5B">
      <w:rPr>
        <w:noProof/>
      </w:rPr>
      <w:t>Australian Hospital Patient Costing Standards</w:t>
    </w:r>
    <w:r>
      <w:rPr>
        <w:noProof/>
      </w:rPr>
      <w:fldChar w:fldCharType="end"/>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A27C5B">
      <w:rPr>
        <w:noProof/>
        <w:color w:val="008A00" w:themeColor="accent2"/>
      </w:rPr>
      <w:t>69</w:t>
    </w:r>
    <w:r w:rsidRPr="005F219D">
      <w:rPr>
        <w:noProof/>
        <w:color w:val="008A00"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0428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13452"/>
    <w:multiLevelType w:val="hybridMultilevel"/>
    <w:tmpl w:val="D8B8AE34"/>
    <w:lvl w:ilvl="0" w:tplc="963CFB3E">
      <w:start w:val="1"/>
      <w:numFmt w:val="decimal"/>
      <w:lvlText w:val="Stage %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 w15:restartNumberingAfterBreak="0">
    <w:nsid w:val="13D62A31"/>
    <w:multiLevelType w:val="hybridMultilevel"/>
    <w:tmpl w:val="9288C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43125"/>
    <w:multiLevelType w:val="hybridMultilevel"/>
    <w:tmpl w:val="2CDE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76A6F"/>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2A271F"/>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B602AA"/>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0B3DD7"/>
    <w:multiLevelType w:val="multilevel"/>
    <w:tmpl w:val="1B40C9BE"/>
    <w:lvl w:ilvl="0">
      <w:numFmt w:val="decimal"/>
      <w:pStyle w:val="Level1"/>
      <w:lvlText w:val="CG %1"/>
      <w:lvlJc w:val="left"/>
      <w:pPr>
        <w:ind w:left="851" w:hanging="851"/>
      </w:pPr>
      <w:rPr>
        <w:rFonts w:hint="default"/>
        <w:b/>
      </w:rPr>
    </w:lvl>
    <w:lvl w:ilvl="1">
      <w:start w:val="1"/>
      <w:numFmt w:val="decimal"/>
      <w:pStyle w:val="Level2"/>
      <w:lvlText w:val="CG %1.%2"/>
      <w:lvlJc w:val="left"/>
      <w:pPr>
        <w:ind w:left="851" w:hanging="851"/>
      </w:pPr>
      <w:rPr>
        <w:rFonts w:hint="default"/>
      </w:rPr>
    </w:lvl>
    <w:lvl w:ilvl="2">
      <w:start w:val="1"/>
      <w:numFmt w:val="decimal"/>
      <w:pStyle w:val="Level3"/>
      <w:lvlText w:val="CG %1.%2.%3"/>
      <w:lvlJc w:val="left"/>
      <w:pPr>
        <w:ind w:left="1986" w:hanging="567"/>
      </w:pPr>
      <w:rPr>
        <w:rFonts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FE1768"/>
    <w:multiLevelType w:val="hybridMultilevel"/>
    <w:tmpl w:val="3496D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C5BFA"/>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7B68F4"/>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12091A"/>
    <w:multiLevelType w:val="hybridMultilevel"/>
    <w:tmpl w:val="CEDC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E63DC"/>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447E73"/>
    <w:multiLevelType w:val="multilevel"/>
    <w:tmpl w:val="87CAF0D2"/>
    <w:lvl w:ilvl="0">
      <w:start w:val="1"/>
      <w:numFmt w:val="decimal"/>
      <w:suff w:val="space"/>
      <w:lvlText w:val="Stag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lvlText w:val="%1.%2%3"/>
      <w:lvlJc w:val="left"/>
      <w:pPr>
        <w:ind w:left="0" w:firstLine="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843" w:hanging="992"/>
      </w:pPr>
      <w:rPr>
        <w:rFonts w:hint="default"/>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2C13658"/>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180CEE"/>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ED6752"/>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9229D7"/>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7F1E94"/>
    <w:multiLevelType w:val="hybridMultilevel"/>
    <w:tmpl w:val="983EEA50"/>
    <w:lvl w:ilvl="0" w:tplc="DBD88F24">
      <w:start w:val="1"/>
      <w:numFmt w:val="bullet"/>
      <w:lvlText w:val="►"/>
      <w:lvlJc w:val="left"/>
      <w:pPr>
        <w:ind w:left="720" w:hanging="360"/>
      </w:pPr>
      <w:rPr>
        <w:rFonts w:ascii="Arial" w:hAnsi="Arial" w:hint="default"/>
        <w:color w:val="auto"/>
        <w:sz w:val="12"/>
        <w:szCs w:val="1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13DE6"/>
    <w:multiLevelType w:val="hybridMultilevel"/>
    <w:tmpl w:val="D4648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9407FE"/>
    <w:multiLevelType w:val="hybridMultilevel"/>
    <w:tmpl w:val="9108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492FAA"/>
    <w:multiLevelType w:val="multilevel"/>
    <w:tmpl w:val="D1DC8DC0"/>
    <w:lvl w:ilvl="0">
      <w:numFmt w:val="decimal"/>
      <w:lvlText w:val="CG %1"/>
      <w:lvlJc w:val="left"/>
      <w:pPr>
        <w:ind w:left="851" w:hanging="851"/>
      </w:pPr>
      <w:rPr>
        <w:rFonts w:hint="default"/>
        <w:b/>
      </w:rPr>
    </w:lvl>
    <w:lvl w:ilvl="1">
      <w:start w:val="1"/>
      <w:numFmt w:val="decimal"/>
      <w:lvlText w:val="CG %1.%2"/>
      <w:lvlJc w:val="left"/>
      <w:pPr>
        <w:ind w:left="851" w:hanging="851"/>
      </w:pPr>
      <w:rPr>
        <w:rFonts w:hint="default"/>
      </w:rPr>
    </w:lvl>
    <w:lvl w:ilvl="2">
      <w:start w:val="1"/>
      <w:numFmt w:val="bullet"/>
      <w:lvlText w:val=""/>
      <w:lvlJc w:val="left"/>
      <w:pPr>
        <w:ind w:left="1418" w:hanging="567"/>
      </w:pPr>
      <w:rPr>
        <w:rFonts w:ascii="Symbol" w:hAnsi="Symbol" w:hint="default"/>
        <w:b w:val="0"/>
        <w:i w:val="0"/>
        <w:sz w:val="22"/>
        <w:szCs w:val="22"/>
      </w:rPr>
    </w:lvl>
    <w:lvl w:ilvl="3">
      <w:start w:val="1"/>
      <w:numFmt w:val="bullet"/>
      <w:lvlText w:val=""/>
      <w:lvlJc w:val="left"/>
      <w:pPr>
        <w:ind w:left="1783"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7"/>
  </w:num>
  <w:num w:numId="4">
    <w:abstractNumId w:val="1"/>
  </w:num>
  <w:num w:numId="5">
    <w:abstractNumId w:val="13"/>
  </w:num>
  <w:num w:numId="6">
    <w:abstractNumId w:val="7"/>
  </w:num>
  <w:num w:numId="7">
    <w:abstractNumId w:val="4"/>
  </w:num>
  <w:num w:numId="8">
    <w:abstractNumId w:val="16"/>
  </w:num>
  <w:num w:numId="9">
    <w:abstractNumId w:val="6"/>
  </w:num>
  <w:num w:numId="10">
    <w:abstractNumId w:val="5"/>
  </w:num>
  <w:num w:numId="11">
    <w:abstractNumId w:val="22"/>
  </w:num>
  <w:num w:numId="12">
    <w:abstractNumId w:val="9"/>
  </w:num>
  <w:num w:numId="13">
    <w:abstractNumId w:val="10"/>
  </w:num>
  <w:num w:numId="14">
    <w:abstractNumId w:val="18"/>
  </w:num>
  <w:num w:numId="15">
    <w:abstractNumId w:val="12"/>
  </w:num>
  <w:num w:numId="16">
    <w:abstractNumId w:val="17"/>
  </w:num>
  <w:num w:numId="17">
    <w:abstractNumId w:val="14"/>
  </w:num>
  <w:num w:numId="18">
    <w:abstractNumId w:val="19"/>
  </w:num>
  <w:num w:numId="19">
    <w:abstractNumId w:val="7"/>
  </w:num>
  <w:num w:numId="20">
    <w:abstractNumId w:val="7"/>
  </w:num>
  <w:num w:numId="21">
    <w:abstractNumId w:val="0"/>
  </w:num>
  <w:num w:numId="22">
    <w:abstractNumId w:val="7"/>
  </w:num>
  <w:num w:numId="23">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7"/>
  </w:num>
  <w:num w:numId="26">
    <w:abstractNumId w:val="7"/>
  </w:num>
  <w:num w:numId="27">
    <w:abstractNumId w:val="7"/>
  </w:num>
  <w:num w:numId="28">
    <w:abstractNumId w:val="8"/>
  </w:num>
  <w:num w:numId="29">
    <w:abstractNumId w:val="21"/>
  </w:num>
  <w:num w:numId="30">
    <w:abstractNumId w:val="2"/>
  </w:num>
  <w:num w:numId="31">
    <w:abstractNumId w:val="11"/>
  </w:num>
  <w:num w:numId="32">
    <w:abstractNumId w:val="20"/>
  </w:num>
  <w:num w:numId="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37"/>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B2"/>
    <w:rsid w:val="00002A5B"/>
    <w:rsid w:val="00005785"/>
    <w:rsid w:val="000063D1"/>
    <w:rsid w:val="00006876"/>
    <w:rsid w:val="000079AD"/>
    <w:rsid w:val="00007D1F"/>
    <w:rsid w:val="00010D84"/>
    <w:rsid w:val="00010F15"/>
    <w:rsid w:val="00011CE3"/>
    <w:rsid w:val="00022E9C"/>
    <w:rsid w:val="00024EF0"/>
    <w:rsid w:val="00025631"/>
    <w:rsid w:val="0002701E"/>
    <w:rsid w:val="00027B26"/>
    <w:rsid w:val="00030705"/>
    <w:rsid w:val="00032861"/>
    <w:rsid w:val="00032B77"/>
    <w:rsid w:val="00032F66"/>
    <w:rsid w:val="00042285"/>
    <w:rsid w:val="00043256"/>
    <w:rsid w:val="000435BF"/>
    <w:rsid w:val="00045A89"/>
    <w:rsid w:val="00046F8E"/>
    <w:rsid w:val="00047524"/>
    <w:rsid w:val="00047D03"/>
    <w:rsid w:val="0005040E"/>
    <w:rsid w:val="0005087D"/>
    <w:rsid w:val="00050F9E"/>
    <w:rsid w:val="000547EF"/>
    <w:rsid w:val="00056004"/>
    <w:rsid w:val="0006075A"/>
    <w:rsid w:val="00061C84"/>
    <w:rsid w:val="00061CAC"/>
    <w:rsid w:val="00062484"/>
    <w:rsid w:val="00063129"/>
    <w:rsid w:val="000636C6"/>
    <w:rsid w:val="00064EE9"/>
    <w:rsid w:val="00065022"/>
    <w:rsid w:val="000654C7"/>
    <w:rsid w:val="00065A5E"/>
    <w:rsid w:val="00070681"/>
    <w:rsid w:val="00080A09"/>
    <w:rsid w:val="00081CEB"/>
    <w:rsid w:val="00083082"/>
    <w:rsid w:val="000860BD"/>
    <w:rsid w:val="00087B2C"/>
    <w:rsid w:val="00087DBD"/>
    <w:rsid w:val="000902F7"/>
    <w:rsid w:val="00090718"/>
    <w:rsid w:val="00091430"/>
    <w:rsid w:val="00091B4E"/>
    <w:rsid w:val="00091CD7"/>
    <w:rsid w:val="00093DD5"/>
    <w:rsid w:val="000A03DD"/>
    <w:rsid w:val="000A1A09"/>
    <w:rsid w:val="000A3393"/>
    <w:rsid w:val="000A47A8"/>
    <w:rsid w:val="000A73FB"/>
    <w:rsid w:val="000B045F"/>
    <w:rsid w:val="000B218A"/>
    <w:rsid w:val="000B3F90"/>
    <w:rsid w:val="000B5336"/>
    <w:rsid w:val="000B6AE8"/>
    <w:rsid w:val="000C014D"/>
    <w:rsid w:val="000C29B4"/>
    <w:rsid w:val="000C3350"/>
    <w:rsid w:val="000C385B"/>
    <w:rsid w:val="000C5CD8"/>
    <w:rsid w:val="000C7A69"/>
    <w:rsid w:val="000D1158"/>
    <w:rsid w:val="000D2FC3"/>
    <w:rsid w:val="000D3518"/>
    <w:rsid w:val="000D4703"/>
    <w:rsid w:val="000E12D4"/>
    <w:rsid w:val="000E39EF"/>
    <w:rsid w:val="000E620E"/>
    <w:rsid w:val="000F2063"/>
    <w:rsid w:val="000F34EC"/>
    <w:rsid w:val="000F3D28"/>
    <w:rsid w:val="000F5884"/>
    <w:rsid w:val="000F5C23"/>
    <w:rsid w:val="000F63C4"/>
    <w:rsid w:val="00100200"/>
    <w:rsid w:val="0010263D"/>
    <w:rsid w:val="00102824"/>
    <w:rsid w:val="0010300A"/>
    <w:rsid w:val="001056D0"/>
    <w:rsid w:val="001131F0"/>
    <w:rsid w:val="001135B6"/>
    <w:rsid w:val="001139C7"/>
    <w:rsid w:val="00114EBC"/>
    <w:rsid w:val="00116978"/>
    <w:rsid w:val="0012427E"/>
    <w:rsid w:val="001247E0"/>
    <w:rsid w:val="00125CC2"/>
    <w:rsid w:val="00126750"/>
    <w:rsid w:val="001271A1"/>
    <w:rsid w:val="001303FE"/>
    <w:rsid w:val="00131C0F"/>
    <w:rsid w:val="001325BF"/>
    <w:rsid w:val="00132BA7"/>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5B98"/>
    <w:rsid w:val="00157001"/>
    <w:rsid w:val="00157709"/>
    <w:rsid w:val="00160E91"/>
    <w:rsid w:val="00165626"/>
    <w:rsid w:val="00167CF4"/>
    <w:rsid w:val="0017147C"/>
    <w:rsid w:val="0017194E"/>
    <w:rsid w:val="0017249B"/>
    <w:rsid w:val="00172C29"/>
    <w:rsid w:val="00177EC4"/>
    <w:rsid w:val="00181533"/>
    <w:rsid w:val="001824C8"/>
    <w:rsid w:val="00182698"/>
    <w:rsid w:val="001864FD"/>
    <w:rsid w:val="001878F4"/>
    <w:rsid w:val="001943DD"/>
    <w:rsid w:val="00194798"/>
    <w:rsid w:val="00196727"/>
    <w:rsid w:val="00196BAC"/>
    <w:rsid w:val="001A13F6"/>
    <w:rsid w:val="001A2D6E"/>
    <w:rsid w:val="001A2D78"/>
    <w:rsid w:val="001A7249"/>
    <w:rsid w:val="001B385A"/>
    <w:rsid w:val="001B3904"/>
    <w:rsid w:val="001B3AEC"/>
    <w:rsid w:val="001B3E8D"/>
    <w:rsid w:val="001B41F4"/>
    <w:rsid w:val="001B5259"/>
    <w:rsid w:val="001B60D4"/>
    <w:rsid w:val="001B6F28"/>
    <w:rsid w:val="001C3F06"/>
    <w:rsid w:val="001C4EFE"/>
    <w:rsid w:val="001C4F4F"/>
    <w:rsid w:val="001C4FB3"/>
    <w:rsid w:val="001C6BA1"/>
    <w:rsid w:val="001D141C"/>
    <w:rsid w:val="001D2904"/>
    <w:rsid w:val="001D652D"/>
    <w:rsid w:val="001D693F"/>
    <w:rsid w:val="001D6F9E"/>
    <w:rsid w:val="001E38FB"/>
    <w:rsid w:val="001E52C2"/>
    <w:rsid w:val="001F0BE1"/>
    <w:rsid w:val="001F101A"/>
    <w:rsid w:val="001F16A3"/>
    <w:rsid w:val="001F24EF"/>
    <w:rsid w:val="001F56C7"/>
    <w:rsid w:val="00203039"/>
    <w:rsid w:val="002048C8"/>
    <w:rsid w:val="00204B17"/>
    <w:rsid w:val="00205822"/>
    <w:rsid w:val="002069D2"/>
    <w:rsid w:val="002104BD"/>
    <w:rsid w:val="00211DA2"/>
    <w:rsid w:val="00213693"/>
    <w:rsid w:val="00215CCB"/>
    <w:rsid w:val="00216CF5"/>
    <w:rsid w:val="0022037B"/>
    <w:rsid w:val="00222075"/>
    <w:rsid w:val="00222C8D"/>
    <w:rsid w:val="00225456"/>
    <w:rsid w:val="002256A8"/>
    <w:rsid w:val="00230E6B"/>
    <w:rsid w:val="00232B97"/>
    <w:rsid w:val="0023523A"/>
    <w:rsid w:val="0023757C"/>
    <w:rsid w:val="00237C47"/>
    <w:rsid w:val="002402E4"/>
    <w:rsid w:val="00241DA9"/>
    <w:rsid w:val="002421A0"/>
    <w:rsid w:val="00242B98"/>
    <w:rsid w:val="002445A1"/>
    <w:rsid w:val="00246FE6"/>
    <w:rsid w:val="002470E3"/>
    <w:rsid w:val="0025207D"/>
    <w:rsid w:val="00254DE9"/>
    <w:rsid w:val="00256461"/>
    <w:rsid w:val="002615D3"/>
    <w:rsid w:val="002672F1"/>
    <w:rsid w:val="00271414"/>
    <w:rsid w:val="00271922"/>
    <w:rsid w:val="00273412"/>
    <w:rsid w:val="0027373F"/>
    <w:rsid w:val="00273DED"/>
    <w:rsid w:val="00274ACF"/>
    <w:rsid w:val="0028159B"/>
    <w:rsid w:val="00282671"/>
    <w:rsid w:val="00282861"/>
    <w:rsid w:val="00283F2D"/>
    <w:rsid w:val="002843E2"/>
    <w:rsid w:val="00285CF9"/>
    <w:rsid w:val="00287BAA"/>
    <w:rsid w:val="00293489"/>
    <w:rsid w:val="00296F5E"/>
    <w:rsid w:val="00297CCF"/>
    <w:rsid w:val="002A30F0"/>
    <w:rsid w:val="002A4C1B"/>
    <w:rsid w:val="002A6DF5"/>
    <w:rsid w:val="002B6406"/>
    <w:rsid w:val="002B6809"/>
    <w:rsid w:val="002C0541"/>
    <w:rsid w:val="002C4231"/>
    <w:rsid w:val="002C6704"/>
    <w:rsid w:val="002C7080"/>
    <w:rsid w:val="002D00B0"/>
    <w:rsid w:val="002D2364"/>
    <w:rsid w:val="002D2E16"/>
    <w:rsid w:val="002D6FCB"/>
    <w:rsid w:val="002E0E66"/>
    <w:rsid w:val="002E230A"/>
    <w:rsid w:val="002E2E7F"/>
    <w:rsid w:val="002E45F0"/>
    <w:rsid w:val="002E7778"/>
    <w:rsid w:val="002F7820"/>
    <w:rsid w:val="0030300D"/>
    <w:rsid w:val="00304B3E"/>
    <w:rsid w:val="00304D97"/>
    <w:rsid w:val="0031180A"/>
    <w:rsid w:val="00313127"/>
    <w:rsid w:val="00313304"/>
    <w:rsid w:val="003155F4"/>
    <w:rsid w:val="00320309"/>
    <w:rsid w:val="00321D1E"/>
    <w:rsid w:val="0032530E"/>
    <w:rsid w:val="0032592A"/>
    <w:rsid w:val="00325A61"/>
    <w:rsid w:val="00325D94"/>
    <w:rsid w:val="00326976"/>
    <w:rsid w:val="003311D7"/>
    <w:rsid w:val="00332B8B"/>
    <w:rsid w:val="00334B99"/>
    <w:rsid w:val="0033521E"/>
    <w:rsid w:val="00336AB2"/>
    <w:rsid w:val="00337CA2"/>
    <w:rsid w:val="003404A4"/>
    <w:rsid w:val="0034629A"/>
    <w:rsid w:val="00347104"/>
    <w:rsid w:val="00347912"/>
    <w:rsid w:val="00350852"/>
    <w:rsid w:val="0035096E"/>
    <w:rsid w:val="0035219F"/>
    <w:rsid w:val="00355D01"/>
    <w:rsid w:val="00356C24"/>
    <w:rsid w:val="00360078"/>
    <w:rsid w:val="00360B81"/>
    <w:rsid w:val="00366283"/>
    <w:rsid w:val="0036708F"/>
    <w:rsid w:val="0036777E"/>
    <w:rsid w:val="003701FA"/>
    <w:rsid w:val="00372A26"/>
    <w:rsid w:val="00373793"/>
    <w:rsid w:val="003745D8"/>
    <w:rsid w:val="0037484C"/>
    <w:rsid w:val="003749CD"/>
    <w:rsid w:val="00374A6C"/>
    <w:rsid w:val="00381E38"/>
    <w:rsid w:val="00382718"/>
    <w:rsid w:val="00382B3B"/>
    <w:rsid w:val="00385ED2"/>
    <w:rsid w:val="003918E6"/>
    <w:rsid w:val="00391F86"/>
    <w:rsid w:val="003923FB"/>
    <w:rsid w:val="00393F00"/>
    <w:rsid w:val="003945C0"/>
    <w:rsid w:val="003A25A7"/>
    <w:rsid w:val="003B15B0"/>
    <w:rsid w:val="003B465D"/>
    <w:rsid w:val="003B535C"/>
    <w:rsid w:val="003C2120"/>
    <w:rsid w:val="003D030E"/>
    <w:rsid w:val="003D040D"/>
    <w:rsid w:val="003D1F49"/>
    <w:rsid w:val="003D2061"/>
    <w:rsid w:val="003E1FE3"/>
    <w:rsid w:val="003E32A7"/>
    <w:rsid w:val="003F1A33"/>
    <w:rsid w:val="003F3072"/>
    <w:rsid w:val="00401A5F"/>
    <w:rsid w:val="004024E4"/>
    <w:rsid w:val="00406289"/>
    <w:rsid w:val="00406578"/>
    <w:rsid w:val="004074EF"/>
    <w:rsid w:val="004102C3"/>
    <w:rsid w:val="0041307C"/>
    <w:rsid w:val="00413699"/>
    <w:rsid w:val="004167B4"/>
    <w:rsid w:val="004167BC"/>
    <w:rsid w:val="0042032D"/>
    <w:rsid w:val="004225DC"/>
    <w:rsid w:val="00422677"/>
    <w:rsid w:val="00423A41"/>
    <w:rsid w:val="00425FBA"/>
    <w:rsid w:val="00430D7E"/>
    <w:rsid w:val="00432332"/>
    <w:rsid w:val="00432368"/>
    <w:rsid w:val="00433B04"/>
    <w:rsid w:val="0043784D"/>
    <w:rsid w:val="00440256"/>
    <w:rsid w:val="00440E22"/>
    <w:rsid w:val="0044547D"/>
    <w:rsid w:val="00446F93"/>
    <w:rsid w:val="00450894"/>
    <w:rsid w:val="00451A74"/>
    <w:rsid w:val="004552A8"/>
    <w:rsid w:val="004552AB"/>
    <w:rsid w:val="0045622C"/>
    <w:rsid w:val="00463931"/>
    <w:rsid w:val="00464B93"/>
    <w:rsid w:val="00464FB1"/>
    <w:rsid w:val="00467185"/>
    <w:rsid w:val="00467736"/>
    <w:rsid w:val="0047050C"/>
    <w:rsid w:val="004738A8"/>
    <w:rsid w:val="004749CE"/>
    <w:rsid w:val="004750DB"/>
    <w:rsid w:val="0047601C"/>
    <w:rsid w:val="0048059D"/>
    <w:rsid w:val="00480F21"/>
    <w:rsid w:val="0048108E"/>
    <w:rsid w:val="004844AB"/>
    <w:rsid w:val="0048537F"/>
    <w:rsid w:val="004859B8"/>
    <w:rsid w:val="004874E5"/>
    <w:rsid w:val="00487885"/>
    <w:rsid w:val="00490A65"/>
    <w:rsid w:val="0049116C"/>
    <w:rsid w:val="004930C9"/>
    <w:rsid w:val="00493F62"/>
    <w:rsid w:val="00494832"/>
    <w:rsid w:val="004957C2"/>
    <w:rsid w:val="00495AF1"/>
    <w:rsid w:val="00497A89"/>
    <w:rsid w:val="004A4CED"/>
    <w:rsid w:val="004A5C83"/>
    <w:rsid w:val="004A6BE6"/>
    <w:rsid w:val="004B02C2"/>
    <w:rsid w:val="004B0828"/>
    <w:rsid w:val="004B3304"/>
    <w:rsid w:val="004B3DF1"/>
    <w:rsid w:val="004B4BC0"/>
    <w:rsid w:val="004B5555"/>
    <w:rsid w:val="004C0484"/>
    <w:rsid w:val="004C777E"/>
    <w:rsid w:val="004D16A4"/>
    <w:rsid w:val="004E0CDF"/>
    <w:rsid w:val="004E569C"/>
    <w:rsid w:val="004E6682"/>
    <w:rsid w:val="004E6D8A"/>
    <w:rsid w:val="004F15EF"/>
    <w:rsid w:val="004F22FE"/>
    <w:rsid w:val="004F5E51"/>
    <w:rsid w:val="004F774D"/>
    <w:rsid w:val="005013B0"/>
    <w:rsid w:val="005015E4"/>
    <w:rsid w:val="005017A6"/>
    <w:rsid w:val="0050291D"/>
    <w:rsid w:val="00504BD7"/>
    <w:rsid w:val="005064CD"/>
    <w:rsid w:val="00506C00"/>
    <w:rsid w:val="00511016"/>
    <w:rsid w:val="005159B3"/>
    <w:rsid w:val="00522C03"/>
    <w:rsid w:val="00523CB4"/>
    <w:rsid w:val="00525EA4"/>
    <w:rsid w:val="00526C6A"/>
    <w:rsid w:val="0052791F"/>
    <w:rsid w:val="00531A3F"/>
    <w:rsid w:val="00532CFF"/>
    <w:rsid w:val="00532D83"/>
    <w:rsid w:val="005366FC"/>
    <w:rsid w:val="00536880"/>
    <w:rsid w:val="00540AD0"/>
    <w:rsid w:val="00543A76"/>
    <w:rsid w:val="005523D1"/>
    <w:rsid w:val="0055532E"/>
    <w:rsid w:val="00555BC3"/>
    <w:rsid w:val="00556189"/>
    <w:rsid w:val="00557C8E"/>
    <w:rsid w:val="00561B2B"/>
    <w:rsid w:val="0056216A"/>
    <w:rsid w:val="0056357E"/>
    <w:rsid w:val="00564952"/>
    <w:rsid w:val="00571AB1"/>
    <w:rsid w:val="00576C6F"/>
    <w:rsid w:val="00577E1C"/>
    <w:rsid w:val="00580DB1"/>
    <w:rsid w:val="005814AC"/>
    <w:rsid w:val="00584676"/>
    <w:rsid w:val="005854B7"/>
    <w:rsid w:val="00587AB1"/>
    <w:rsid w:val="0059070B"/>
    <w:rsid w:val="00592698"/>
    <w:rsid w:val="0059283C"/>
    <w:rsid w:val="00594C4B"/>
    <w:rsid w:val="00594D7A"/>
    <w:rsid w:val="00595D4B"/>
    <w:rsid w:val="005A0D95"/>
    <w:rsid w:val="005A224B"/>
    <w:rsid w:val="005A7D44"/>
    <w:rsid w:val="005B1225"/>
    <w:rsid w:val="005B17D8"/>
    <w:rsid w:val="005B1D82"/>
    <w:rsid w:val="005B4077"/>
    <w:rsid w:val="005C14B7"/>
    <w:rsid w:val="005C1D3C"/>
    <w:rsid w:val="005C28B0"/>
    <w:rsid w:val="005C2F01"/>
    <w:rsid w:val="005C5F3C"/>
    <w:rsid w:val="005D01BE"/>
    <w:rsid w:val="005D1177"/>
    <w:rsid w:val="005D1D13"/>
    <w:rsid w:val="005D5460"/>
    <w:rsid w:val="005E08CD"/>
    <w:rsid w:val="005E37E8"/>
    <w:rsid w:val="005E477A"/>
    <w:rsid w:val="005E74C5"/>
    <w:rsid w:val="005F1B23"/>
    <w:rsid w:val="005F219D"/>
    <w:rsid w:val="005F2437"/>
    <w:rsid w:val="005F318A"/>
    <w:rsid w:val="005F46B1"/>
    <w:rsid w:val="005F7710"/>
    <w:rsid w:val="006004F7"/>
    <w:rsid w:val="00600F10"/>
    <w:rsid w:val="006025F0"/>
    <w:rsid w:val="00603261"/>
    <w:rsid w:val="00604D6B"/>
    <w:rsid w:val="006056D8"/>
    <w:rsid w:val="0060582B"/>
    <w:rsid w:val="00607597"/>
    <w:rsid w:val="00607D90"/>
    <w:rsid w:val="00610BDC"/>
    <w:rsid w:val="00610F93"/>
    <w:rsid w:val="006127CC"/>
    <w:rsid w:val="006127D5"/>
    <w:rsid w:val="006243C6"/>
    <w:rsid w:val="006252EC"/>
    <w:rsid w:val="00626E5F"/>
    <w:rsid w:val="006273BC"/>
    <w:rsid w:val="00630A4B"/>
    <w:rsid w:val="00632009"/>
    <w:rsid w:val="00633ACE"/>
    <w:rsid w:val="00633CF1"/>
    <w:rsid w:val="00635A6C"/>
    <w:rsid w:val="00635D17"/>
    <w:rsid w:val="00637091"/>
    <w:rsid w:val="00642839"/>
    <w:rsid w:val="00642AC8"/>
    <w:rsid w:val="006457F8"/>
    <w:rsid w:val="00645A17"/>
    <w:rsid w:val="00645CCB"/>
    <w:rsid w:val="0064700E"/>
    <w:rsid w:val="006478CB"/>
    <w:rsid w:val="00650B88"/>
    <w:rsid w:val="00652C58"/>
    <w:rsid w:val="006530EF"/>
    <w:rsid w:val="006554DD"/>
    <w:rsid w:val="00660951"/>
    <w:rsid w:val="006636E2"/>
    <w:rsid w:val="00666273"/>
    <w:rsid w:val="00667602"/>
    <w:rsid w:val="00667FA9"/>
    <w:rsid w:val="0067233D"/>
    <w:rsid w:val="00672B2E"/>
    <w:rsid w:val="006745AE"/>
    <w:rsid w:val="00676870"/>
    <w:rsid w:val="00676AF3"/>
    <w:rsid w:val="00677895"/>
    <w:rsid w:val="00677BEF"/>
    <w:rsid w:val="006814A3"/>
    <w:rsid w:val="0068166A"/>
    <w:rsid w:val="00682AFC"/>
    <w:rsid w:val="00683344"/>
    <w:rsid w:val="00684FC9"/>
    <w:rsid w:val="0069072B"/>
    <w:rsid w:val="0069174B"/>
    <w:rsid w:val="00693340"/>
    <w:rsid w:val="006A04C7"/>
    <w:rsid w:val="006B05E3"/>
    <w:rsid w:val="006B09BC"/>
    <w:rsid w:val="006B1FDA"/>
    <w:rsid w:val="006B6D5D"/>
    <w:rsid w:val="006B7B5A"/>
    <w:rsid w:val="006C0801"/>
    <w:rsid w:val="006C0C2C"/>
    <w:rsid w:val="006C0D5F"/>
    <w:rsid w:val="006C1EAA"/>
    <w:rsid w:val="006C216F"/>
    <w:rsid w:val="006C45D4"/>
    <w:rsid w:val="006C54A9"/>
    <w:rsid w:val="006D0AB7"/>
    <w:rsid w:val="006D0D5B"/>
    <w:rsid w:val="006D2042"/>
    <w:rsid w:val="006D66E3"/>
    <w:rsid w:val="006D7855"/>
    <w:rsid w:val="006D7DE6"/>
    <w:rsid w:val="006E010C"/>
    <w:rsid w:val="006E1003"/>
    <w:rsid w:val="006E16BF"/>
    <w:rsid w:val="006E18F0"/>
    <w:rsid w:val="006E214C"/>
    <w:rsid w:val="006E2B31"/>
    <w:rsid w:val="006E38AF"/>
    <w:rsid w:val="006E4F93"/>
    <w:rsid w:val="006F0958"/>
    <w:rsid w:val="006F7202"/>
    <w:rsid w:val="00700135"/>
    <w:rsid w:val="00705180"/>
    <w:rsid w:val="00711605"/>
    <w:rsid w:val="00711DF6"/>
    <w:rsid w:val="00716FBC"/>
    <w:rsid w:val="00717090"/>
    <w:rsid w:val="00717955"/>
    <w:rsid w:val="00720739"/>
    <w:rsid w:val="0072253E"/>
    <w:rsid w:val="00723E1F"/>
    <w:rsid w:val="0072443D"/>
    <w:rsid w:val="007247E5"/>
    <w:rsid w:val="007248B7"/>
    <w:rsid w:val="007254CA"/>
    <w:rsid w:val="00730CF8"/>
    <w:rsid w:val="00731A90"/>
    <w:rsid w:val="00732608"/>
    <w:rsid w:val="00733251"/>
    <w:rsid w:val="007357CA"/>
    <w:rsid w:val="00736555"/>
    <w:rsid w:val="00736DCA"/>
    <w:rsid w:val="00745C47"/>
    <w:rsid w:val="0075003D"/>
    <w:rsid w:val="00751D97"/>
    <w:rsid w:val="00752C55"/>
    <w:rsid w:val="007558A6"/>
    <w:rsid w:val="007562D4"/>
    <w:rsid w:val="007573FA"/>
    <w:rsid w:val="00761DBF"/>
    <w:rsid w:val="00761FCF"/>
    <w:rsid w:val="00762477"/>
    <w:rsid w:val="00765503"/>
    <w:rsid w:val="007666AC"/>
    <w:rsid w:val="00767B7E"/>
    <w:rsid w:val="00771D7D"/>
    <w:rsid w:val="007745B7"/>
    <w:rsid w:val="007750C8"/>
    <w:rsid w:val="007756B2"/>
    <w:rsid w:val="00775C3F"/>
    <w:rsid w:val="00776538"/>
    <w:rsid w:val="007802BE"/>
    <w:rsid w:val="00780EEF"/>
    <w:rsid w:val="0078134C"/>
    <w:rsid w:val="00781C47"/>
    <w:rsid w:val="007837C7"/>
    <w:rsid w:val="00784B44"/>
    <w:rsid w:val="00785465"/>
    <w:rsid w:val="00787656"/>
    <w:rsid w:val="00791767"/>
    <w:rsid w:val="0079239A"/>
    <w:rsid w:val="0079268A"/>
    <w:rsid w:val="007927BC"/>
    <w:rsid w:val="00794859"/>
    <w:rsid w:val="00797C88"/>
    <w:rsid w:val="007A1013"/>
    <w:rsid w:val="007A4CA9"/>
    <w:rsid w:val="007A7D19"/>
    <w:rsid w:val="007A7EC2"/>
    <w:rsid w:val="007B042D"/>
    <w:rsid w:val="007B05BB"/>
    <w:rsid w:val="007B43B6"/>
    <w:rsid w:val="007B5AD8"/>
    <w:rsid w:val="007B6E0A"/>
    <w:rsid w:val="007B764C"/>
    <w:rsid w:val="007C118A"/>
    <w:rsid w:val="007C34E2"/>
    <w:rsid w:val="007C636F"/>
    <w:rsid w:val="007C6433"/>
    <w:rsid w:val="007D39EB"/>
    <w:rsid w:val="007E2D00"/>
    <w:rsid w:val="007E74E1"/>
    <w:rsid w:val="007E77A8"/>
    <w:rsid w:val="007F0B7F"/>
    <w:rsid w:val="007F1AC6"/>
    <w:rsid w:val="007F491C"/>
    <w:rsid w:val="00803BF8"/>
    <w:rsid w:val="00805922"/>
    <w:rsid w:val="008061C9"/>
    <w:rsid w:val="008066D8"/>
    <w:rsid w:val="00811A18"/>
    <w:rsid w:val="0081259A"/>
    <w:rsid w:val="00813711"/>
    <w:rsid w:val="00813A5B"/>
    <w:rsid w:val="00821DDB"/>
    <w:rsid w:val="00821E64"/>
    <w:rsid w:val="008263C2"/>
    <w:rsid w:val="008307DB"/>
    <w:rsid w:val="00833398"/>
    <w:rsid w:val="00835D9D"/>
    <w:rsid w:val="00835FC9"/>
    <w:rsid w:val="008368F8"/>
    <w:rsid w:val="008370E3"/>
    <w:rsid w:val="00837198"/>
    <w:rsid w:val="008401A6"/>
    <w:rsid w:val="008418FA"/>
    <w:rsid w:val="00842959"/>
    <w:rsid w:val="00843390"/>
    <w:rsid w:val="0084415C"/>
    <w:rsid w:val="0085235A"/>
    <w:rsid w:val="00854138"/>
    <w:rsid w:val="00854410"/>
    <w:rsid w:val="008544DF"/>
    <w:rsid w:val="00860AAD"/>
    <w:rsid w:val="00861AA6"/>
    <w:rsid w:val="0086420A"/>
    <w:rsid w:val="008708F3"/>
    <w:rsid w:val="00871354"/>
    <w:rsid w:val="00872EA4"/>
    <w:rsid w:val="00873611"/>
    <w:rsid w:val="00873C8F"/>
    <w:rsid w:val="00874FB3"/>
    <w:rsid w:val="00880BE3"/>
    <w:rsid w:val="00881359"/>
    <w:rsid w:val="00882093"/>
    <w:rsid w:val="00882588"/>
    <w:rsid w:val="00884ADE"/>
    <w:rsid w:val="008856CF"/>
    <w:rsid w:val="00885864"/>
    <w:rsid w:val="00885E5C"/>
    <w:rsid w:val="00890A1D"/>
    <w:rsid w:val="0089383B"/>
    <w:rsid w:val="0089534B"/>
    <w:rsid w:val="0089616F"/>
    <w:rsid w:val="00897BF9"/>
    <w:rsid w:val="00897CD3"/>
    <w:rsid w:val="008A0232"/>
    <w:rsid w:val="008A2B19"/>
    <w:rsid w:val="008A433B"/>
    <w:rsid w:val="008A6B15"/>
    <w:rsid w:val="008A6EB6"/>
    <w:rsid w:val="008B0470"/>
    <w:rsid w:val="008B06C5"/>
    <w:rsid w:val="008B164E"/>
    <w:rsid w:val="008B2AD8"/>
    <w:rsid w:val="008B502A"/>
    <w:rsid w:val="008B57D8"/>
    <w:rsid w:val="008B7A65"/>
    <w:rsid w:val="008C1219"/>
    <w:rsid w:val="008C123E"/>
    <w:rsid w:val="008C137D"/>
    <w:rsid w:val="008C22DD"/>
    <w:rsid w:val="008C3ED0"/>
    <w:rsid w:val="008C4EE3"/>
    <w:rsid w:val="008C5E94"/>
    <w:rsid w:val="008D131B"/>
    <w:rsid w:val="008D196A"/>
    <w:rsid w:val="008D60AA"/>
    <w:rsid w:val="008E3E5E"/>
    <w:rsid w:val="008E3EF2"/>
    <w:rsid w:val="008E51C9"/>
    <w:rsid w:val="008E5BEB"/>
    <w:rsid w:val="008E6306"/>
    <w:rsid w:val="008F360E"/>
    <w:rsid w:val="008F3CF2"/>
    <w:rsid w:val="008F68F7"/>
    <w:rsid w:val="009005A6"/>
    <w:rsid w:val="009006CF"/>
    <w:rsid w:val="00900C71"/>
    <w:rsid w:val="00902A1C"/>
    <w:rsid w:val="009037B6"/>
    <w:rsid w:val="00905FA2"/>
    <w:rsid w:val="00906A0B"/>
    <w:rsid w:val="00906CBE"/>
    <w:rsid w:val="00910024"/>
    <w:rsid w:val="00910384"/>
    <w:rsid w:val="00912D48"/>
    <w:rsid w:val="00913A97"/>
    <w:rsid w:val="0091643D"/>
    <w:rsid w:val="00916E33"/>
    <w:rsid w:val="0092093B"/>
    <w:rsid w:val="009236A1"/>
    <w:rsid w:val="009276E5"/>
    <w:rsid w:val="00927F40"/>
    <w:rsid w:val="00930669"/>
    <w:rsid w:val="00932C33"/>
    <w:rsid w:val="009351E5"/>
    <w:rsid w:val="00935410"/>
    <w:rsid w:val="00937532"/>
    <w:rsid w:val="009427A1"/>
    <w:rsid w:val="00942FFE"/>
    <w:rsid w:val="0094599D"/>
    <w:rsid w:val="00952713"/>
    <w:rsid w:val="009551E0"/>
    <w:rsid w:val="0095654E"/>
    <w:rsid w:val="0095663F"/>
    <w:rsid w:val="00956B63"/>
    <w:rsid w:val="00956F3C"/>
    <w:rsid w:val="00971C34"/>
    <w:rsid w:val="00972488"/>
    <w:rsid w:val="009726D0"/>
    <w:rsid w:val="0097421D"/>
    <w:rsid w:val="00976117"/>
    <w:rsid w:val="00976A23"/>
    <w:rsid w:val="009800BC"/>
    <w:rsid w:val="009816F6"/>
    <w:rsid w:val="009900F0"/>
    <w:rsid w:val="00990B9B"/>
    <w:rsid w:val="00991769"/>
    <w:rsid w:val="00992E92"/>
    <w:rsid w:val="00993236"/>
    <w:rsid w:val="00993948"/>
    <w:rsid w:val="00993D8C"/>
    <w:rsid w:val="00994E3D"/>
    <w:rsid w:val="009A297E"/>
    <w:rsid w:val="009A6127"/>
    <w:rsid w:val="009A6578"/>
    <w:rsid w:val="009B0CC1"/>
    <w:rsid w:val="009B2BDB"/>
    <w:rsid w:val="009B4217"/>
    <w:rsid w:val="009B713C"/>
    <w:rsid w:val="009C0F18"/>
    <w:rsid w:val="009C12C6"/>
    <w:rsid w:val="009C2555"/>
    <w:rsid w:val="009C4351"/>
    <w:rsid w:val="009C7778"/>
    <w:rsid w:val="009D06AE"/>
    <w:rsid w:val="009D09E2"/>
    <w:rsid w:val="009D1E42"/>
    <w:rsid w:val="009D7148"/>
    <w:rsid w:val="009E02FD"/>
    <w:rsid w:val="009E46AE"/>
    <w:rsid w:val="009E4C74"/>
    <w:rsid w:val="009E62B6"/>
    <w:rsid w:val="009F35DA"/>
    <w:rsid w:val="009F43D0"/>
    <w:rsid w:val="00A00568"/>
    <w:rsid w:val="00A00884"/>
    <w:rsid w:val="00A01EA6"/>
    <w:rsid w:val="00A02F62"/>
    <w:rsid w:val="00A02FA3"/>
    <w:rsid w:val="00A030C3"/>
    <w:rsid w:val="00A04729"/>
    <w:rsid w:val="00A04803"/>
    <w:rsid w:val="00A05372"/>
    <w:rsid w:val="00A059FA"/>
    <w:rsid w:val="00A10147"/>
    <w:rsid w:val="00A10D60"/>
    <w:rsid w:val="00A11331"/>
    <w:rsid w:val="00A131E6"/>
    <w:rsid w:val="00A13843"/>
    <w:rsid w:val="00A146A5"/>
    <w:rsid w:val="00A17466"/>
    <w:rsid w:val="00A204B3"/>
    <w:rsid w:val="00A20576"/>
    <w:rsid w:val="00A21593"/>
    <w:rsid w:val="00A221B9"/>
    <w:rsid w:val="00A221F7"/>
    <w:rsid w:val="00A22C21"/>
    <w:rsid w:val="00A25A3D"/>
    <w:rsid w:val="00A2604E"/>
    <w:rsid w:val="00A27C5B"/>
    <w:rsid w:val="00A31CCE"/>
    <w:rsid w:val="00A33C95"/>
    <w:rsid w:val="00A34FF3"/>
    <w:rsid w:val="00A35351"/>
    <w:rsid w:val="00A361C7"/>
    <w:rsid w:val="00A36723"/>
    <w:rsid w:val="00A46DF5"/>
    <w:rsid w:val="00A5149A"/>
    <w:rsid w:val="00A53650"/>
    <w:rsid w:val="00A53E51"/>
    <w:rsid w:val="00A57183"/>
    <w:rsid w:val="00A60693"/>
    <w:rsid w:val="00A6196D"/>
    <w:rsid w:val="00A619C0"/>
    <w:rsid w:val="00A61ADF"/>
    <w:rsid w:val="00A624CB"/>
    <w:rsid w:val="00A62AC0"/>
    <w:rsid w:val="00A76BD2"/>
    <w:rsid w:val="00A773DC"/>
    <w:rsid w:val="00A77C56"/>
    <w:rsid w:val="00A817AC"/>
    <w:rsid w:val="00A8267D"/>
    <w:rsid w:val="00A82E14"/>
    <w:rsid w:val="00A85487"/>
    <w:rsid w:val="00A8688E"/>
    <w:rsid w:val="00A8722B"/>
    <w:rsid w:val="00A901E9"/>
    <w:rsid w:val="00A917B6"/>
    <w:rsid w:val="00A91831"/>
    <w:rsid w:val="00A91B3B"/>
    <w:rsid w:val="00A93B4F"/>
    <w:rsid w:val="00A9497E"/>
    <w:rsid w:val="00A94C01"/>
    <w:rsid w:val="00A94F7A"/>
    <w:rsid w:val="00A95D3B"/>
    <w:rsid w:val="00A972B1"/>
    <w:rsid w:val="00A97341"/>
    <w:rsid w:val="00AA0081"/>
    <w:rsid w:val="00AA4832"/>
    <w:rsid w:val="00AA4E4D"/>
    <w:rsid w:val="00AB09ED"/>
    <w:rsid w:val="00AB2E24"/>
    <w:rsid w:val="00AB3DC0"/>
    <w:rsid w:val="00AB4CBB"/>
    <w:rsid w:val="00AC125E"/>
    <w:rsid w:val="00AC45DF"/>
    <w:rsid w:val="00AC474D"/>
    <w:rsid w:val="00AC4CE8"/>
    <w:rsid w:val="00AC4DFD"/>
    <w:rsid w:val="00AC5663"/>
    <w:rsid w:val="00AC58FD"/>
    <w:rsid w:val="00AD000F"/>
    <w:rsid w:val="00AD0F6D"/>
    <w:rsid w:val="00AD1166"/>
    <w:rsid w:val="00AD19D2"/>
    <w:rsid w:val="00AD1A96"/>
    <w:rsid w:val="00AD3042"/>
    <w:rsid w:val="00AD418C"/>
    <w:rsid w:val="00AD6EF1"/>
    <w:rsid w:val="00AD793A"/>
    <w:rsid w:val="00AE0120"/>
    <w:rsid w:val="00AE0D13"/>
    <w:rsid w:val="00AE3038"/>
    <w:rsid w:val="00AE3D4A"/>
    <w:rsid w:val="00AE5956"/>
    <w:rsid w:val="00AE619F"/>
    <w:rsid w:val="00AE7000"/>
    <w:rsid w:val="00AE7A88"/>
    <w:rsid w:val="00AF2A56"/>
    <w:rsid w:val="00AF46AF"/>
    <w:rsid w:val="00AF635D"/>
    <w:rsid w:val="00AF63AB"/>
    <w:rsid w:val="00B01784"/>
    <w:rsid w:val="00B02EA7"/>
    <w:rsid w:val="00B0388B"/>
    <w:rsid w:val="00B03BEE"/>
    <w:rsid w:val="00B0517E"/>
    <w:rsid w:val="00B06386"/>
    <w:rsid w:val="00B11314"/>
    <w:rsid w:val="00B113E3"/>
    <w:rsid w:val="00B1156A"/>
    <w:rsid w:val="00B138E3"/>
    <w:rsid w:val="00B13FB5"/>
    <w:rsid w:val="00B16716"/>
    <w:rsid w:val="00B178FA"/>
    <w:rsid w:val="00B17D8E"/>
    <w:rsid w:val="00B207C3"/>
    <w:rsid w:val="00B23267"/>
    <w:rsid w:val="00B23906"/>
    <w:rsid w:val="00B24125"/>
    <w:rsid w:val="00B244AD"/>
    <w:rsid w:val="00B245E3"/>
    <w:rsid w:val="00B257BF"/>
    <w:rsid w:val="00B27149"/>
    <w:rsid w:val="00B3454C"/>
    <w:rsid w:val="00B35B4D"/>
    <w:rsid w:val="00B362F0"/>
    <w:rsid w:val="00B36652"/>
    <w:rsid w:val="00B4098C"/>
    <w:rsid w:val="00B413EC"/>
    <w:rsid w:val="00B425AB"/>
    <w:rsid w:val="00B47090"/>
    <w:rsid w:val="00B532D1"/>
    <w:rsid w:val="00B61E3E"/>
    <w:rsid w:val="00B63007"/>
    <w:rsid w:val="00B67A79"/>
    <w:rsid w:val="00B70157"/>
    <w:rsid w:val="00B72D62"/>
    <w:rsid w:val="00B74B6F"/>
    <w:rsid w:val="00B767AF"/>
    <w:rsid w:val="00B80511"/>
    <w:rsid w:val="00B80798"/>
    <w:rsid w:val="00B80876"/>
    <w:rsid w:val="00B8119E"/>
    <w:rsid w:val="00B82C3C"/>
    <w:rsid w:val="00B82DE6"/>
    <w:rsid w:val="00B831CD"/>
    <w:rsid w:val="00B85329"/>
    <w:rsid w:val="00B862DE"/>
    <w:rsid w:val="00B91B9D"/>
    <w:rsid w:val="00BA5E20"/>
    <w:rsid w:val="00BA607C"/>
    <w:rsid w:val="00BA6202"/>
    <w:rsid w:val="00BA6734"/>
    <w:rsid w:val="00BB3E2A"/>
    <w:rsid w:val="00BB7121"/>
    <w:rsid w:val="00BB7EF9"/>
    <w:rsid w:val="00BC0479"/>
    <w:rsid w:val="00BC1651"/>
    <w:rsid w:val="00BC16F5"/>
    <w:rsid w:val="00BC18FF"/>
    <w:rsid w:val="00BC287D"/>
    <w:rsid w:val="00BC2A38"/>
    <w:rsid w:val="00BC46EB"/>
    <w:rsid w:val="00BC643B"/>
    <w:rsid w:val="00BC7ACC"/>
    <w:rsid w:val="00BD32E5"/>
    <w:rsid w:val="00BD36C4"/>
    <w:rsid w:val="00BE1095"/>
    <w:rsid w:val="00BE150A"/>
    <w:rsid w:val="00BE2B89"/>
    <w:rsid w:val="00BE6767"/>
    <w:rsid w:val="00BE78EC"/>
    <w:rsid w:val="00BF0389"/>
    <w:rsid w:val="00BF417B"/>
    <w:rsid w:val="00BF46EE"/>
    <w:rsid w:val="00C0613C"/>
    <w:rsid w:val="00C10D05"/>
    <w:rsid w:val="00C14FBA"/>
    <w:rsid w:val="00C15EA1"/>
    <w:rsid w:val="00C17A8E"/>
    <w:rsid w:val="00C17B61"/>
    <w:rsid w:val="00C20647"/>
    <w:rsid w:val="00C22CF0"/>
    <w:rsid w:val="00C23E36"/>
    <w:rsid w:val="00C24F70"/>
    <w:rsid w:val="00C25DC2"/>
    <w:rsid w:val="00C266A8"/>
    <w:rsid w:val="00C27FB2"/>
    <w:rsid w:val="00C303D7"/>
    <w:rsid w:val="00C33479"/>
    <w:rsid w:val="00C37DD0"/>
    <w:rsid w:val="00C407FA"/>
    <w:rsid w:val="00C40ED2"/>
    <w:rsid w:val="00C41F10"/>
    <w:rsid w:val="00C432DD"/>
    <w:rsid w:val="00C4423A"/>
    <w:rsid w:val="00C500F8"/>
    <w:rsid w:val="00C501FE"/>
    <w:rsid w:val="00C5784B"/>
    <w:rsid w:val="00C639FF"/>
    <w:rsid w:val="00C6442A"/>
    <w:rsid w:val="00C64D15"/>
    <w:rsid w:val="00C66088"/>
    <w:rsid w:val="00C67C4C"/>
    <w:rsid w:val="00C74B5D"/>
    <w:rsid w:val="00C74F74"/>
    <w:rsid w:val="00C7554B"/>
    <w:rsid w:val="00C76532"/>
    <w:rsid w:val="00C80951"/>
    <w:rsid w:val="00C8205E"/>
    <w:rsid w:val="00C82EB5"/>
    <w:rsid w:val="00C86031"/>
    <w:rsid w:val="00C87966"/>
    <w:rsid w:val="00C902DE"/>
    <w:rsid w:val="00C916AE"/>
    <w:rsid w:val="00C9343F"/>
    <w:rsid w:val="00C93AAA"/>
    <w:rsid w:val="00C95FCD"/>
    <w:rsid w:val="00C97188"/>
    <w:rsid w:val="00CA0639"/>
    <w:rsid w:val="00CA11D0"/>
    <w:rsid w:val="00CA2E02"/>
    <w:rsid w:val="00CA421F"/>
    <w:rsid w:val="00CA583A"/>
    <w:rsid w:val="00CA5EC6"/>
    <w:rsid w:val="00CB5744"/>
    <w:rsid w:val="00CB7022"/>
    <w:rsid w:val="00CB7BC5"/>
    <w:rsid w:val="00CC00E5"/>
    <w:rsid w:val="00CC49A5"/>
    <w:rsid w:val="00CC586D"/>
    <w:rsid w:val="00CC7DBC"/>
    <w:rsid w:val="00CD1BA3"/>
    <w:rsid w:val="00CD1D23"/>
    <w:rsid w:val="00CD3612"/>
    <w:rsid w:val="00CD38B7"/>
    <w:rsid w:val="00CD3E69"/>
    <w:rsid w:val="00CD6B7D"/>
    <w:rsid w:val="00CD7D29"/>
    <w:rsid w:val="00CE0847"/>
    <w:rsid w:val="00CE0B6C"/>
    <w:rsid w:val="00CE0B7F"/>
    <w:rsid w:val="00CE11D0"/>
    <w:rsid w:val="00CE4708"/>
    <w:rsid w:val="00CE4C50"/>
    <w:rsid w:val="00CE6858"/>
    <w:rsid w:val="00CE7450"/>
    <w:rsid w:val="00CE770C"/>
    <w:rsid w:val="00CF50BE"/>
    <w:rsid w:val="00CF7625"/>
    <w:rsid w:val="00D00724"/>
    <w:rsid w:val="00D0420C"/>
    <w:rsid w:val="00D0506A"/>
    <w:rsid w:val="00D05D7A"/>
    <w:rsid w:val="00D10F15"/>
    <w:rsid w:val="00D1289C"/>
    <w:rsid w:val="00D1366B"/>
    <w:rsid w:val="00D15093"/>
    <w:rsid w:val="00D1666F"/>
    <w:rsid w:val="00D2071A"/>
    <w:rsid w:val="00D23BAB"/>
    <w:rsid w:val="00D26330"/>
    <w:rsid w:val="00D30F73"/>
    <w:rsid w:val="00D30F97"/>
    <w:rsid w:val="00D313A0"/>
    <w:rsid w:val="00D36FE0"/>
    <w:rsid w:val="00D40799"/>
    <w:rsid w:val="00D41583"/>
    <w:rsid w:val="00D41A06"/>
    <w:rsid w:val="00D42ABF"/>
    <w:rsid w:val="00D42F40"/>
    <w:rsid w:val="00D45B67"/>
    <w:rsid w:val="00D46AD7"/>
    <w:rsid w:val="00D5034A"/>
    <w:rsid w:val="00D51822"/>
    <w:rsid w:val="00D51F49"/>
    <w:rsid w:val="00D55EE8"/>
    <w:rsid w:val="00D562CB"/>
    <w:rsid w:val="00D569D1"/>
    <w:rsid w:val="00D56AD8"/>
    <w:rsid w:val="00D56C05"/>
    <w:rsid w:val="00D5785A"/>
    <w:rsid w:val="00D6375F"/>
    <w:rsid w:val="00D64C48"/>
    <w:rsid w:val="00D6680B"/>
    <w:rsid w:val="00D678EF"/>
    <w:rsid w:val="00D72F4F"/>
    <w:rsid w:val="00D731C4"/>
    <w:rsid w:val="00D74EB4"/>
    <w:rsid w:val="00D801FC"/>
    <w:rsid w:val="00D80F7B"/>
    <w:rsid w:val="00D85BE0"/>
    <w:rsid w:val="00D87FD7"/>
    <w:rsid w:val="00D91466"/>
    <w:rsid w:val="00D915ED"/>
    <w:rsid w:val="00D92300"/>
    <w:rsid w:val="00D92732"/>
    <w:rsid w:val="00D94AFC"/>
    <w:rsid w:val="00D95096"/>
    <w:rsid w:val="00D950E6"/>
    <w:rsid w:val="00D95C0E"/>
    <w:rsid w:val="00D97047"/>
    <w:rsid w:val="00D97D20"/>
    <w:rsid w:val="00DA1E36"/>
    <w:rsid w:val="00DA3619"/>
    <w:rsid w:val="00DA3A14"/>
    <w:rsid w:val="00DA47A8"/>
    <w:rsid w:val="00DB0B88"/>
    <w:rsid w:val="00DB1652"/>
    <w:rsid w:val="00DB58A6"/>
    <w:rsid w:val="00DB6B99"/>
    <w:rsid w:val="00DC001A"/>
    <w:rsid w:val="00DD4F44"/>
    <w:rsid w:val="00DD686C"/>
    <w:rsid w:val="00DE2386"/>
    <w:rsid w:val="00DE2AC3"/>
    <w:rsid w:val="00DE2E40"/>
    <w:rsid w:val="00DE3598"/>
    <w:rsid w:val="00DE3FBD"/>
    <w:rsid w:val="00DE43F5"/>
    <w:rsid w:val="00DE65FB"/>
    <w:rsid w:val="00DF420A"/>
    <w:rsid w:val="00DF6FDC"/>
    <w:rsid w:val="00E00DAD"/>
    <w:rsid w:val="00E02472"/>
    <w:rsid w:val="00E03300"/>
    <w:rsid w:val="00E041F0"/>
    <w:rsid w:val="00E128D8"/>
    <w:rsid w:val="00E12B1B"/>
    <w:rsid w:val="00E130C3"/>
    <w:rsid w:val="00E15D40"/>
    <w:rsid w:val="00E17EDF"/>
    <w:rsid w:val="00E2082D"/>
    <w:rsid w:val="00E221E2"/>
    <w:rsid w:val="00E24303"/>
    <w:rsid w:val="00E27A16"/>
    <w:rsid w:val="00E33A9B"/>
    <w:rsid w:val="00E3514E"/>
    <w:rsid w:val="00E40F7B"/>
    <w:rsid w:val="00E418CF"/>
    <w:rsid w:val="00E433B7"/>
    <w:rsid w:val="00E46D60"/>
    <w:rsid w:val="00E47C33"/>
    <w:rsid w:val="00E47F58"/>
    <w:rsid w:val="00E50939"/>
    <w:rsid w:val="00E54BFC"/>
    <w:rsid w:val="00E56D9D"/>
    <w:rsid w:val="00E60E2E"/>
    <w:rsid w:val="00E71A2D"/>
    <w:rsid w:val="00E74A73"/>
    <w:rsid w:val="00E823C1"/>
    <w:rsid w:val="00E82DB7"/>
    <w:rsid w:val="00E8579C"/>
    <w:rsid w:val="00E865FE"/>
    <w:rsid w:val="00E867EF"/>
    <w:rsid w:val="00E91408"/>
    <w:rsid w:val="00E91759"/>
    <w:rsid w:val="00E95BD4"/>
    <w:rsid w:val="00E9654B"/>
    <w:rsid w:val="00E970E1"/>
    <w:rsid w:val="00EA18DB"/>
    <w:rsid w:val="00EA2FBA"/>
    <w:rsid w:val="00EA4DC5"/>
    <w:rsid w:val="00EA5750"/>
    <w:rsid w:val="00EA66DF"/>
    <w:rsid w:val="00EA6ADC"/>
    <w:rsid w:val="00EB13A7"/>
    <w:rsid w:val="00EB14DF"/>
    <w:rsid w:val="00EB1A4D"/>
    <w:rsid w:val="00EB2C4D"/>
    <w:rsid w:val="00EB3A07"/>
    <w:rsid w:val="00EB4353"/>
    <w:rsid w:val="00EB50F6"/>
    <w:rsid w:val="00EB5539"/>
    <w:rsid w:val="00EC2C42"/>
    <w:rsid w:val="00EC3F31"/>
    <w:rsid w:val="00EC52E7"/>
    <w:rsid w:val="00EC58FA"/>
    <w:rsid w:val="00ED3698"/>
    <w:rsid w:val="00ED4794"/>
    <w:rsid w:val="00EE265C"/>
    <w:rsid w:val="00EE5799"/>
    <w:rsid w:val="00EE5C63"/>
    <w:rsid w:val="00EF7EBC"/>
    <w:rsid w:val="00F0095C"/>
    <w:rsid w:val="00F00AD3"/>
    <w:rsid w:val="00F01129"/>
    <w:rsid w:val="00F01CCA"/>
    <w:rsid w:val="00F01F2C"/>
    <w:rsid w:val="00F02104"/>
    <w:rsid w:val="00F06C17"/>
    <w:rsid w:val="00F108E6"/>
    <w:rsid w:val="00F12E84"/>
    <w:rsid w:val="00F1632B"/>
    <w:rsid w:val="00F175B4"/>
    <w:rsid w:val="00F24D71"/>
    <w:rsid w:val="00F25D55"/>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75E6D"/>
    <w:rsid w:val="00F8168B"/>
    <w:rsid w:val="00F81CF2"/>
    <w:rsid w:val="00F81F93"/>
    <w:rsid w:val="00F857D1"/>
    <w:rsid w:val="00F86D34"/>
    <w:rsid w:val="00F91DCC"/>
    <w:rsid w:val="00F9323F"/>
    <w:rsid w:val="00F943FE"/>
    <w:rsid w:val="00F95814"/>
    <w:rsid w:val="00F95CE9"/>
    <w:rsid w:val="00F97100"/>
    <w:rsid w:val="00FA01D9"/>
    <w:rsid w:val="00FA249C"/>
    <w:rsid w:val="00FC0992"/>
    <w:rsid w:val="00FC1DFB"/>
    <w:rsid w:val="00FC1EF2"/>
    <w:rsid w:val="00FC3343"/>
    <w:rsid w:val="00FC33BA"/>
    <w:rsid w:val="00FC35AB"/>
    <w:rsid w:val="00FC6134"/>
    <w:rsid w:val="00FC654D"/>
    <w:rsid w:val="00FD0555"/>
    <w:rsid w:val="00FD5961"/>
    <w:rsid w:val="00FE2A9F"/>
    <w:rsid w:val="00FE3EFA"/>
    <w:rsid w:val="00FE5C56"/>
    <w:rsid w:val="00FE5E20"/>
    <w:rsid w:val="00FE7AAC"/>
    <w:rsid w:val="00FE7B06"/>
    <w:rsid w:val="00FE7E98"/>
    <w:rsid w:val="00FF06BC"/>
    <w:rsid w:val="00FF20AC"/>
    <w:rsid w:val="00FF3801"/>
    <w:rsid w:val="00FF3A27"/>
    <w:rsid w:val="00FF3B27"/>
    <w:rsid w:val="00FF5753"/>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D6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link w:val="Heading1Char"/>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Level1"/>
    <w:next w:val="Normal"/>
    <w:link w:val="Heading2Char"/>
    <w:uiPriority w:val="9"/>
    <w:qFormat/>
    <w:rsid w:val="00D97D20"/>
    <w:pPr>
      <w:spacing w:before="0"/>
      <w:ind w:left="1134" w:hanging="1134"/>
      <w:outlineLvl w:val="1"/>
    </w:pPr>
  </w:style>
  <w:style w:type="paragraph" w:styleId="Heading3">
    <w:name w:val="heading 3"/>
    <w:basedOn w:val="Level2"/>
    <w:next w:val="Normal"/>
    <w:link w:val="Heading3Char"/>
    <w:qFormat/>
    <w:rsid w:val="00897CD3"/>
    <w:pPr>
      <w:spacing w:before="240"/>
      <w:outlineLvl w:val="2"/>
    </w:pPr>
  </w:style>
  <w:style w:type="paragraph" w:styleId="Heading4">
    <w:name w:val="heading 4"/>
    <w:basedOn w:val="Normal"/>
    <w:next w:val="Normal"/>
    <w:link w:val="Heading4Char"/>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qFormat/>
    <w:rsid w:val="002672F1"/>
    <w:pPr>
      <w:keepNext/>
      <w:spacing w:before="240"/>
      <w:contextualSpacing/>
      <w:outlineLvl w:val="5"/>
    </w:pPr>
    <w:rPr>
      <w:b/>
      <w:sz w:val="20"/>
      <w:szCs w:val="22"/>
    </w:rPr>
  </w:style>
  <w:style w:type="paragraph" w:styleId="Heading7">
    <w:name w:val="heading 7"/>
    <w:basedOn w:val="Normal"/>
    <w:next w:val="Normal"/>
    <w:link w:val="Heading7Char"/>
    <w:semiHidden/>
    <w:unhideWhenUsed/>
    <w:qFormat/>
    <w:rsid w:val="003918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918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918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paragraph" w:styleId="Title">
    <w:name w:val="Title"/>
    <w:basedOn w:val="Normal"/>
    <w:next w:val="Subtitle"/>
    <w:link w:val="TitleChar"/>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qFormat/>
    <w:rsid w:val="007C6433"/>
    <w:pPr>
      <w:numPr>
        <w:numId w:val="1"/>
      </w:numPr>
      <w:tabs>
        <w:tab w:val="clear" w:pos="360"/>
      </w:tabs>
      <w:spacing w:before="60" w:after="60"/>
      <w:ind w:left="2552" w:hanging="284"/>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9"/>
    <w:rsid w:val="00D97D20"/>
    <w:rPr>
      <w:rFonts w:asciiTheme="majorHAnsi" w:hAnsiTheme="majorHAnsi" w:cstheme="majorHAnsi"/>
      <w:b/>
      <w:sz w:val="28"/>
      <w:szCs w:val="28"/>
      <w:lang w:eastAsia="ja-JP"/>
    </w:rPr>
  </w:style>
  <w:style w:type="paragraph" w:styleId="TOC1">
    <w:name w:val="toc 1"/>
    <w:basedOn w:val="Normal"/>
    <w:next w:val="Normal"/>
    <w:autoRedefine/>
    <w:uiPriority w:val="39"/>
    <w:rsid w:val="00897CD3"/>
    <w:pPr>
      <w:tabs>
        <w:tab w:val="right" w:leader="dot" w:pos="7643"/>
      </w:tabs>
      <w:spacing w:before="240" w:after="60" w:line="240" w:lineRule="auto"/>
    </w:pPr>
    <w:rPr>
      <w:b/>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uiPriority w:val="99"/>
    <w:rsid w:val="001B5259"/>
    <w:rPr>
      <w:rFonts w:ascii="Tahoma" w:hAnsi="Tahoma" w:cs="Tahoma"/>
      <w:sz w:val="16"/>
      <w:szCs w:val="16"/>
    </w:rPr>
  </w:style>
  <w:style w:type="character" w:customStyle="1" w:styleId="BalloonTextChar">
    <w:name w:val="Balloon Text Char"/>
    <w:basedOn w:val="DefaultParagraphFont"/>
    <w:link w:val="BalloonText"/>
    <w:uiPriority w:val="99"/>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rsid w:val="000E39EF"/>
    <w:rPr>
      <w:color w:val="000000" w:themeColor="followedHyperlink"/>
      <w:u w:val="single"/>
    </w:rPr>
  </w:style>
  <w:style w:type="paragraph" w:styleId="Subtitle">
    <w:name w:val="Subtitle"/>
    <w:basedOn w:val="Normal"/>
    <w:next w:val="Versionanddate"/>
    <w:link w:val="SubtitleChar"/>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600F10"/>
    <w:pPr>
      <w:spacing w:before="0" w:after="1320" w:line="260" w:lineRule="atLeast"/>
    </w:pPr>
    <w:rPr>
      <w:noProof/>
      <w:color w:val="FFFFFF" w:themeColor="background1"/>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iPriority w:val="99"/>
    <w:unhideWhenUsed/>
    <w:rsid w:val="00E15D40"/>
    <w:rPr>
      <w:b/>
      <w:bCs/>
    </w:rPr>
  </w:style>
  <w:style w:type="character" w:customStyle="1" w:styleId="CommentSubjectChar">
    <w:name w:val="Comment Subject Char"/>
    <w:basedOn w:val="CommentTextChar"/>
    <w:link w:val="CommentSubject"/>
    <w:uiPriority w:val="99"/>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character" w:customStyle="1" w:styleId="Heading1Char">
    <w:name w:val="Heading 1 Char"/>
    <w:basedOn w:val="DefaultParagraphFont"/>
    <w:link w:val="Heading1"/>
    <w:uiPriority w:val="9"/>
    <w:rsid w:val="00C27FB2"/>
    <w:rPr>
      <w:rFonts w:asciiTheme="majorHAnsi" w:hAnsiTheme="majorHAnsi"/>
      <w:b/>
      <w:sz w:val="64"/>
      <w:szCs w:val="44"/>
    </w:rPr>
  </w:style>
  <w:style w:type="character" w:customStyle="1" w:styleId="Heading3Char">
    <w:name w:val="Heading 3 Char"/>
    <w:basedOn w:val="DefaultParagraphFont"/>
    <w:link w:val="Heading3"/>
    <w:rsid w:val="00897CD3"/>
    <w:rPr>
      <w:rFonts w:ascii="Arial" w:hAnsi="Arial" w:cs="Arial"/>
      <w:b/>
      <w:color w:val="004200" w:themeColor="accent1"/>
      <w:sz w:val="24"/>
      <w:szCs w:val="24"/>
    </w:rPr>
  </w:style>
  <w:style w:type="character" w:customStyle="1" w:styleId="Heading4Char">
    <w:name w:val="Heading 4 Char"/>
    <w:basedOn w:val="DefaultParagraphFont"/>
    <w:link w:val="Heading4"/>
    <w:rsid w:val="00C27FB2"/>
    <w:rPr>
      <w:rFonts w:ascii="Arial" w:hAnsi="Arial"/>
      <w:color w:val="636466" w:themeColor="accent4"/>
      <w:sz w:val="22"/>
      <w:szCs w:val="24"/>
    </w:rPr>
  </w:style>
  <w:style w:type="character" w:customStyle="1" w:styleId="ListParagraphChar">
    <w:name w:val="List Paragraph Char"/>
    <w:aliases w:val="Recommendation Char"/>
    <w:link w:val="ListParagraph"/>
    <w:uiPriority w:val="34"/>
    <w:locked/>
    <w:rsid w:val="00C27FB2"/>
    <w:rPr>
      <w:rFonts w:ascii="Arial" w:hAnsi="Arial"/>
      <w:sz w:val="22"/>
      <w:szCs w:val="24"/>
    </w:rPr>
  </w:style>
  <w:style w:type="character" w:customStyle="1" w:styleId="HeaderChar">
    <w:name w:val="Header Char"/>
    <w:basedOn w:val="DefaultParagraphFont"/>
    <w:link w:val="Header"/>
    <w:uiPriority w:val="99"/>
    <w:rsid w:val="00C27FB2"/>
    <w:rPr>
      <w:rFonts w:ascii="Arial" w:hAnsi="Arial"/>
      <w:b/>
      <w:sz w:val="16"/>
      <w:szCs w:val="24"/>
    </w:rPr>
  </w:style>
  <w:style w:type="character" w:customStyle="1" w:styleId="FooterChar">
    <w:name w:val="Footer Char"/>
    <w:basedOn w:val="DefaultParagraphFont"/>
    <w:link w:val="Footer"/>
    <w:uiPriority w:val="99"/>
    <w:rsid w:val="00C27FB2"/>
    <w:rPr>
      <w:rFonts w:ascii="Arial" w:hAnsi="Arial"/>
      <w:b/>
      <w:sz w:val="16"/>
      <w:szCs w:val="24"/>
    </w:rPr>
  </w:style>
  <w:style w:type="character" w:styleId="CommentReference">
    <w:name w:val="annotation reference"/>
    <w:basedOn w:val="DefaultParagraphFont"/>
    <w:uiPriority w:val="99"/>
    <w:rsid w:val="00C27FB2"/>
    <w:rPr>
      <w:sz w:val="16"/>
      <w:szCs w:val="16"/>
    </w:rPr>
  </w:style>
  <w:style w:type="table" w:customStyle="1" w:styleId="TableGrid1">
    <w:name w:val="Table Grid1"/>
    <w:basedOn w:val="TableNormal"/>
    <w:next w:val="TableGrid"/>
    <w:uiPriority w:val="59"/>
    <w:rsid w:val="00C27FB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C27FB2"/>
    <w:rPr>
      <w:rFonts w:ascii="Arial Bold" w:hAnsi="Arial Bold" w:cs="Arial"/>
      <w:b/>
      <w:bCs/>
      <w:color w:val="FFFFFF" w:themeColor="background1"/>
      <w:kern w:val="28"/>
      <w:sz w:val="84"/>
      <w:szCs w:val="32"/>
    </w:rPr>
  </w:style>
  <w:style w:type="character" w:styleId="SubtleEmphasis">
    <w:name w:val="Subtle Emphasis"/>
    <w:basedOn w:val="DefaultParagraphFont"/>
    <w:uiPriority w:val="19"/>
    <w:qFormat/>
    <w:rsid w:val="00C27FB2"/>
    <w:rPr>
      <w:i/>
      <w:iCs/>
      <w:color w:val="808080" w:themeColor="text1" w:themeTint="7F"/>
    </w:rPr>
  </w:style>
  <w:style w:type="character" w:styleId="IntenseEmphasis">
    <w:name w:val="Intense Emphasis"/>
    <w:basedOn w:val="DefaultParagraphFont"/>
    <w:uiPriority w:val="21"/>
    <w:qFormat/>
    <w:rsid w:val="00C27FB2"/>
    <w:rPr>
      <w:b/>
      <w:bCs/>
      <w:i/>
      <w:iCs/>
      <w:color w:val="004200" w:themeColor="accent1"/>
    </w:rPr>
  </w:style>
  <w:style w:type="paragraph" w:styleId="Quote">
    <w:name w:val="Quote"/>
    <w:basedOn w:val="Normal"/>
    <w:next w:val="Normal"/>
    <w:link w:val="QuoteChar"/>
    <w:uiPriority w:val="29"/>
    <w:qFormat/>
    <w:rsid w:val="00C27FB2"/>
    <w:pPr>
      <w:spacing w:before="0" w:after="0" w:line="240" w:lineRule="auto"/>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C27FB2"/>
    <w:rPr>
      <w:i/>
      <w:iCs/>
      <w:color w:val="000000" w:themeColor="text1"/>
      <w:sz w:val="24"/>
      <w:szCs w:val="24"/>
      <w:lang w:eastAsia="en-US"/>
    </w:rPr>
  </w:style>
  <w:style w:type="paragraph" w:styleId="IntenseQuote">
    <w:name w:val="Intense Quote"/>
    <w:basedOn w:val="Normal"/>
    <w:next w:val="Normal"/>
    <w:link w:val="IntenseQuoteChar"/>
    <w:uiPriority w:val="30"/>
    <w:qFormat/>
    <w:rsid w:val="00C27FB2"/>
    <w:pPr>
      <w:pBdr>
        <w:bottom w:val="single" w:sz="4" w:space="4" w:color="004200" w:themeColor="accent1"/>
      </w:pBdr>
      <w:spacing w:before="200" w:after="280" w:line="240" w:lineRule="auto"/>
      <w:ind w:left="936" w:right="936"/>
    </w:pPr>
    <w:rPr>
      <w:rFonts w:ascii="Times New Roman" w:hAnsi="Times New Roman"/>
      <w:b/>
      <w:bCs/>
      <w:i/>
      <w:iCs/>
      <w:color w:val="004200" w:themeColor="accent1"/>
      <w:sz w:val="24"/>
      <w:lang w:eastAsia="en-US"/>
    </w:rPr>
  </w:style>
  <w:style w:type="character" w:customStyle="1" w:styleId="IntenseQuoteChar">
    <w:name w:val="Intense Quote Char"/>
    <w:basedOn w:val="DefaultParagraphFont"/>
    <w:link w:val="IntenseQuote"/>
    <w:uiPriority w:val="30"/>
    <w:rsid w:val="00C27FB2"/>
    <w:rPr>
      <w:b/>
      <w:bCs/>
      <w:i/>
      <w:iCs/>
      <w:color w:val="004200" w:themeColor="accent1"/>
      <w:sz w:val="24"/>
      <w:szCs w:val="24"/>
      <w:lang w:eastAsia="en-US"/>
    </w:rPr>
  </w:style>
  <w:style w:type="character" w:styleId="SubtleReference">
    <w:name w:val="Subtle Reference"/>
    <w:basedOn w:val="DefaultParagraphFont"/>
    <w:uiPriority w:val="31"/>
    <w:qFormat/>
    <w:rsid w:val="00C27FB2"/>
    <w:rPr>
      <w:smallCaps/>
      <w:color w:val="008A00" w:themeColor="accent2"/>
      <w:u w:val="single"/>
    </w:rPr>
  </w:style>
  <w:style w:type="character" w:styleId="IntenseReference">
    <w:name w:val="Intense Reference"/>
    <w:basedOn w:val="DefaultParagraphFont"/>
    <w:uiPriority w:val="32"/>
    <w:qFormat/>
    <w:rsid w:val="00C27FB2"/>
    <w:rPr>
      <w:b/>
      <w:bCs/>
      <w:i/>
      <w:smallCaps/>
      <w:color w:val="008A00" w:themeColor="accent2"/>
      <w:spacing w:val="5"/>
      <w:u w:val="none"/>
    </w:rPr>
  </w:style>
  <w:style w:type="character" w:styleId="BookTitle">
    <w:name w:val="Book Title"/>
    <w:basedOn w:val="DefaultParagraphFont"/>
    <w:uiPriority w:val="33"/>
    <w:qFormat/>
    <w:rsid w:val="00C27FB2"/>
    <w:rPr>
      <w:b/>
      <w:bCs/>
      <w:smallCaps/>
      <w:spacing w:val="5"/>
    </w:rPr>
  </w:style>
  <w:style w:type="paragraph" w:customStyle="1" w:styleId="Default">
    <w:name w:val="Default"/>
    <w:rsid w:val="00C27FB2"/>
    <w:pPr>
      <w:autoSpaceDE w:val="0"/>
      <w:autoSpaceDN w:val="0"/>
      <w:adjustRightInd w:val="0"/>
    </w:pPr>
    <w:rPr>
      <w:rFonts w:ascii="Arial" w:hAnsi="Arial" w:cs="Arial"/>
      <w:color w:val="000000"/>
      <w:sz w:val="24"/>
      <w:szCs w:val="24"/>
    </w:rPr>
  </w:style>
  <w:style w:type="paragraph" w:customStyle="1" w:styleId="Itemheading">
    <w:name w:val="Item heading"/>
    <w:basedOn w:val="ListParagraph"/>
    <w:link w:val="ItemheadingChar"/>
    <w:autoRedefine/>
    <w:qFormat/>
    <w:rsid w:val="00C27FB2"/>
    <w:pPr>
      <w:spacing w:before="0" w:after="0" w:line="240" w:lineRule="auto"/>
      <w:ind w:left="2417" w:hanging="432"/>
      <w:contextualSpacing/>
    </w:pPr>
    <w:rPr>
      <w:b/>
      <w:sz w:val="24"/>
      <w:lang w:eastAsia="en-US"/>
    </w:rPr>
  </w:style>
  <w:style w:type="character" w:customStyle="1" w:styleId="ItemheadingChar">
    <w:name w:val="Item heading Char"/>
    <w:basedOn w:val="ListParagraphChar"/>
    <w:link w:val="Itemheading"/>
    <w:rsid w:val="00C27FB2"/>
    <w:rPr>
      <w:rFonts w:ascii="Arial" w:hAnsi="Arial"/>
      <w:b/>
      <w:sz w:val="24"/>
      <w:szCs w:val="24"/>
      <w:lang w:eastAsia="en-US"/>
    </w:rPr>
  </w:style>
  <w:style w:type="paragraph" w:styleId="NormalWeb">
    <w:name w:val="Normal (Web)"/>
    <w:basedOn w:val="Normal"/>
    <w:uiPriority w:val="99"/>
    <w:unhideWhenUsed/>
    <w:rsid w:val="00C27FB2"/>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C27FB2"/>
    <w:rPr>
      <w:sz w:val="24"/>
      <w:szCs w:val="24"/>
      <w:lang w:eastAsia="en-US"/>
    </w:rPr>
  </w:style>
  <w:style w:type="paragraph" w:customStyle="1" w:styleId="xl66">
    <w:name w:val="xl66"/>
    <w:basedOn w:val="Normal"/>
    <w:rsid w:val="00C27FB2"/>
    <w:pPr>
      <w:spacing w:before="100" w:beforeAutospacing="1" w:after="100" w:afterAutospacing="1" w:line="240" w:lineRule="auto"/>
    </w:pPr>
    <w:rPr>
      <w:rFonts w:ascii="Times New Roman" w:hAnsi="Times New Roman"/>
      <w:b/>
      <w:bCs/>
      <w:sz w:val="24"/>
    </w:rPr>
  </w:style>
  <w:style w:type="paragraph" w:customStyle="1" w:styleId="xl67">
    <w:name w:val="xl67"/>
    <w:basedOn w:val="Normal"/>
    <w:rsid w:val="00C27FB2"/>
    <w:pPr>
      <w:pBdr>
        <w:bottom w:val="single" w:sz="4" w:space="0" w:color="auto"/>
      </w:pBdr>
      <w:spacing w:before="100" w:beforeAutospacing="1" w:after="100" w:afterAutospacing="1" w:line="240" w:lineRule="auto"/>
    </w:pPr>
    <w:rPr>
      <w:rFonts w:ascii="Times New Roman" w:hAnsi="Times New Roman"/>
      <w:sz w:val="24"/>
    </w:rPr>
  </w:style>
  <w:style w:type="paragraph" w:customStyle="1" w:styleId="xl68">
    <w:name w:val="xl68"/>
    <w:basedOn w:val="Normal"/>
    <w:rsid w:val="00C27FB2"/>
    <w:pPr>
      <w:spacing w:before="100" w:beforeAutospacing="1" w:after="100" w:afterAutospacing="1" w:line="240" w:lineRule="auto"/>
    </w:pPr>
    <w:rPr>
      <w:rFonts w:ascii="Times New Roman" w:hAnsi="Times New Roman"/>
      <w:sz w:val="24"/>
    </w:rPr>
  </w:style>
  <w:style w:type="paragraph" w:customStyle="1" w:styleId="xl69">
    <w:name w:val="xl69"/>
    <w:basedOn w:val="Normal"/>
    <w:rsid w:val="00C27FB2"/>
    <w:pPr>
      <w:pBdr>
        <w:top w:val="single" w:sz="4" w:space="0" w:color="auto"/>
      </w:pBdr>
      <w:spacing w:before="100" w:beforeAutospacing="1" w:after="100" w:afterAutospacing="1" w:line="240" w:lineRule="auto"/>
    </w:pPr>
    <w:rPr>
      <w:rFonts w:ascii="Times New Roman" w:hAnsi="Times New Roman"/>
      <w:sz w:val="24"/>
    </w:rPr>
  </w:style>
  <w:style w:type="paragraph" w:customStyle="1" w:styleId="xl70">
    <w:name w:val="xl70"/>
    <w:basedOn w:val="Normal"/>
    <w:rsid w:val="00C27FB2"/>
    <w:pPr>
      <w:pBdr>
        <w:top w:val="single" w:sz="4" w:space="0" w:color="auto"/>
      </w:pBdr>
      <w:spacing w:before="100" w:beforeAutospacing="1" w:after="100" w:afterAutospacing="1" w:line="240" w:lineRule="auto"/>
    </w:pPr>
    <w:rPr>
      <w:rFonts w:ascii="Times New Roman" w:hAnsi="Times New Roman"/>
      <w:b/>
      <w:bCs/>
      <w:sz w:val="24"/>
    </w:rPr>
  </w:style>
  <w:style w:type="paragraph" w:customStyle="1" w:styleId="xl71">
    <w:name w:val="xl71"/>
    <w:basedOn w:val="Normal"/>
    <w:rsid w:val="00C27FB2"/>
    <w:pPr>
      <w:pBdr>
        <w:bottom w:val="single" w:sz="4" w:space="0" w:color="auto"/>
      </w:pBdr>
      <w:spacing w:before="100" w:beforeAutospacing="1" w:after="100" w:afterAutospacing="1" w:line="240" w:lineRule="auto"/>
    </w:pPr>
    <w:rPr>
      <w:rFonts w:ascii="Times New Roman" w:hAnsi="Times New Roman"/>
      <w:b/>
      <w:bCs/>
      <w:sz w:val="24"/>
    </w:rPr>
  </w:style>
  <w:style w:type="paragraph" w:customStyle="1" w:styleId="xl72">
    <w:name w:val="xl72"/>
    <w:basedOn w:val="Normal"/>
    <w:rsid w:val="00C27FB2"/>
    <w:pPr>
      <w:pBdr>
        <w:top w:val="single" w:sz="4" w:space="0" w:color="auto"/>
      </w:pBdr>
      <w:spacing w:before="100" w:beforeAutospacing="1" w:after="100" w:afterAutospacing="1" w:line="240" w:lineRule="auto"/>
      <w:textAlignment w:val="top"/>
    </w:pPr>
    <w:rPr>
      <w:rFonts w:ascii="Times New Roman" w:hAnsi="Times New Roman"/>
      <w:b/>
      <w:bCs/>
      <w:sz w:val="24"/>
    </w:rPr>
  </w:style>
  <w:style w:type="paragraph" w:customStyle="1" w:styleId="xl73">
    <w:name w:val="xl73"/>
    <w:basedOn w:val="Normal"/>
    <w:rsid w:val="00C27FB2"/>
    <w:pPr>
      <w:spacing w:before="100" w:beforeAutospacing="1" w:after="100" w:afterAutospacing="1" w:line="240" w:lineRule="auto"/>
      <w:textAlignment w:val="top"/>
    </w:pPr>
    <w:rPr>
      <w:rFonts w:ascii="Times New Roman" w:hAnsi="Times New Roman"/>
      <w:b/>
      <w:bCs/>
      <w:sz w:val="24"/>
    </w:rPr>
  </w:style>
  <w:style w:type="paragraph" w:customStyle="1" w:styleId="xl74">
    <w:name w:val="xl74"/>
    <w:basedOn w:val="Normal"/>
    <w:rsid w:val="00C27FB2"/>
    <w:pPr>
      <w:pBdr>
        <w:bottom w:val="dotted" w:sz="4" w:space="0" w:color="auto"/>
      </w:pBdr>
      <w:spacing w:before="100" w:beforeAutospacing="1" w:after="100" w:afterAutospacing="1" w:line="240" w:lineRule="auto"/>
    </w:pPr>
    <w:rPr>
      <w:rFonts w:ascii="Times New Roman" w:hAnsi="Times New Roman"/>
      <w:sz w:val="24"/>
    </w:rPr>
  </w:style>
  <w:style w:type="paragraph" w:customStyle="1" w:styleId="xl75">
    <w:name w:val="xl75"/>
    <w:basedOn w:val="Normal"/>
    <w:rsid w:val="00C27FB2"/>
    <w:pPr>
      <w:pBdr>
        <w:top w:val="dotted" w:sz="4" w:space="0" w:color="auto"/>
        <w:bottom w:val="dotted" w:sz="4" w:space="0" w:color="auto"/>
      </w:pBdr>
      <w:spacing w:before="100" w:beforeAutospacing="1" w:after="100" w:afterAutospacing="1" w:line="240" w:lineRule="auto"/>
    </w:pPr>
    <w:rPr>
      <w:rFonts w:ascii="Times New Roman" w:hAnsi="Times New Roman"/>
      <w:sz w:val="24"/>
    </w:rPr>
  </w:style>
  <w:style w:type="paragraph" w:customStyle="1" w:styleId="xl76">
    <w:name w:val="xl76"/>
    <w:basedOn w:val="Normal"/>
    <w:rsid w:val="00C27FB2"/>
    <w:pPr>
      <w:pBdr>
        <w:top w:val="dotted" w:sz="4" w:space="0" w:color="auto"/>
      </w:pBdr>
      <w:spacing w:before="100" w:beforeAutospacing="1" w:after="100" w:afterAutospacing="1" w:line="240" w:lineRule="auto"/>
    </w:pPr>
    <w:rPr>
      <w:rFonts w:ascii="Times New Roman" w:hAnsi="Times New Roman"/>
      <w:sz w:val="24"/>
    </w:rPr>
  </w:style>
  <w:style w:type="paragraph" w:customStyle="1" w:styleId="xl77">
    <w:name w:val="xl77"/>
    <w:basedOn w:val="Normal"/>
    <w:rsid w:val="00C27FB2"/>
    <w:pPr>
      <w:spacing w:before="100" w:beforeAutospacing="1" w:after="100" w:afterAutospacing="1" w:line="240" w:lineRule="auto"/>
      <w:jc w:val="center"/>
      <w:textAlignment w:val="top"/>
    </w:pPr>
    <w:rPr>
      <w:rFonts w:ascii="Times New Roman" w:hAnsi="Times New Roman"/>
      <w:b/>
      <w:bCs/>
      <w:sz w:val="24"/>
    </w:rPr>
  </w:style>
  <w:style w:type="paragraph" w:customStyle="1" w:styleId="xl78">
    <w:name w:val="xl78"/>
    <w:basedOn w:val="Normal"/>
    <w:rsid w:val="00C27FB2"/>
    <w:pPr>
      <w:pBdr>
        <w:top w:val="dotted" w:sz="4" w:space="0" w:color="auto"/>
        <w:bottom w:val="single" w:sz="4" w:space="0" w:color="auto"/>
      </w:pBdr>
      <w:spacing w:before="100" w:beforeAutospacing="1" w:after="100" w:afterAutospacing="1" w:line="240" w:lineRule="auto"/>
    </w:pPr>
    <w:rPr>
      <w:rFonts w:ascii="Times New Roman" w:hAnsi="Times New Roman"/>
      <w:sz w:val="24"/>
    </w:rPr>
  </w:style>
  <w:style w:type="paragraph" w:customStyle="1" w:styleId="xl79">
    <w:name w:val="xl79"/>
    <w:basedOn w:val="Normal"/>
    <w:rsid w:val="00C27FB2"/>
    <w:pPr>
      <w:spacing w:before="100" w:beforeAutospacing="1" w:after="100" w:afterAutospacing="1" w:line="240" w:lineRule="auto"/>
      <w:jc w:val="center"/>
      <w:textAlignment w:val="top"/>
    </w:pPr>
    <w:rPr>
      <w:rFonts w:ascii="Times New Roman" w:hAnsi="Times New Roman"/>
      <w:sz w:val="24"/>
    </w:rPr>
  </w:style>
  <w:style w:type="paragraph" w:styleId="Caption">
    <w:name w:val="caption"/>
    <w:basedOn w:val="Normal"/>
    <w:next w:val="Normal"/>
    <w:uiPriority w:val="35"/>
    <w:unhideWhenUsed/>
    <w:qFormat/>
    <w:rsid w:val="00C27FB2"/>
    <w:pPr>
      <w:spacing w:before="0" w:after="200" w:line="240" w:lineRule="auto"/>
    </w:pPr>
    <w:rPr>
      <w:rFonts w:ascii="Times New Roman" w:hAnsi="Times New Roman"/>
      <w:i/>
      <w:iCs/>
      <w:color w:val="333132" w:themeColor="text2"/>
      <w:sz w:val="18"/>
      <w:szCs w:val="18"/>
      <w:lang w:eastAsia="en-US"/>
    </w:rPr>
  </w:style>
  <w:style w:type="paragraph" w:styleId="TableofFigures">
    <w:name w:val="table of figures"/>
    <w:basedOn w:val="Normal"/>
    <w:next w:val="Normal"/>
    <w:uiPriority w:val="99"/>
    <w:unhideWhenUsed/>
    <w:rsid w:val="00C27FB2"/>
    <w:pPr>
      <w:spacing w:before="0" w:after="0" w:line="259" w:lineRule="auto"/>
    </w:pPr>
    <w:rPr>
      <w:rFonts w:asciiTheme="minorHAnsi" w:eastAsiaTheme="minorHAnsi" w:hAnsiTheme="minorHAnsi" w:cstheme="minorBidi"/>
      <w:szCs w:val="22"/>
      <w:lang w:eastAsia="en-US"/>
    </w:rPr>
  </w:style>
  <w:style w:type="paragraph" w:customStyle="1" w:styleId="Level1">
    <w:name w:val="Level 1"/>
    <w:basedOn w:val="Normal"/>
    <w:link w:val="Level1Char"/>
    <w:uiPriority w:val="1"/>
    <w:qFormat/>
    <w:rsid w:val="00C27FB2"/>
    <w:pPr>
      <w:numPr>
        <w:numId w:val="3"/>
      </w:numPr>
      <w:spacing w:before="360"/>
      <w:contextualSpacing/>
    </w:pPr>
    <w:rPr>
      <w:rFonts w:asciiTheme="majorHAnsi" w:hAnsiTheme="majorHAnsi" w:cstheme="majorHAnsi"/>
      <w:b/>
      <w:sz w:val="28"/>
      <w:szCs w:val="28"/>
      <w:lang w:eastAsia="ja-JP"/>
    </w:rPr>
  </w:style>
  <w:style w:type="paragraph" w:customStyle="1" w:styleId="Level2">
    <w:name w:val="Level 2"/>
    <w:basedOn w:val="Normal"/>
    <w:link w:val="Level2Char"/>
    <w:uiPriority w:val="1"/>
    <w:qFormat/>
    <w:rsid w:val="00C27FB2"/>
    <w:pPr>
      <w:numPr>
        <w:ilvl w:val="1"/>
        <w:numId w:val="3"/>
      </w:numPr>
      <w:spacing w:before="360" w:line="240" w:lineRule="auto"/>
      <w:contextualSpacing/>
    </w:pPr>
    <w:rPr>
      <w:rFonts w:cs="Arial"/>
      <w:b/>
      <w:color w:val="004200" w:themeColor="accent1"/>
      <w:sz w:val="24"/>
    </w:rPr>
  </w:style>
  <w:style w:type="character" w:customStyle="1" w:styleId="Level1Char">
    <w:name w:val="Level 1 Char"/>
    <w:basedOn w:val="DefaultParagraphFont"/>
    <w:link w:val="Level1"/>
    <w:uiPriority w:val="1"/>
    <w:rsid w:val="00C27FB2"/>
    <w:rPr>
      <w:rFonts w:asciiTheme="majorHAnsi" w:hAnsiTheme="majorHAnsi" w:cstheme="majorHAnsi"/>
      <w:b/>
      <w:sz w:val="28"/>
      <w:szCs w:val="28"/>
      <w:lang w:eastAsia="ja-JP"/>
    </w:rPr>
  </w:style>
  <w:style w:type="paragraph" w:customStyle="1" w:styleId="Level3">
    <w:name w:val="Level 3"/>
    <w:basedOn w:val="Normal"/>
    <w:link w:val="Level3Char"/>
    <w:uiPriority w:val="1"/>
    <w:qFormat/>
    <w:rsid w:val="004738A8"/>
    <w:pPr>
      <w:numPr>
        <w:ilvl w:val="2"/>
        <w:numId w:val="3"/>
      </w:numPr>
      <w:spacing w:line="240" w:lineRule="auto"/>
      <w:ind w:left="2268" w:hanging="1275"/>
    </w:pPr>
    <w:rPr>
      <w:rFonts w:cs="Arial"/>
      <w:lang w:eastAsia="ja-JP"/>
    </w:rPr>
  </w:style>
  <w:style w:type="character" w:customStyle="1" w:styleId="Level2Char">
    <w:name w:val="Level 2 Char"/>
    <w:basedOn w:val="DefaultParagraphFont"/>
    <w:link w:val="Level2"/>
    <w:uiPriority w:val="1"/>
    <w:rsid w:val="00C27FB2"/>
    <w:rPr>
      <w:rFonts w:ascii="Arial" w:hAnsi="Arial" w:cs="Arial"/>
      <w:b/>
      <w:color w:val="004200" w:themeColor="accent1"/>
      <w:sz w:val="24"/>
      <w:szCs w:val="24"/>
    </w:rPr>
  </w:style>
  <w:style w:type="paragraph" w:customStyle="1" w:styleId="Level3Heading">
    <w:name w:val="Level 3 Heading"/>
    <w:basedOn w:val="Level2"/>
    <w:link w:val="Level3HeadingChar"/>
    <w:uiPriority w:val="1"/>
    <w:qFormat/>
    <w:rsid w:val="000B5336"/>
    <w:pPr>
      <w:numPr>
        <w:ilvl w:val="0"/>
        <w:numId w:val="0"/>
      </w:numPr>
      <w:spacing w:before="240"/>
      <w:ind w:left="2268"/>
    </w:pPr>
    <w:rPr>
      <w:color w:val="auto"/>
      <w:sz w:val="22"/>
    </w:rPr>
  </w:style>
  <w:style w:type="character" w:customStyle="1" w:styleId="Level3Char">
    <w:name w:val="Level 3 Char"/>
    <w:basedOn w:val="DefaultParagraphFont"/>
    <w:link w:val="Level3"/>
    <w:uiPriority w:val="1"/>
    <w:rsid w:val="004738A8"/>
    <w:rPr>
      <w:rFonts w:ascii="Arial" w:hAnsi="Arial" w:cs="Arial"/>
      <w:sz w:val="22"/>
      <w:szCs w:val="24"/>
      <w:lang w:eastAsia="ja-JP"/>
    </w:rPr>
  </w:style>
  <w:style w:type="character" w:customStyle="1" w:styleId="Heading7Char">
    <w:name w:val="Heading 7 Char"/>
    <w:basedOn w:val="DefaultParagraphFont"/>
    <w:link w:val="Heading7"/>
    <w:semiHidden/>
    <w:rsid w:val="003918E6"/>
    <w:rPr>
      <w:rFonts w:asciiTheme="majorHAnsi" w:eastAsiaTheme="majorEastAsia" w:hAnsiTheme="majorHAnsi" w:cstheme="majorBidi"/>
      <w:i/>
      <w:iCs/>
      <w:color w:val="404040" w:themeColor="text1" w:themeTint="BF"/>
      <w:sz w:val="22"/>
      <w:szCs w:val="24"/>
    </w:rPr>
  </w:style>
  <w:style w:type="character" w:customStyle="1" w:styleId="Level3HeadingChar">
    <w:name w:val="Level 3 Heading Char"/>
    <w:basedOn w:val="Level2Char"/>
    <w:link w:val="Level3Heading"/>
    <w:uiPriority w:val="1"/>
    <w:rsid w:val="000B5336"/>
    <w:rPr>
      <w:rFonts w:ascii="Arial" w:hAnsi="Arial" w:cs="Arial"/>
      <w:b/>
      <w:color w:val="004200" w:themeColor="accent1"/>
      <w:sz w:val="22"/>
      <w:szCs w:val="24"/>
    </w:rPr>
  </w:style>
  <w:style w:type="character" w:customStyle="1" w:styleId="Heading8Char">
    <w:name w:val="Heading 8 Char"/>
    <w:basedOn w:val="DefaultParagraphFont"/>
    <w:link w:val="Heading8"/>
    <w:semiHidden/>
    <w:rsid w:val="003918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918E6"/>
    <w:rPr>
      <w:rFonts w:asciiTheme="majorHAnsi" w:eastAsiaTheme="majorEastAsia" w:hAnsiTheme="majorHAnsi" w:cstheme="majorBidi"/>
      <w:i/>
      <w:iCs/>
      <w:color w:val="404040" w:themeColor="text1" w:themeTint="BF"/>
    </w:rPr>
  </w:style>
  <w:style w:type="paragraph" w:customStyle="1" w:styleId="Organisation">
    <w:name w:val="Organisation"/>
    <w:basedOn w:val="Normal"/>
    <w:next w:val="Title"/>
    <w:autoRedefine/>
    <w:uiPriority w:val="1"/>
    <w:qFormat/>
    <w:rsid w:val="00464B93"/>
    <w:pPr>
      <w:spacing w:before="0" w:after="1320"/>
    </w:pPr>
    <w:rPr>
      <w:b/>
      <w:noProof/>
      <w:color w:val="008A00" w:themeColor="accent2"/>
      <w:sz w:val="20"/>
      <w:szCs w:val="16"/>
    </w:rPr>
  </w:style>
  <w:style w:type="character" w:styleId="LineNumber">
    <w:name w:val="line number"/>
    <w:basedOn w:val="DefaultParagraphFont"/>
    <w:unhideWhenUsed/>
    <w:rsid w:val="0022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71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24497638">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737124725">
      <w:bodyDiv w:val="1"/>
      <w:marLeft w:val="0"/>
      <w:marRight w:val="0"/>
      <w:marTop w:val="0"/>
      <w:marBottom w:val="0"/>
      <w:divBdr>
        <w:top w:val="none" w:sz="0" w:space="0" w:color="auto"/>
        <w:left w:val="none" w:sz="0" w:space="0" w:color="auto"/>
        <w:bottom w:val="none" w:sz="0" w:space="0" w:color="auto"/>
        <w:right w:val="none" w:sz="0" w:space="0" w:color="auto"/>
      </w:divBdr>
    </w:div>
    <w:div w:id="1758096787">
      <w:bodyDiv w:val="1"/>
      <w:marLeft w:val="0"/>
      <w:marRight w:val="0"/>
      <w:marTop w:val="0"/>
      <w:marBottom w:val="0"/>
      <w:divBdr>
        <w:top w:val="none" w:sz="0" w:space="0" w:color="auto"/>
        <w:left w:val="none" w:sz="0" w:space="0" w:color="auto"/>
        <w:bottom w:val="none" w:sz="0" w:space="0" w:color="auto"/>
        <w:right w:val="none" w:sz="0" w:space="0" w:color="auto"/>
      </w:divBdr>
    </w:div>
    <w:div w:id="199610432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lood.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deed.en"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76EA3842EA4498346A0EB4848728C" ma:contentTypeVersion="13" ma:contentTypeDescription="Create a new document." ma:contentTypeScope="" ma:versionID="d718b6b1bbdcaa56070c666f7cfa4faf">
  <xsd:schema xmlns:xsd="http://www.w3.org/2001/XMLSchema" xmlns:xs="http://www.w3.org/2001/XMLSchema" xmlns:p="http://schemas.microsoft.com/office/2006/metadata/properties" xmlns:ns3="446d75ff-97dd-48e7-b599-1a5253670bdf" xmlns:ns4="fe06ab4a-8e72-4159-b5ae-ef177e87c6a6" targetNamespace="http://schemas.microsoft.com/office/2006/metadata/properties" ma:root="true" ma:fieldsID="2144b547949c7d2ced08ee88a8a28cb4" ns3:_="" ns4:_="">
    <xsd:import namespace="446d75ff-97dd-48e7-b599-1a5253670bdf"/>
    <xsd:import namespace="fe06ab4a-8e72-4159-b5ae-ef177e87c6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75ff-97dd-48e7-b599-1a5253670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6ab4a-8e72-4159-b5ae-ef177e87c6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EF8B-4811-472F-A856-4447442BAED3}">
  <ds:schemaRefs>
    <ds:schemaRef ds:uri="http://schemas.microsoft.com/sharepoint/v3/contenttype/forms"/>
  </ds:schemaRefs>
</ds:datastoreItem>
</file>

<file path=customXml/itemProps2.xml><?xml version="1.0" encoding="utf-8"?>
<ds:datastoreItem xmlns:ds="http://schemas.openxmlformats.org/officeDocument/2006/customXml" ds:itemID="{D7E041B8-8C7F-45D3-A0BE-8F6E097889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e06ab4a-8e72-4159-b5ae-ef177e87c6a6"/>
    <ds:schemaRef ds:uri="http://purl.org/dc/terms/"/>
    <ds:schemaRef ds:uri="http://schemas.openxmlformats.org/package/2006/metadata/core-properties"/>
    <ds:schemaRef ds:uri="446d75ff-97dd-48e7-b599-1a5253670bdf"/>
    <ds:schemaRef ds:uri="http://www.w3.org/XML/1998/namespace"/>
    <ds:schemaRef ds:uri="http://purl.org/dc/dcmitype/"/>
  </ds:schemaRefs>
</ds:datastoreItem>
</file>

<file path=customXml/itemProps3.xml><?xml version="1.0" encoding="utf-8"?>
<ds:datastoreItem xmlns:ds="http://schemas.openxmlformats.org/officeDocument/2006/customXml" ds:itemID="{1CFEB6E2-82B9-46F1-9A54-A8787D35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75ff-97dd-48e7-b599-1a5253670bdf"/>
    <ds:schemaRef ds:uri="fe06ab4a-8e72-4159-b5ae-ef177e87c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01481-EF90-422D-B995-227C57FD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24465</Words>
  <Characters>134856</Characters>
  <Application>Microsoft Office Word</Application>
  <DocSecurity>0</DocSecurity>
  <Lines>1123</Lines>
  <Paragraphs>318</Paragraphs>
  <ScaleCrop>false</ScaleCrop>
  <HeadingPairs>
    <vt:vector size="2" baseType="variant">
      <vt:variant>
        <vt:lpstr>Title</vt:lpstr>
      </vt:variant>
      <vt:variant>
        <vt:i4>1</vt:i4>
      </vt:variant>
    </vt:vector>
  </HeadingPairs>
  <TitlesOfParts>
    <vt:vector size="1" baseType="lpstr">
      <vt:lpstr>Australian Hospital Patient Costing Standards, Part 3: Costing Guidelines</vt:lpstr>
    </vt:vector>
  </TitlesOfParts>
  <Company/>
  <LinksUpToDate>false</LinksUpToDate>
  <CharactersWithSpaces>159003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Hospital Patient Costing Standards, Part 3: Costing Guidelines</dc:title>
  <dc:creator/>
  <cp:lastModifiedBy/>
  <cp:revision>1</cp:revision>
  <dcterms:created xsi:type="dcterms:W3CDTF">2021-08-25T00:07:00Z</dcterms:created>
  <dcterms:modified xsi:type="dcterms:W3CDTF">2021-08-25T00:10:00Z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0x01010076176EA3842EA4498346A0EB4848728C</vt:lpwstr>
  </property>
</Properties>
</file>