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8C523" w14:textId="0C12D556" w:rsidR="007125E1" w:rsidRPr="00F37E1D" w:rsidRDefault="007125E1" w:rsidP="007125E1">
      <w:pPr>
        <w:pStyle w:val="Organisation"/>
        <w:rPr>
          <w:rFonts w:asciiTheme="minorHAnsi" w:hAnsiTheme="minorHAnsi" w:cstheme="minorHAnsi"/>
        </w:rPr>
      </w:pPr>
      <w:r w:rsidRPr="00F37E1D">
        <w:rPr>
          <w:rFonts w:asciiTheme="minorHAnsi" w:hAnsiTheme="minorHAnsi" w:cstheme="minorHAnsi"/>
        </w:rPr>
        <w:drawing>
          <wp:anchor distT="0" distB="0" distL="114300" distR="114300" simplePos="0" relativeHeight="251662336" behindDoc="1" locked="0" layoutInCell="0" allowOverlap="1" wp14:anchorId="7662B402" wp14:editId="2579699E">
            <wp:simplePos x="0" y="0"/>
            <wp:positionH relativeFrom="page">
              <wp:align>left</wp:align>
            </wp:positionH>
            <wp:positionV relativeFrom="page">
              <wp:align>top</wp:align>
            </wp:positionV>
            <wp:extent cx="7558767" cy="10692000"/>
            <wp:effectExtent l="0" t="0" r="4445" b="0"/>
            <wp:wrapNone/>
            <wp:docPr id="5" name="Picture 5" descr="The logo for the Independent Hospital Pricing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Pr="00F37E1D">
        <w:rPr>
          <w:rFonts w:asciiTheme="minorHAnsi" w:hAnsiTheme="minorHAnsi" w:cstheme="minorHAnsi"/>
        </w:rPr>
        <w:t>Independent Hospital Pricing Authorit</w:t>
      </w:r>
      <w:r w:rsidR="003E454D">
        <w:rPr>
          <w:rFonts w:asciiTheme="minorHAnsi" w:hAnsiTheme="minorHAnsi" w:cstheme="minorHAnsi"/>
        </w:rPr>
        <w:t>y</w:t>
      </w:r>
    </w:p>
    <w:p w14:paraId="7D0E8C48" w14:textId="77777777" w:rsidR="007125E1" w:rsidRPr="00F37E1D" w:rsidRDefault="007125E1" w:rsidP="007125E1">
      <w:pPr>
        <w:pStyle w:val="Title"/>
        <w:numPr>
          <w:ilvl w:val="0"/>
          <w:numId w:val="0"/>
        </w:numPr>
        <w:spacing w:before="240"/>
        <w:rPr>
          <w:rFonts w:asciiTheme="minorHAnsi" w:hAnsiTheme="minorHAnsi" w:cstheme="minorHAnsi"/>
          <w:color w:val="004200" w:themeColor="accent1"/>
        </w:rPr>
      </w:pPr>
      <w:bookmarkStart w:id="0" w:name="_Toc498440122"/>
      <w:bookmarkStart w:id="1" w:name="_Toc80348245"/>
      <w:r w:rsidRPr="00F37E1D">
        <w:rPr>
          <w:rFonts w:asciiTheme="minorHAnsi" w:hAnsiTheme="minorHAnsi" w:cstheme="minorHAnsi"/>
          <w:color w:val="004200" w:themeColor="accent1"/>
        </w:rPr>
        <w:t>Australian Hospital Patient Costing Standards</w:t>
      </w:r>
      <w:bookmarkEnd w:id="0"/>
      <w:bookmarkEnd w:id="1"/>
    </w:p>
    <w:p w14:paraId="322899D9" w14:textId="1A00369F" w:rsidR="007125E1" w:rsidRPr="007125E1" w:rsidRDefault="007125E1" w:rsidP="007125E1">
      <w:pPr>
        <w:pStyle w:val="Subtitle"/>
        <w:numPr>
          <w:ilvl w:val="0"/>
          <w:numId w:val="0"/>
        </w:numPr>
        <w:rPr>
          <w:color w:val="008A00" w:themeColor="accent2"/>
        </w:rPr>
      </w:pPr>
      <w:r w:rsidRPr="007125E1">
        <w:rPr>
          <w:color w:val="008A00" w:themeColor="accent2"/>
        </w:rPr>
        <w:t xml:space="preserve">Part 2: Business </w:t>
      </w:r>
      <w:r w:rsidR="00DA732C">
        <w:rPr>
          <w:color w:val="008A00" w:themeColor="accent2"/>
        </w:rPr>
        <w:t>R</w:t>
      </w:r>
      <w:r w:rsidRPr="007125E1">
        <w:rPr>
          <w:color w:val="008A00" w:themeColor="accent2"/>
        </w:rPr>
        <w:t>ules</w:t>
      </w:r>
    </w:p>
    <w:p w14:paraId="5AA2DEB1" w14:textId="6C68A346" w:rsidR="007125E1" w:rsidRDefault="007125E1" w:rsidP="007125E1">
      <w:pPr>
        <w:pStyle w:val="Versionanddate"/>
        <w:numPr>
          <w:ilvl w:val="0"/>
          <w:numId w:val="0"/>
        </w:numPr>
        <w:rPr>
          <w:color w:val="008A00" w:themeColor="accent2"/>
        </w:rPr>
      </w:pPr>
      <w:r w:rsidRPr="007125E1">
        <w:rPr>
          <w:color w:val="008A00" w:themeColor="accent2"/>
        </w:rPr>
        <w:t>Version 4.</w:t>
      </w:r>
      <w:r w:rsidR="00635C7A">
        <w:rPr>
          <w:color w:val="008A00" w:themeColor="accent2"/>
        </w:rPr>
        <w:t>1</w:t>
      </w:r>
    </w:p>
    <w:p w14:paraId="02B6E6BD" w14:textId="313FDB42" w:rsidR="007125E1" w:rsidRPr="007125E1" w:rsidRDefault="002A1D2E" w:rsidP="007125E1">
      <w:pPr>
        <w:pStyle w:val="Versionanddate"/>
        <w:numPr>
          <w:ilvl w:val="0"/>
          <w:numId w:val="0"/>
        </w:numPr>
        <w:rPr>
          <w:color w:val="008A00" w:themeColor="accent2"/>
        </w:rPr>
      </w:pPr>
      <w:r>
        <w:rPr>
          <w:color w:val="008A00" w:themeColor="accent2"/>
        </w:rPr>
        <w:t>August</w:t>
      </w:r>
      <w:r w:rsidR="00635C7A">
        <w:rPr>
          <w:color w:val="008A00" w:themeColor="accent2"/>
        </w:rPr>
        <w:t xml:space="preserve"> 2021</w:t>
      </w:r>
    </w:p>
    <w:p w14:paraId="5D917C25" w14:textId="77777777" w:rsidR="007125E1" w:rsidRDefault="007125E1" w:rsidP="007125E1">
      <w:pPr>
        <w:numPr>
          <w:ilvl w:val="0"/>
          <w:numId w:val="0"/>
        </w:numPr>
        <w:sectPr w:rsidR="007125E1" w:rsidSect="00F97E63">
          <w:headerReference w:type="default" r:id="rId9"/>
          <w:footerReference w:type="default" r:id="rId10"/>
          <w:pgSz w:w="11906" w:h="16838" w:code="9"/>
          <w:pgMar w:top="1701" w:right="1440" w:bottom="1021" w:left="1021" w:header="680" w:footer="510" w:gutter="0"/>
          <w:pgNumType w:start="1"/>
          <w:cols w:space="708"/>
          <w:docGrid w:linePitch="360"/>
        </w:sectPr>
      </w:pPr>
      <w:r>
        <w:br w:type="page"/>
      </w:r>
    </w:p>
    <w:p w14:paraId="60E95AB3" w14:textId="3A08EAC3" w:rsidR="007125E1" w:rsidRDefault="007125E1" w:rsidP="007125E1">
      <w:pPr>
        <w:pStyle w:val="Report"/>
        <w:numPr>
          <w:ilvl w:val="0"/>
          <w:numId w:val="0"/>
        </w:numPr>
      </w:pPr>
      <w:r>
        <w:lastRenderedPageBreak/>
        <w:t xml:space="preserve">Australian Hospital Patient Costing Standards – Part 2: Business </w:t>
      </w:r>
      <w:r w:rsidR="00DA732C">
        <w:t>R</w:t>
      </w:r>
      <w:r>
        <w:t>ules – Version 4.</w:t>
      </w:r>
      <w:r w:rsidR="00CC0118">
        <w:t>1</w:t>
      </w:r>
      <w:r w:rsidR="005D0BEF">
        <w:t xml:space="preserve"> – </w:t>
      </w:r>
      <w:r w:rsidR="006E3908">
        <w:t>August</w:t>
      </w:r>
      <w:r w:rsidR="00635C7A">
        <w:t xml:space="preserve"> 2021</w:t>
      </w:r>
    </w:p>
    <w:p w14:paraId="73498141" w14:textId="77777777" w:rsidR="007125E1" w:rsidRDefault="007125E1" w:rsidP="007125E1">
      <w:pPr>
        <w:numPr>
          <w:ilvl w:val="0"/>
          <w:numId w:val="0"/>
        </w:numPr>
      </w:pPr>
    </w:p>
    <w:p w14:paraId="65F0A0F5" w14:textId="623661E4" w:rsidR="007125E1" w:rsidRDefault="007125E1" w:rsidP="007125E1">
      <w:pPr>
        <w:numPr>
          <w:ilvl w:val="0"/>
          <w:numId w:val="0"/>
        </w:numPr>
      </w:pPr>
      <w:r>
        <w:t>© Independent</w:t>
      </w:r>
      <w:r w:rsidR="00804C84">
        <w:t xml:space="preserve"> Hospital Pricing Authority 2021</w:t>
      </w:r>
    </w:p>
    <w:p w14:paraId="5B5BCB11" w14:textId="77777777" w:rsidR="007125E1" w:rsidRDefault="007125E1" w:rsidP="007125E1">
      <w:pPr>
        <w:numPr>
          <w:ilvl w:val="0"/>
          <w:numId w:val="0"/>
        </w:numPr>
      </w:pPr>
      <w:r>
        <w:t xml:space="preserve">This publication is available for your use under a </w:t>
      </w:r>
      <w:hyperlink r:id="rId11" w:history="1">
        <w:r w:rsidRPr="002A4C1B">
          <w:rPr>
            <w:rStyle w:val="Hyperlink"/>
          </w:rPr>
          <w:t>Creative Commons BY Attribution 3.0 Australia</w:t>
        </w:r>
      </w:hyperlink>
      <w:r>
        <w:t xml:space="preserve"> licence, with the exception of the Independent Hospital Pricing Authority logo, photographs, images, signatures and where otherwise stated. The full licence terms are available from </w:t>
      </w:r>
      <w:hyperlink r:id="rId12" w:history="1">
        <w:r w:rsidRPr="002A4C1B">
          <w:rPr>
            <w:rStyle w:val="Hyperlink"/>
          </w:rPr>
          <w:t>the Creative Commons website</w:t>
        </w:r>
      </w:hyperlink>
      <w:r>
        <w:t>.</w:t>
      </w:r>
    </w:p>
    <w:p w14:paraId="6B8A32E0" w14:textId="77777777" w:rsidR="007125E1" w:rsidRDefault="007125E1" w:rsidP="007125E1">
      <w:pPr>
        <w:numPr>
          <w:ilvl w:val="0"/>
          <w:numId w:val="0"/>
        </w:numPr>
      </w:pPr>
      <w:r w:rsidRPr="006150B7">
        <w:rPr>
          <w:rFonts w:cs="Calibri"/>
          <w:noProof/>
          <w:sz w:val="24"/>
        </w:rPr>
        <w:drawing>
          <wp:inline distT="0" distB="0" distL="0" distR="0" wp14:anchorId="6159D3AD" wp14:editId="4E1A7973">
            <wp:extent cx="809625" cy="285750"/>
            <wp:effectExtent l="0" t="0" r="9525" b="0"/>
            <wp:docPr id="10" name="Picture 10"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p w14:paraId="2FCEA433" w14:textId="77777777" w:rsidR="007125E1" w:rsidRDefault="007125E1" w:rsidP="007125E1">
      <w:pPr>
        <w:numPr>
          <w:ilvl w:val="0"/>
          <w:numId w:val="0"/>
        </w:numPr>
      </w:pPr>
      <w:r>
        <w:t xml:space="preserve">Use of Independent Hospital Pricing Authority material under a </w:t>
      </w:r>
      <w:hyperlink r:id="rId14" w:history="1">
        <w:r w:rsidRPr="002A4C1B">
          <w:rPr>
            <w:rStyle w:val="Hyperlink"/>
          </w:rPr>
          <w:t>Creative Commons BY Attribution 3.0 Australia</w:t>
        </w:r>
      </w:hyperlink>
      <w:r>
        <w:t xml:space="preserve"> licence requires you to attribute the work (but not in any way that suggests that the Independent Hospital Pricing Authority endorses you or your use of the work).</w:t>
      </w:r>
    </w:p>
    <w:p w14:paraId="257E16DD" w14:textId="77777777" w:rsidR="007125E1" w:rsidRPr="002A4C1B" w:rsidRDefault="007125E1" w:rsidP="007125E1">
      <w:pPr>
        <w:numPr>
          <w:ilvl w:val="0"/>
          <w:numId w:val="0"/>
        </w:numPr>
        <w:rPr>
          <w:i/>
        </w:rPr>
      </w:pPr>
      <w:r w:rsidRPr="002A4C1B">
        <w:rPr>
          <w:i/>
        </w:rPr>
        <w:t>Independent Hospital Pricing Authority material used 'as supplied'.</w:t>
      </w:r>
    </w:p>
    <w:p w14:paraId="713FEA0F" w14:textId="77777777" w:rsidR="007125E1" w:rsidRDefault="007125E1" w:rsidP="007125E1">
      <w:pPr>
        <w:numPr>
          <w:ilvl w:val="0"/>
          <w:numId w:val="0"/>
        </w:numPr>
      </w:pPr>
      <w:r>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14:paraId="229AF3A6" w14:textId="3C03301E" w:rsidR="007125E1" w:rsidRDefault="007125E1" w:rsidP="007125E1">
      <w:pPr>
        <w:pStyle w:val="Normal-Nonumbers"/>
        <w:ind w:left="737"/>
        <w:sectPr w:rsidR="007125E1" w:rsidSect="00F97E63">
          <w:pgSz w:w="11906" w:h="16838" w:code="9"/>
          <w:pgMar w:top="1701" w:right="1440" w:bottom="1021" w:left="1021" w:header="680" w:footer="510" w:gutter="0"/>
          <w:pgNumType w:start="1"/>
          <w:cols w:space="708"/>
          <w:docGrid w:linePitch="360"/>
        </w:sectPr>
      </w:pPr>
      <w:r w:rsidRPr="00BC1032">
        <w:rPr>
          <w:i/>
        </w:rPr>
        <w:t>Source: The Independent Hospital Pricing Authority</w:t>
      </w:r>
    </w:p>
    <w:p w14:paraId="66B9F6A4" w14:textId="77777777" w:rsidR="00BE336B" w:rsidRDefault="00BE336B" w:rsidP="00663250">
      <w:pPr>
        <w:pStyle w:val="Heading1"/>
        <w:numPr>
          <w:ilvl w:val="0"/>
          <w:numId w:val="0"/>
        </w:numPr>
        <w:spacing w:after="480"/>
      </w:pPr>
      <w:bookmarkStart w:id="2" w:name="_Toc497920788"/>
      <w:bookmarkStart w:id="3" w:name="_Toc80348246"/>
      <w:r>
        <w:lastRenderedPageBreak/>
        <w:t>Preface</w:t>
      </w:r>
      <w:bookmarkEnd w:id="2"/>
      <w:bookmarkEnd w:id="3"/>
    </w:p>
    <w:p w14:paraId="0737D204" w14:textId="481CE6D0" w:rsidR="00F1723A" w:rsidRPr="00804C84" w:rsidRDefault="00F1723A" w:rsidP="000653A2">
      <w:pPr>
        <w:pStyle w:val="Intro"/>
        <w:rPr>
          <w:rStyle w:val="LineNumber"/>
          <w:color w:val="auto"/>
        </w:rPr>
      </w:pPr>
      <w:r w:rsidRPr="00804C84">
        <w:rPr>
          <w:rStyle w:val="LineNumber"/>
          <w:color w:val="auto"/>
        </w:rPr>
        <w:t xml:space="preserve">The </w:t>
      </w:r>
      <w:r w:rsidR="001701AB" w:rsidRPr="00804C84">
        <w:rPr>
          <w:rStyle w:val="LineNumber"/>
          <w:color w:val="auto"/>
        </w:rPr>
        <w:t xml:space="preserve">Business </w:t>
      </w:r>
      <w:r w:rsidR="00B06B5E" w:rsidRPr="00804C84">
        <w:rPr>
          <w:rStyle w:val="LineNumber"/>
          <w:color w:val="auto"/>
        </w:rPr>
        <w:t>R</w:t>
      </w:r>
      <w:r w:rsidR="001701AB" w:rsidRPr="00804C84">
        <w:rPr>
          <w:rStyle w:val="LineNumber"/>
          <w:color w:val="auto"/>
        </w:rPr>
        <w:t>ules</w:t>
      </w:r>
      <w:r w:rsidRPr="00804C84">
        <w:rPr>
          <w:rStyle w:val="LineNumber"/>
          <w:color w:val="auto"/>
        </w:rPr>
        <w:t xml:space="preserve"> listed in this document are drafted within the Australian context.</w:t>
      </w:r>
      <w:r w:rsidR="002336CA" w:rsidRPr="00804C84">
        <w:rPr>
          <w:rStyle w:val="LineNumber"/>
          <w:color w:val="auto"/>
        </w:rPr>
        <w:t xml:space="preserve"> Costing practitioners</w:t>
      </w:r>
      <w:r w:rsidRPr="00804C84">
        <w:rPr>
          <w:rStyle w:val="LineNumber"/>
          <w:color w:val="auto"/>
        </w:rPr>
        <w:t xml:space="preserve"> </w:t>
      </w:r>
      <w:r w:rsidR="002336CA" w:rsidRPr="00804C84">
        <w:rPr>
          <w:rStyle w:val="LineNumber"/>
          <w:color w:val="auto"/>
        </w:rPr>
        <w:t>may encounter</w:t>
      </w:r>
      <w:r w:rsidRPr="00804C84">
        <w:rPr>
          <w:rStyle w:val="LineNumber"/>
          <w:color w:val="auto"/>
        </w:rPr>
        <w:t xml:space="preserve"> practical limitations </w:t>
      </w:r>
      <w:r w:rsidR="002336CA" w:rsidRPr="00804C84">
        <w:rPr>
          <w:rStyle w:val="LineNumber"/>
          <w:color w:val="auto"/>
        </w:rPr>
        <w:t>within</w:t>
      </w:r>
      <w:r w:rsidRPr="00804C84">
        <w:rPr>
          <w:rStyle w:val="LineNumber"/>
          <w:color w:val="auto"/>
        </w:rPr>
        <w:t xml:space="preserve"> their </w:t>
      </w:r>
      <w:r w:rsidR="002336CA" w:rsidRPr="00804C84">
        <w:rPr>
          <w:rStyle w:val="LineNumber"/>
          <w:color w:val="auto"/>
        </w:rPr>
        <w:t>organisation</w:t>
      </w:r>
      <w:r w:rsidRPr="00804C84">
        <w:rPr>
          <w:rStyle w:val="LineNumber"/>
          <w:color w:val="auto"/>
        </w:rPr>
        <w:t xml:space="preserve"> when seeking to adhere to standards and these </w:t>
      </w:r>
      <w:r w:rsidR="00B06B5E" w:rsidRPr="00804C84">
        <w:rPr>
          <w:rStyle w:val="LineNumber"/>
          <w:color w:val="auto"/>
        </w:rPr>
        <w:t>r</w:t>
      </w:r>
      <w:r w:rsidR="001701AB" w:rsidRPr="00804C84">
        <w:rPr>
          <w:rStyle w:val="LineNumber"/>
          <w:color w:val="auto"/>
        </w:rPr>
        <w:t>ules</w:t>
      </w:r>
      <w:r w:rsidRPr="00804C84">
        <w:rPr>
          <w:rStyle w:val="LineNumber"/>
          <w:color w:val="auto"/>
        </w:rPr>
        <w:t>.</w:t>
      </w:r>
    </w:p>
    <w:p w14:paraId="03808E2B" w14:textId="17CF9EDE" w:rsidR="00F1723A" w:rsidRPr="00804C84" w:rsidRDefault="00F1723A" w:rsidP="000653A2">
      <w:pPr>
        <w:pStyle w:val="Intro"/>
        <w:rPr>
          <w:rStyle w:val="LineNumber"/>
          <w:color w:val="auto"/>
        </w:rPr>
      </w:pPr>
      <w:r w:rsidRPr="00804C84">
        <w:rPr>
          <w:rStyle w:val="LineNumber"/>
          <w:color w:val="auto"/>
        </w:rPr>
        <w:t xml:space="preserve">Costing practitioners are advised to understand the nuances of their hospitals and jurisdictions, understand how these can be applied to the </w:t>
      </w:r>
      <w:r w:rsidR="001701AB" w:rsidRPr="00804C84">
        <w:rPr>
          <w:rStyle w:val="LineNumber"/>
          <w:color w:val="auto"/>
        </w:rPr>
        <w:t xml:space="preserve">Business </w:t>
      </w:r>
      <w:r w:rsidR="00B06B5E" w:rsidRPr="00804C84">
        <w:rPr>
          <w:rStyle w:val="LineNumber"/>
          <w:color w:val="auto"/>
        </w:rPr>
        <w:t>R</w:t>
      </w:r>
      <w:r w:rsidR="001701AB" w:rsidRPr="00804C84">
        <w:rPr>
          <w:rStyle w:val="LineNumber"/>
          <w:color w:val="auto"/>
        </w:rPr>
        <w:t>ules</w:t>
      </w:r>
      <w:r w:rsidRPr="00804C84">
        <w:rPr>
          <w:rStyle w:val="LineNumber"/>
          <w:color w:val="auto"/>
        </w:rPr>
        <w:t xml:space="preserve"> and how the costing methodology can be adapted to their local environment.</w:t>
      </w:r>
    </w:p>
    <w:p w14:paraId="75DAA943" w14:textId="42AA46B6" w:rsidR="00F1723A" w:rsidRPr="00804C84" w:rsidRDefault="00F1723A" w:rsidP="000653A2">
      <w:pPr>
        <w:pStyle w:val="Intro"/>
        <w:rPr>
          <w:rStyle w:val="LineNumber"/>
          <w:color w:val="auto"/>
        </w:rPr>
      </w:pPr>
      <w:r w:rsidRPr="00804C84">
        <w:rPr>
          <w:rStyle w:val="LineNumber"/>
          <w:color w:val="auto"/>
        </w:rPr>
        <w:t xml:space="preserve">Where the costing practitioner is unable to fully adopt the process identified within the </w:t>
      </w:r>
      <w:r w:rsidR="00F604EA" w:rsidRPr="00804C84">
        <w:rPr>
          <w:rStyle w:val="LineNumber"/>
          <w:color w:val="auto"/>
        </w:rPr>
        <w:t>rules</w:t>
      </w:r>
      <w:r w:rsidR="00804C84">
        <w:rPr>
          <w:rStyle w:val="LineNumber"/>
          <w:color w:val="auto"/>
        </w:rPr>
        <w:t>, this should not be seen as a ‘failure to comply’</w:t>
      </w:r>
      <w:r w:rsidRPr="00804C84">
        <w:rPr>
          <w:rStyle w:val="LineNumber"/>
          <w:color w:val="auto"/>
        </w:rPr>
        <w:t xml:space="preserve"> to either the </w:t>
      </w:r>
      <w:r w:rsidR="001701AB" w:rsidRPr="00804C84">
        <w:rPr>
          <w:rStyle w:val="LineNumber"/>
          <w:color w:val="auto"/>
        </w:rPr>
        <w:t xml:space="preserve">Business </w:t>
      </w:r>
      <w:r w:rsidR="001C5AFE" w:rsidRPr="00804C84">
        <w:rPr>
          <w:rStyle w:val="LineNumber"/>
          <w:color w:val="auto"/>
        </w:rPr>
        <w:t>R</w:t>
      </w:r>
      <w:r w:rsidR="001701AB" w:rsidRPr="00804C84">
        <w:rPr>
          <w:rStyle w:val="LineNumber"/>
          <w:color w:val="auto"/>
        </w:rPr>
        <w:t>ule</w:t>
      </w:r>
      <w:r w:rsidRPr="00804C84">
        <w:rPr>
          <w:rStyle w:val="LineNumber"/>
          <w:color w:val="auto"/>
        </w:rPr>
        <w:t xml:space="preserve"> or the </w:t>
      </w:r>
      <w:r w:rsidR="001C5AFE" w:rsidRPr="00804C84">
        <w:rPr>
          <w:rStyle w:val="LineNumber"/>
          <w:color w:val="auto"/>
        </w:rPr>
        <w:t>S</w:t>
      </w:r>
      <w:r w:rsidRPr="00804C84">
        <w:rPr>
          <w:rStyle w:val="LineNumber"/>
          <w:color w:val="auto"/>
        </w:rPr>
        <w:t xml:space="preserve">tandard. </w:t>
      </w:r>
    </w:p>
    <w:p w14:paraId="609C5E88" w14:textId="534F7703" w:rsidR="00F1723A" w:rsidRPr="00804C84" w:rsidRDefault="00F1723A" w:rsidP="000653A2">
      <w:pPr>
        <w:pStyle w:val="Intro"/>
        <w:rPr>
          <w:rStyle w:val="LineNumber"/>
          <w:color w:val="auto"/>
        </w:rPr>
      </w:pPr>
      <w:r w:rsidRPr="00804C84">
        <w:rPr>
          <w:rStyle w:val="LineNumber"/>
          <w:color w:val="auto"/>
        </w:rPr>
        <w:t>Importantly</w:t>
      </w:r>
      <w:r w:rsidR="00C151FA" w:rsidRPr="00804C84">
        <w:rPr>
          <w:rStyle w:val="LineNumber"/>
          <w:color w:val="auto"/>
        </w:rPr>
        <w:t>,</w:t>
      </w:r>
      <w:r w:rsidRPr="00804C84">
        <w:rPr>
          <w:rStyle w:val="LineNumber"/>
          <w:color w:val="auto"/>
        </w:rPr>
        <w:t xml:space="preserve"> the costing practitioner should document the costing process for transparency purposes and seek to make changes within their hospitals to assist with long term costing, </w:t>
      </w:r>
      <w:r w:rsidR="001C5AFE" w:rsidRPr="00804C84">
        <w:rPr>
          <w:rStyle w:val="LineNumber"/>
          <w:color w:val="auto"/>
        </w:rPr>
        <w:t>S</w:t>
      </w:r>
      <w:r w:rsidRPr="00804C84">
        <w:rPr>
          <w:rStyle w:val="LineNumber"/>
          <w:color w:val="auto"/>
        </w:rPr>
        <w:t xml:space="preserve">tandards and </w:t>
      </w:r>
      <w:r w:rsidR="001701AB" w:rsidRPr="00804C84">
        <w:rPr>
          <w:rStyle w:val="LineNumber"/>
          <w:color w:val="auto"/>
        </w:rPr>
        <w:t xml:space="preserve">Business </w:t>
      </w:r>
      <w:r w:rsidR="001C5AFE" w:rsidRPr="00804C84">
        <w:rPr>
          <w:rStyle w:val="LineNumber"/>
          <w:color w:val="auto"/>
        </w:rPr>
        <w:t>R</w:t>
      </w:r>
      <w:r w:rsidR="001701AB" w:rsidRPr="00804C84">
        <w:rPr>
          <w:rStyle w:val="LineNumber"/>
          <w:color w:val="auto"/>
        </w:rPr>
        <w:t>ules</w:t>
      </w:r>
      <w:r w:rsidRPr="00804C84">
        <w:rPr>
          <w:rStyle w:val="LineNumber"/>
          <w:color w:val="auto"/>
        </w:rPr>
        <w:t xml:space="preserve"> development.</w:t>
      </w:r>
    </w:p>
    <w:p w14:paraId="69E37686" w14:textId="77777777" w:rsidR="00653FEF" w:rsidRPr="00653FEF" w:rsidRDefault="00653FEF" w:rsidP="00653FEF">
      <w:pPr>
        <w:pStyle w:val="Heading2"/>
        <w:numPr>
          <w:ilvl w:val="0"/>
          <w:numId w:val="0"/>
        </w:numPr>
        <w:rPr>
          <w:rFonts w:eastAsia="Calibri"/>
        </w:rPr>
      </w:pPr>
      <w:bookmarkStart w:id="4" w:name="_Toc497920789"/>
      <w:bookmarkStart w:id="5" w:name="_Toc80348247"/>
      <w:r w:rsidRPr="00653FEF">
        <w:rPr>
          <w:rFonts w:eastAsia="Calibri"/>
        </w:rPr>
        <w:t>Acknowledgements</w:t>
      </w:r>
      <w:bookmarkEnd w:id="4"/>
      <w:bookmarkEnd w:id="5"/>
    </w:p>
    <w:p w14:paraId="01724C8E" w14:textId="4A06E1B4" w:rsidR="00B370DF" w:rsidRPr="00C0210B" w:rsidRDefault="00B370DF" w:rsidP="00B370DF">
      <w:pPr>
        <w:pStyle w:val="Normal-Nonumbers"/>
      </w:pPr>
      <w:r w:rsidRPr="00C0210B">
        <w:t>This version of the Australian Hospital Patient Costing Standards is the result o</w:t>
      </w:r>
      <w:r w:rsidR="00730C60">
        <w:t xml:space="preserve">f the work of various parties. </w:t>
      </w:r>
      <w:r w:rsidRPr="00C0210B">
        <w:t xml:space="preserve">The development of the </w:t>
      </w:r>
      <w:r w:rsidR="00804C84">
        <w:t>Business R</w:t>
      </w:r>
      <w:r w:rsidR="001701AB">
        <w:t>ules</w:t>
      </w:r>
      <w:r w:rsidRPr="00C0210B">
        <w:t xml:space="preserve"> and </w:t>
      </w:r>
      <w:r w:rsidR="001701AB">
        <w:t>Costing guidelines</w:t>
      </w:r>
      <w:r w:rsidRPr="00C0210B">
        <w:t xml:space="preserve"> was undertaken by DpD Consulting Pty Ltd. </w:t>
      </w:r>
    </w:p>
    <w:p w14:paraId="7745E349" w14:textId="77777777" w:rsidR="00BE336B" w:rsidRDefault="00BE336B" w:rsidP="00F27A6D">
      <w:pPr>
        <w:numPr>
          <w:ilvl w:val="0"/>
          <w:numId w:val="0"/>
        </w:numPr>
        <w:ind w:left="1843" w:hanging="992"/>
      </w:pPr>
      <w:r>
        <w:br w:type="page"/>
      </w:r>
    </w:p>
    <w:sdt>
      <w:sdtPr>
        <w:rPr>
          <w:rFonts w:ascii="Arial" w:eastAsia="Times New Roman" w:hAnsi="Arial" w:cs="Times New Roman"/>
          <w:b w:val="0"/>
          <w:bCs w:val="0"/>
          <w:sz w:val="22"/>
          <w:szCs w:val="24"/>
        </w:rPr>
        <w:id w:val="-1426251310"/>
        <w:docPartObj>
          <w:docPartGallery w:val="Table of Contents"/>
          <w:docPartUnique/>
        </w:docPartObj>
      </w:sdtPr>
      <w:sdtEndPr>
        <w:rPr>
          <w:noProof/>
        </w:rPr>
      </w:sdtEndPr>
      <w:sdtContent>
        <w:p w14:paraId="4F2D536A" w14:textId="77777777" w:rsidR="00E418CF" w:rsidRDefault="00E418CF" w:rsidP="00663250">
          <w:pPr>
            <w:pStyle w:val="TOCHeading"/>
            <w:numPr>
              <w:ilvl w:val="0"/>
              <w:numId w:val="0"/>
            </w:numPr>
            <w:spacing w:after="480"/>
          </w:pPr>
          <w:r>
            <w:t>Contents</w:t>
          </w:r>
        </w:p>
        <w:p w14:paraId="305A8C4C" w14:textId="222DEB72" w:rsidR="009873D9" w:rsidRDefault="00F27A6D" w:rsidP="00804C84">
          <w:pPr>
            <w:pStyle w:val="TOC1"/>
            <w:tabs>
              <w:tab w:val="clear" w:pos="8364"/>
              <w:tab w:val="left" w:pos="8505"/>
            </w:tabs>
            <w:rPr>
              <w:rFonts w:asciiTheme="minorHAnsi" w:eastAsiaTheme="minorEastAsia" w:hAnsiTheme="minorHAnsi" w:cstheme="minorBidi"/>
              <w:szCs w:val="22"/>
            </w:rPr>
          </w:pPr>
          <w:r>
            <w:fldChar w:fldCharType="begin"/>
          </w:r>
          <w:r>
            <w:instrText xml:space="preserve"> TOC \o "1-2" \h \z \u </w:instrText>
          </w:r>
          <w:r>
            <w:fldChar w:fldCharType="separate"/>
          </w:r>
          <w:hyperlink w:anchor="_Toc80348245" w:history="1">
            <w:r w:rsidR="009873D9" w:rsidRPr="00FE6544">
              <w:rPr>
                <w:rStyle w:val="Hyperlink"/>
                <w:rFonts w:cstheme="minorHAnsi"/>
              </w:rPr>
              <w:t>Australian Hospital Patient Costing Standards</w:t>
            </w:r>
            <w:r w:rsidR="009873D9">
              <w:rPr>
                <w:webHidden/>
              </w:rPr>
              <w:tab/>
            </w:r>
            <w:r w:rsidR="009873D9">
              <w:rPr>
                <w:webHidden/>
              </w:rPr>
              <w:fldChar w:fldCharType="begin"/>
            </w:r>
            <w:r w:rsidR="009873D9">
              <w:rPr>
                <w:webHidden/>
              </w:rPr>
              <w:instrText xml:space="preserve"> PAGEREF _Toc80348245 \h </w:instrText>
            </w:r>
            <w:r w:rsidR="009873D9">
              <w:rPr>
                <w:webHidden/>
              </w:rPr>
            </w:r>
            <w:r w:rsidR="009873D9">
              <w:rPr>
                <w:webHidden/>
              </w:rPr>
              <w:fldChar w:fldCharType="separate"/>
            </w:r>
            <w:r w:rsidR="009873D9">
              <w:rPr>
                <w:webHidden/>
              </w:rPr>
              <w:t>1</w:t>
            </w:r>
            <w:r w:rsidR="009873D9">
              <w:rPr>
                <w:webHidden/>
              </w:rPr>
              <w:fldChar w:fldCharType="end"/>
            </w:r>
          </w:hyperlink>
        </w:p>
        <w:p w14:paraId="1CC502D3" w14:textId="38748784" w:rsidR="009873D9" w:rsidRDefault="00A97DAC" w:rsidP="00804C84">
          <w:pPr>
            <w:pStyle w:val="TOC1"/>
            <w:tabs>
              <w:tab w:val="clear" w:pos="8364"/>
              <w:tab w:val="left" w:pos="8505"/>
            </w:tabs>
            <w:rPr>
              <w:rFonts w:asciiTheme="minorHAnsi" w:eastAsiaTheme="minorEastAsia" w:hAnsiTheme="minorHAnsi" w:cstheme="minorBidi"/>
              <w:szCs w:val="22"/>
            </w:rPr>
          </w:pPr>
          <w:hyperlink w:anchor="_Toc80348246" w:history="1">
            <w:r w:rsidR="009873D9" w:rsidRPr="00FE6544">
              <w:rPr>
                <w:rStyle w:val="Hyperlink"/>
              </w:rPr>
              <w:t>Preface</w:t>
            </w:r>
            <w:r w:rsidR="009873D9">
              <w:rPr>
                <w:webHidden/>
              </w:rPr>
              <w:tab/>
            </w:r>
            <w:r w:rsidR="009873D9">
              <w:rPr>
                <w:webHidden/>
              </w:rPr>
              <w:fldChar w:fldCharType="begin"/>
            </w:r>
            <w:r w:rsidR="009873D9">
              <w:rPr>
                <w:webHidden/>
              </w:rPr>
              <w:instrText xml:space="preserve"> PAGEREF _Toc80348246 \h </w:instrText>
            </w:r>
            <w:r w:rsidR="009873D9">
              <w:rPr>
                <w:webHidden/>
              </w:rPr>
            </w:r>
            <w:r w:rsidR="009873D9">
              <w:rPr>
                <w:webHidden/>
              </w:rPr>
              <w:fldChar w:fldCharType="separate"/>
            </w:r>
            <w:r w:rsidR="009873D9">
              <w:rPr>
                <w:webHidden/>
              </w:rPr>
              <w:t>1</w:t>
            </w:r>
            <w:r w:rsidR="009873D9">
              <w:rPr>
                <w:webHidden/>
              </w:rPr>
              <w:fldChar w:fldCharType="end"/>
            </w:r>
          </w:hyperlink>
        </w:p>
        <w:p w14:paraId="4D0A0981" w14:textId="7E79FE04" w:rsidR="009873D9" w:rsidRDefault="00A97DAC" w:rsidP="00804C84">
          <w:pPr>
            <w:pStyle w:val="TOC2"/>
            <w:tabs>
              <w:tab w:val="left" w:pos="8505"/>
            </w:tabs>
            <w:ind w:right="0"/>
            <w:rPr>
              <w:rFonts w:asciiTheme="minorHAnsi" w:eastAsiaTheme="minorEastAsia" w:hAnsiTheme="minorHAnsi" w:cstheme="minorBidi"/>
              <w:szCs w:val="22"/>
            </w:rPr>
          </w:pPr>
          <w:hyperlink w:anchor="_Toc80348247" w:history="1">
            <w:r w:rsidR="009873D9" w:rsidRPr="00FE6544">
              <w:rPr>
                <w:rStyle w:val="Hyperlink"/>
                <w:rFonts w:eastAsia="Calibri"/>
              </w:rPr>
              <w:t>Acknowledgements</w:t>
            </w:r>
            <w:r w:rsidR="009873D9">
              <w:rPr>
                <w:webHidden/>
              </w:rPr>
              <w:tab/>
            </w:r>
            <w:r w:rsidR="009873D9">
              <w:rPr>
                <w:webHidden/>
              </w:rPr>
              <w:fldChar w:fldCharType="begin"/>
            </w:r>
            <w:r w:rsidR="009873D9">
              <w:rPr>
                <w:webHidden/>
              </w:rPr>
              <w:instrText xml:space="preserve"> PAGEREF _Toc80348247 \h </w:instrText>
            </w:r>
            <w:r w:rsidR="009873D9">
              <w:rPr>
                <w:webHidden/>
              </w:rPr>
            </w:r>
            <w:r w:rsidR="009873D9">
              <w:rPr>
                <w:webHidden/>
              </w:rPr>
              <w:fldChar w:fldCharType="separate"/>
            </w:r>
            <w:r w:rsidR="009873D9">
              <w:rPr>
                <w:webHidden/>
              </w:rPr>
              <w:t>1</w:t>
            </w:r>
            <w:r w:rsidR="009873D9">
              <w:rPr>
                <w:webHidden/>
              </w:rPr>
              <w:fldChar w:fldCharType="end"/>
            </w:r>
          </w:hyperlink>
        </w:p>
        <w:p w14:paraId="151B8431" w14:textId="691A8617" w:rsidR="009873D9" w:rsidRDefault="00A97DAC" w:rsidP="00804C84">
          <w:pPr>
            <w:pStyle w:val="TOC1"/>
            <w:tabs>
              <w:tab w:val="clear" w:pos="8364"/>
              <w:tab w:val="left" w:pos="8505"/>
            </w:tabs>
            <w:rPr>
              <w:rFonts w:asciiTheme="minorHAnsi" w:eastAsiaTheme="minorEastAsia" w:hAnsiTheme="minorHAnsi" w:cstheme="minorBidi"/>
              <w:szCs w:val="22"/>
            </w:rPr>
          </w:pPr>
          <w:hyperlink w:anchor="_Toc80348248" w:history="1">
            <w:r w:rsidR="009873D9" w:rsidRPr="00FE6544">
              <w:rPr>
                <w:rStyle w:val="Hyperlink"/>
                <w:lang w:eastAsia="ja-JP"/>
              </w:rPr>
              <w:t>Introduction</w:t>
            </w:r>
            <w:r w:rsidR="009873D9">
              <w:rPr>
                <w:webHidden/>
              </w:rPr>
              <w:tab/>
            </w:r>
            <w:r w:rsidR="009873D9">
              <w:rPr>
                <w:webHidden/>
              </w:rPr>
              <w:fldChar w:fldCharType="begin"/>
            </w:r>
            <w:r w:rsidR="009873D9">
              <w:rPr>
                <w:webHidden/>
              </w:rPr>
              <w:instrText xml:space="preserve"> PAGEREF _Toc80348248 \h </w:instrText>
            </w:r>
            <w:r w:rsidR="009873D9">
              <w:rPr>
                <w:webHidden/>
              </w:rPr>
            </w:r>
            <w:r w:rsidR="009873D9">
              <w:rPr>
                <w:webHidden/>
              </w:rPr>
              <w:fldChar w:fldCharType="separate"/>
            </w:r>
            <w:r w:rsidR="009873D9">
              <w:rPr>
                <w:webHidden/>
              </w:rPr>
              <w:t>4</w:t>
            </w:r>
            <w:r w:rsidR="009873D9">
              <w:rPr>
                <w:webHidden/>
              </w:rPr>
              <w:fldChar w:fldCharType="end"/>
            </w:r>
          </w:hyperlink>
        </w:p>
        <w:p w14:paraId="5BAAF59C" w14:textId="6775D9A8" w:rsidR="009873D9" w:rsidRDefault="00A97DAC" w:rsidP="00804C84">
          <w:pPr>
            <w:pStyle w:val="TOC1"/>
            <w:tabs>
              <w:tab w:val="clear" w:pos="8364"/>
              <w:tab w:val="left" w:pos="8505"/>
            </w:tabs>
            <w:rPr>
              <w:rFonts w:asciiTheme="minorHAnsi" w:eastAsiaTheme="minorEastAsia" w:hAnsiTheme="minorHAnsi" w:cstheme="minorBidi"/>
              <w:szCs w:val="22"/>
            </w:rPr>
          </w:pPr>
          <w:hyperlink w:anchor="_Toc80348249" w:history="1">
            <w:r w:rsidR="009873D9" w:rsidRPr="00FE6544">
              <w:rPr>
                <w:rStyle w:val="Hyperlink"/>
              </w:rPr>
              <w:t>Stage 1: Identify Relevant Expenses</w:t>
            </w:r>
            <w:r w:rsidR="009873D9">
              <w:rPr>
                <w:webHidden/>
              </w:rPr>
              <w:tab/>
            </w:r>
            <w:r w:rsidR="009873D9">
              <w:rPr>
                <w:webHidden/>
              </w:rPr>
              <w:fldChar w:fldCharType="begin"/>
            </w:r>
            <w:r w:rsidR="009873D9">
              <w:rPr>
                <w:webHidden/>
              </w:rPr>
              <w:instrText xml:space="preserve"> PAGEREF _Toc80348249 \h </w:instrText>
            </w:r>
            <w:r w:rsidR="009873D9">
              <w:rPr>
                <w:webHidden/>
              </w:rPr>
            </w:r>
            <w:r w:rsidR="009873D9">
              <w:rPr>
                <w:webHidden/>
              </w:rPr>
              <w:fldChar w:fldCharType="separate"/>
            </w:r>
            <w:r w:rsidR="009873D9">
              <w:rPr>
                <w:webHidden/>
              </w:rPr>
              <w:t>6</w:t>
            </w:r>
            <w:r w:rsidR="009873D9">
              <w:rPr>
                <w:webHidden/>
              </w:rPr>
              <w:fldChar w:fldCharType="end"/>
            </w:r>
          </w:hyperlink>
        </w:p>
        <w:p w14:paraId="489D4926" w14:textId="08221FBA" w:rsidR="009873D9" w:rsidRDefault="00A97DAC" w:rsidP="00804C84">
          <w:pPr>
            <w:pStyle w:val="TOC2"/>
            <w:tabs>
              <w:tab w:val="left" w:pos="8505"/>
            </w:tabs>
            <w:ind w:right="0"/>
            <w:rPr>
              <w:rFonts w:asciiTheme="minorHAnsi" w:eastAsiaTheme="minorEastAsia" w:hAnsiTheme="minorHAnsi" w:cstheme="minorBidi"/>
              <w:szCs w:val="22"/>
            </w:rPr>
          </w:pPr>
          <w:hyperlink w:anchor="_Toc80348250" w:history="1">
            <w:r w:rsidR="009873D9" w:rsidRPr="00FE6544">
              <w:rPr>
                <w:rStyle w:val="Hyperlink"/>
              </w:rPr>
              <w:t xml:space="preserve">1.1 </w:t>
            </w:r>
            <w:r>
              <w:rPr>
                <w:rStyle w:val="Hyperlink"/>
              </w:rPr>
              <w:t xml:space="preserve">        </w:t>
            </w:r>
            <w:r w:rsidR="009873D9" w:rsidRPr="00FE6544">
              <w:rPr>
                <w:rStyle w:val="Hyperlink"/>
              </w:rPr>
              <w:t>General</w:t>
            </w:r>
            <w:r w:rsidR="009873D9">
              <w:rPr>
                <w:webHidden/>
              </w:rPr>
              <w:tab/>
            </w:r>
            <w:r w:rsidR="009873D9">
              <w:rPr>
                <w:webHidden/>
              </w:rPr>
              <w:fldChar w:fldCharType="begin"/>
            </w:r>
            <w:r w:rsidR="009873D9">
              <w:rPr>
                <w:webHidden/>
              </w:rPr>
              <w:instrText xml:space="preserve"> PAGEREF _Toc80348250 \h </w:instrText>
            </w:r>
            <w:r w:rsidR="009873D9">
              <w:rPr>
                <w:webHidden/>
              </w:rPr>
            </w:r>
            <w:r w:rsidR="009873D9">
              <w:rPr>
                <w:webHidden/>
              </w:rPr>
              <w:fldChar w:fldCharType="separate"/>
            </w:r>
            <w:r w:rsidR="009873D9">
              <w:rPr>
                <w:webHidden/>
              </w:rPr>
              <w:t>7</w:t>
            </w:r>
            <w:r w:rsidR="009873D9">
              <w:rPr>
                <w:webHidden/>
              </w:rPr>
              <w:fldChar w:fldCharType="end"/>
            </w:r>
          </w:hyperlink>
        </w:p>
        <w:p w14:paraId="550C0AB9" w14:textId="33198FD5" w:rsidR="009873D9" w:rsidRDefault="00A97DAC" w:rsidP="00804C84">
          <w:pPr>
            <w:pStyle w:val="TOC2"/>
            <w:tabs>
              <w:tab w:val="left" w:pos="8505"/>
            </w:tabs>
            <w:ind w:right="0"/>
            <w:rPr>
              <w:rFonts w:asciiTheme="minorHAnsi" w:eastAsiaTheme="minorEastAsia" w:hAnsiTheme="minorHAnsi" w:cstheme="minorBidi"/>
              <w:szCs w:val="22"/>
            </w:rPr>
          </w:pPr>
          <w:hyperlink w:anchor="_Toc80348251" w:history="1">
            <w:r w:rsidR="009873D9" w:rsidRPr="00FE6544">
              <w:rPr>
                <w:rStyle w:val="Hyperlink"/>
              </w:rPr>
              <w:t>1.1A</w:t>
            </w:r>
            <w:r w:rsidR="009873D9">
              <w:rPr>
                <w:rFonts w:asciiTheme="minorHAnsi" w:eastAsiaTheme="minorEastAsia" w:hAnsiTheme="minorHAnsi" w:cstheme="minorBidi"/>
                <w:szCs w:val="22"/>
              </w:rPr>
              <w:tab/>
            </w:r>
            <w:r w:rsidR="009873D9" w:rsidRPr="00FE6544">
              <w:rPr>
                <w:rStyle w:val="Hyperlink"/>
              </w:rPr>
              <w:t>Medical Expenses for Private and Public Patients</w:t>
            </w:r>
            <w:r w:rsidR="009873D9">
              <w:rPr>
                <w:webHidden/>
              </w:rPr>
              <w:tab/>
            </w:r>
            <w:r w:rsidR="009873D9">
              <w:rPr>
                <w:webHidden/>
              </w:rPr>
              <w:fldChar w:fldCharType="begin"/>
            </w:r>
            <w:r w:rsidR="009873D9">
              <w:rPr>
                <w:webHidden/>
              </w:rPr>
              <w:instrText xml:space="preserve"> PAGEREF _Toc80348251 \h </w:instrText>
            </w:r>
            <w:r w:rsidR="009873D9">
              <w:rPr>
                <w:webHidden/>
              </w:rPr>
            </w:r>
            <w:r w:rsidR="009873D9">
              <w:rPr>
                <w:webHidden/>
              </w:rPr>
              <w:fldChar w:fldCharType="separate"/>
            </w:r>
            <w:r w:rsidR="009873D9">
              <w:rPr>
                <w:webHidden/>
              </w:rPr>
              <w:t>7</w:t>
            </w:r>
            <w:r w:rsidR="009873D9">
              <w:rPr>
                <w:webHidden/>
              </w:rPr>
              <w:fldChar w:fldCharType="end"/>
            </w:r>
          </w:hyperlink>
        </w:p>
        <w:p w14:paraId="4A0445D4" w14:textId="55E58D23" w:rsidR="009873D9" w:rsidRDefault="00A97DAC" w:rsidP="00804C84">
          <w:pPr>
            <w:pStyle w:val="TOC2"/>
            <w:tabs>
              <w:tab w:val="left" w:pos="8505"/>
            </w:tabs>
            <w:ind w:right="0"/>
            <w:rPr>
              <w:rFonts w:asciiTheme="minorHAnsi" w:eastAsiaTheme="minorEastAsia" w:hAnsiTheme="minorHAnsi" w:cstheme="minorBidi"/>
              <w:szCs w:val="22"/>
            </w:rPr>
          </w:pPr>
          <w:hyperlink w:anchor="_Toc80348252" w:history="1">
            <w:r w:rsidR="009873D9" w:rsidRPr="00FE6544">
              <w:rPr>
                <w:rStyle w:val="Hyperlink"/>
              </w:rPr>
              <w:t>1.1B</w:t>
            </w:r>
            <w:r w:rsidR="009873D9">
              <w:rPr>
                <w:rFonts w:asciiTheme="minorHAnsi" w:eastAsiaTheme="minorEastAsia" w:hAnsiTheme="minorHAnsi" w:cstheme="minorBidi"/>
                <w:szCs w:val="22"/>
              </w:rPr>
              <w:tab/>
            </w:r>
            <w:r w:rsidR="009873D9" w:rsidRPr="00FE6544">
              <w:rPr>
                <w:rStyle w:val="Hyperlink"/>
              </w:rPr>
              <w:t>Capital Expenses: Asset Recognition</w:t>
            </w:r>
            <w:r w:rsidR="009873D9">
              <w:rPr>
                <w:webHidden/>
              </w:rPr>
              <w:tab/>
            </w:r>
            <w:r w:rsidR="009873D9">
              <w:rPr>
                <w:webHidden/>
              </w:rPr>
              <w:fldChar w:fldCharType="begin"/>
            </w:r>
            <w:r w:rsidR="009873D9">
              <w:rPr>
                <w:webHidden/>
              </w:rPr>
              <w:instrText xml:space="preserve"> PAGEREF _Toc80348252 \h </w:instrText>
            </w:r>
            <w:r w:rsidR="009873D9">
              <w:rPr>
                <w:webHidden/>
              </w:rPr>
            </w:r>
            <w:r w:rsidR="009873D9">
              <w:rPr>
                <w:webHidden/>
              </w:rPr>
              <w:fldChar w:fldCharType="separate"/>
            </w:r>
            <w:r w:rsidR="009873D9">
              <w:rPr>
                <w:webHidden/>
              </w:rPr>
              <w:t>9</w:t>
            </w:r>
            <w:r w:rsidR="009873D9">
              <w:rPr>
                <w:webHidden/>
              </w:rPr>
              <w:fldChar w:fldCharType="end"/>
            </w:r>
          </w:hyperlink>
        </w:p>
        <w:p w14:paraId="20F7C210" w14:textId="2730A963" w:rsidR="009873D9" w:rsidRDefault="00A97DAC" w:rsidP="00804C84">
          <w:pPr>
            <w:pStyle w:val="TOC2"/>
            <w:tabs>
              <w:tab w:val="left" w:pos="8505"/>
            </w:tabs>
            <w:ind w:right="0"/>
            <w:rPr>
              <w:rFonts w:asciiTheme="minorHAnsi" w:eastAsiaTheme="minorEastAsia" w:hAnsiTheme="minorHAnsi" w:cstheme="minorBidi"/>
              <w:szCs w:val="22"/>
            </w:rPr>
          </w:pPr>
          <w:hyperlink w:anchor="_Toc80348253" w:history="1">
            <w:r w:rsidR="009873D9" w:rsidRPr="00FE6544">
              <w:rPr>
                <w:rStyle w:val="Hyperlink"/>
              </w:rPr>
              <w:t>1.1C</w:t>
            </w:r>
            <w:r w:rsidR="009873D9">
              <w:rPr>
                <w:rFonts w:asciiTheme="minorHAnsi" w:eastAsiaTheme="minorEastAsia" w:hAnsiTheme="minorHAnsi" w:cstheme="minorBidi"/>
                <w:szCs w:val="22"/>
              </w:rPr>
              <w:tab/>
            </w:r>
            <w:r w:rsidR="009873D9" w:rsidRPr="00FE6544">
              <w:rPr>
                <w:rStyle w:val="Hyperlink"/>
              </w:rPr>
              <w:t>Capital Expenses: Revaluation of Assets</w:t>
            </w:r>
            <w:r w:rsidR="009873D9">
              <w:rPr>
                <w:webHidden/>
              </w:rPr>
              <w:tab/>
            </w:r>
            <w:r w:rsidR="009873D9">
              <w:rPr>
                <w:webHidden/>
              </w:rPr>
              <w:fldChar w:fldCharType="begin"/>
            </w:r>
            <w:r w:rsidR="009873D9">
              <w:rPr>
                <w:webHidden/>
              </w:rPr>
              <w:instrText xml:space="preserve"> PAGEREF _Toc80348253 \h </w:instrText>
            </w:r>
            <w:r w:rsidR="009873D9">
              <w:rPr>
                <w:webHidden/>
              </w:rPr>
            </w:r>
            <w:r w:rsidR="009873D9">
              <w:rPr>
                <w:webHidden/>
              </w:rPr>
              <w:fldChar w:fldCharType="separate"/>
            </w:r>
            <w:r w:rsidR="009873D9">
              <w:rPr>
                <w:webHidden/>
              </w:rPr>
              <w:t>11</w:t>
            </w:r>
            <w:r w:rsidR="009873D9">
              <w:rPr>
                <w:webHidden/>
              </w:rPr>
              <w:fldChar w:fldCharType="end"/>
            </w:r>
          </w:hyperlink>
        </w:p>
        <w:p w14:paraId="5BDCB6CE" w14:textId="2325DEDE" w:rsidR="009873D9" w:rsidRDefault="00A97DAC" w:rsidP="00804C84">
          <w:pPr>
            <w:pStyle w:val="TOC2"/>
            <w:tabs>
              <w:tab w:val="left" w:pos="8505"/>
            </w:tabs>
            <w:ind w:right="0"/>
            <w:rPr>
              <w:rFonts w:asciiTheme="minorHAnsi" w:eastAsiaTheme="minorEastAsia" w:hAnsiTheme="minorHAnsi" w:cstheme="minorBidi"/>
              <w:szCs w:val="22"/>
            </w:rPr>
          </w:pPr>
          <w:hyperlink w:anchor="_Toc80348254" w:history="1">
            <w:r w:rsidR="009873D9" w:rsidRPr="00FE6544">
              <w:rPr>
                <w:rStyle w:val="Hyperlink"/>
              </w:rPr>
              <w:t>1.1D</w:t>
            </w:r>
            <w:r w:rsidR="009873D9">
              <w:rPr>
                <w:rFonts w:asciiTheme="minorHAnsi" w:eastAsiaTheme="minorEastAsia" w:hAnsiTheme="minorHAnsi" w:cstheme="minorBidi"/>
                <w:szCs w:val="22"/>
              </w:rPr>
              <w:tab/>
            </w:r>
            <w:r w:rsidR="009873D9" w:rsidRPr="00FE6544">
              <w:rPr>
                <w:rStyle w:val="Hyperlink"/>
              </w:rPr>
              <w:t>Capital Expenses: Useful Life</w:t>
            </w:r>
            <w:r w:rsidR="009873D9">
              <w:rPr>
                <w:webHidden/>
              </w:rPr>
              <w:tab/>
            </w:r>
            <w:r w:rsidR="009873D9">
              <w:rPr>
                <w:webHidden/>
              </w:rPr>
              <w:fldChar w:fldCharType="begin"/>
            </w:r>
            <w:r w:rsidR="009873D9">
              <w:rPr>
                <w:webHidden/>
              </w:rPr>
              <w:instrText xml:space="preserve"> PAGEREF _Toc80348254 \h </w:instrText>
            </w:r>
            <w:r w:rsidR="009873D9">
              <w:rPr>
                <w:webHidden/>
              </w:rPr>
            </w:r>
            <w:r w:rsidR="009873D9">
              <w:rPr>
                <w:webHidden/>
              </w:rPr>
              <w:fldChar w:fldCharType="separate"/>
            </w:r>
            <w:r w:rsidR="009873D9">
              <w:rPr>
                <w:webHidden/>
              </w:rPr>
              <w:t>12</w:t>
            </w:r>
            <w:r w:rsidR="009873D9">
              <w:rPr>
                <w:webHidden/>
              </w:rPr>
              <w:fldChar w:fldCharType="end"/>
            </w:r>
          </w:hyperlink>
        </w:p>
        <w:p w14:paraId="3D5DD241" w14:textId="502A8D16" w:rsidR="009873D9" w:rsidRDefault="00A97DAC" w:rsidP="00804C84">
          <w:pPr>
            <w:pStyle w:val="TOC2"/>
            <w:tabs>
              <w:tab w:val="left" w:pos="8505"/>
            </w:tabs>
            <w:ind w:right="0"/>
            <w:rPr>
              <w:rFonts w:asciiTheme="minorHAnsi" w:eastAsiaTheme="minorEastAsia" w:hAnsiTheme="minorHAnsi" w:cstheme="minorBidi"/>
              <w:szCs w:val="22"/>
            </w:rPr>
          </w:pPr>
          <w:hyperlink w:anchor="_Toc80348255" w:history="1">
            <w:r w:rsidR="009873D9" w:rsidRPr="00FE6544">
              <w:rPr>
                <w:rStyle w:val="Hyperlink"/>
              </w:rPr>
              <w:t>1.1E</w:t>
            </w:r>
            <w:r w:rsidR="009873D9">
              <w:rPr>
                <w:rFonts w:asciiTheme="minorHAnsi" w:eastAsiaTheme="minorEastAsia" w:hAnsiTheme="minorHAnsi" w:cstheme="minorBidi"/>
                <w:szCs w:val="22"/>
              </w:rPr>
              <w:tab/>
            </w:r>
            <w:r w:rsidR="009873D9" w:rsidRPr="00FE6544">
              <w:rPr>
                <w:rStyle w:val="Hyperlink"/>
              </w:rPr>
              <w:t>Capital Expenses: Classes of Assets</w:t>
            </w:r>
            <w:r w:rsidR="009873D9">
              <w:rPr>
                <w:webHidden/>
              </w:rPr>
              <w:tab/>
            </w:r>
            <w:r w:rsidR="009873D9">
              <w:rPr>
                <w:webHidden/>
              </w:rPr>
              <w:fldChar w:fldCharType="begin"/>
            </w:r>
            <w:r w:rsidR="009873D9">
              <w:rPr>
                <w:webHidden/>
              </w:rPr>
              <w:instrText xml:space="preserve"> PAGEREF _Toc80348255 \h </w:instrText>
            </w:r>
            <w:r w:rsidR="009873D9">
              <w:rPr>
                <w:webHidden/>
              </w:rPr>
            </w:r>
            <w:r w:rsidR="009873D9">
              <w:rPr>
                <w:webHidden/>
              </w:rPr>
              <w:fldChar w:fldCharType="separate"/>
            </w:r>
            <w:r w:rsidR="009873D9">
              <w:rPr>
                <w:webHidden/>
              </w:rPr>
              <w:t>13</w:t>
            </w:r>
            <w:r w:rsidR="009873D9">
              <w:rPr>
                <w:webHidden/>
              </w:rPr>
              <w:fldChar w:fldCharType="end"/>
            </w:r>
          </w:hyperlink>
        </w:p>
        <w:p w14:paraId="5357E426" w14:textId="6228C850" w:rsidR="009873D9" w:rsidRDefault="00A97DAC" w:rsidP="00804C84">
          <w:pPr>
            <w:pStyle w:val="TOC2"/>
            <w:tabs>
              <w:tab w:val="left" w:pos="8505"/>
            </w:tabs>
            <w:ind w:right="0"/>
            <w:rPr>
              <w:rFonts w:asciiTheme="minorHAnsi" w:eastAsiaTheme="minorEastAsia" w:hAnsiTheme="minorHAnsi" w:cstheme="minorBidi"/>
              <w:szCs w:val="22"/>
            </w:rPr>
          </w:pPr>
          <w:hyperlink w:anchor="_Toc80348256" w:history="1">
            <w:r w:rsidR="009873D9" w:rsidRPr="00FE6544">
              <w:rPr>
                <w:rStyle w:val="Hyperlink"/>
              </w:rPr>
              <w:t>1.1F</w:t>
            </w:r>
            <w:r w:rsidR="009873D9">
              <w:rPr>
                <w:rFonts w:asciiTheme="minorHAnsi" w:eastAsiaTheme="minorEastAsia" w:hAnsiTheme="minorHAnsi" w:cstheme="minorBidi"/>
                <w:szCs w:val="22"/>
              </w:rPr>
              <w:tab/>
            </w:r>
            <w:r w:rsidR="009873D9" w:rsidRPr="00FE6544">
              <w:rPr>
                <w:rStyle w:val="Hyperlink"/>
              </w:rPr>
              <w:t>Commercial Business Units</w:t>
            </w:r>
            <w:r w:rsidR="009873D9">
              <w:rPr>
                <w:webHidden/>
              </w:rPr>
              <w:tab/>
            </w:r>
            <w:r w:rsidR="009873D9">
              <w:rPr>
                <w:webHidden/>
              </w:rPr>
              <w:fldChar w:fldCharType="begin"/>
            </w:r>
            <w:r w:rsidR="009873D9">
              <w:rPr>
                <w:webHidden/>
              </w:rPr>
              <w:instrText xml:space="preserve"> PAGEREF _Toc80348256 \h </w:instrText>
            </w:r>
            <w:r w:rsidR="009873D9">
              <w:rPr>
                <w:webHidden/>
              </w:rPr>
            </w:r>
            <w:r w:rsidR="009873D9">
              <w:rPr>
                <w:webHidden/>
              </w:rPr>
              <w:fldChar w:fldCharType="separate"/>
            </w:r>
            <w:r w:rsidR="009873D9">
              <w:rPr>
                <w:webHidden/>
              </w:rPr>
              <w:t>14</w:t>
            </w:r>
            <w:r w:rsidR="009873D9">
              <w:rPr>
                <w:webHidden/>
              </w:rPr>
              <w:fldChar w:fldCharType="end"/>
            </w:r>
          </w:hyperlink>
        </w:p>
        <w:p w14:paraId="6DD86C27" w14:textId="30BF59A7" w:rsidR="009873D9" w:rsidRDefault="00A97DAC" w:rsidP="00804C84">
          <w:pPr>
            <w:pStyle w:val="TOC2"/>
            <w:tabs>
              <w:tab w:val="left" w:pos="8505"/>
            </w:tabs>
            <w:ind w:right="0"/>
            <w:rPr>
              <w:rFonts w:asciiTheme="minorHAnsi" w:eastAsiaTheme="minorEastAsia" w:hAnsiTheme="minorHAnsi" w:cstheme="minorBidi"/>
              <w:szCs w:val="22"/>
            </w:rPr>
          </w:pPr>
          <w:hyperlink w:anchor="_Toc80348257" w:history="1">
            <w:r w:rsidR="009873D9" w:rsidRPr="00FE6544">
              <w:rPr>
                <w:rStyle w:val="Hyperlink"/>
              </w:rPr>
              <w:t>1.1G</w:t>
            </w:r>
            <w:r w:rsidR="009873D9">
              <w:rPr>
                <w:rFonts w:asciiTheme="minorHAnsi" w:eastAsiaTheme="minorEastAsia" w:hAnsiTheme="minorHAnsi" w:cstheme="minorBidi"/>
                <w:szCs w:val="22"/>
              </w:rPr>
              <w:tab/>
            </w:r>
            <w:r w:rsidR="009873D9" w:rsidRPr="00FE6544">
              <w:rPr>
                <w:rStyle w:val="Hyperlink"/>
              </w:rPr>
              <w:t>Lease Costs</w:t>
            </w:r>
            <w:r w:rsidR="009873D9">
              <w:rPr>
                <w:webHidden/>
              </w:rPr>
              <w:tab/>
            </w:r>
            <w:r w:rsidR="009873D9">
              <w:rPr>
                <w:webHidden/>
              </w:rPr>
              <w:fldChar w:fldCharType="begin"/>
            </w:r>
            <w:r w:rsidR="009873D9">
              <w:rPr>
                <w:webHidden/>
              </w:rPr>
              <w:instrText xml:space="preserve"> PAGEREF _Toc80348257 \h </w:instrText>
            </w:r>
            <w:r w:rsidR="009873D9">
              <w:rPr>
                <w:webHidden/>
              </w:rPr>
            </w:r>
            <w:r w:rsidR="009873D9">
              <w:rPr>
                <w:webHidden/>
              </w:rPr>
              <w:fldChar w:fldCharType="separate"/>
            </w:r>
            <w:r w:rsidR="009873D9">
              <w:rPr>
                <w:webHidden/>
              </w:rPr>
              <w:t>16</w:t>
            </w:r>
            <w:r w:rsidR="009873D9">
              <w:rPr>
                <w:webHidden/>
              </w:rPr>
              <w:fldChar w:fldCharType="end"/>
            </w:r>
          </w:hyperlink>
        </w:p>
        <w:p w14:paraId="22BA1905" w14:textId="77F2E598" w:rsidR="009873D9" w:rsidRDefault="00A97DAC" w:rsidP="00804C84">
          <w:pPr>
            <w:pStyle w:val="TOC2"/>
            <w:tabs>
              <w:tab w:val="left" w:pos="8505"/>
            </w:tabs>
            <w:ind w:right="0"/>
            <w:rPr>
              <w:rFonts w:asciiTheme="minorHAnsi" w:eastAsiaTheme="minorEastAsia" w:hAnsiTheme="minorHAnsi" w:cstheme="minorBidi"/>
              <w:szCs w:val="22"/>
            </w:rPr>
          </w:pPr>
          <w:hyperlink w:anchor="_Toc80348258" w:history="1">
            <w:r w:rsidR="009873D9" w:rsidRPr="00FE6544">
              <w:rPr>
                <w:rStyle w:val="Hyperlink"/>
              </w:rPr>
              <w:t xml:space="preserve">1.2 </w:t>
            </w:r>
            <w:r>
              <w:rPr>
                <w:rStyle w:val="Hyperlink"/>
              </w:rPr>
              <w:t xml:space="preserve">        </w:t>
            </w:r>
            <w:r w:rsidR="009873D9" w:rsidRPr="00FE6544">
              <w:rPr>
                <w:rStyle w:val="Hyperlink"/>
              </w:rPr>
              <w:t>Third Party Expenses</w:t>
            </w:r>
            <w:r w:rsidR="009873D9">
              <w:rPr>
                <w:webHidden/>
              </w:rPr>
              <w:tab/>
            </w:r>
            <w:r w:rsidR="009873D9">
              <w:rPr>
                <w:webHidden/>
              </w:rPr>
              <w:fldChar w:fldCharType="begin"/>
            </w:r>
            <w:r w:rsidR="009873D9">
              <w:rPr>
                <w:webHidden/>
              </w:rPr>
              <w:instrText xml:space="preserve"> PAGEREF _Toc80348258 \h </w:instrText>
            </w:r>
            <w:r w:rsidR="009873D9">
              <w:rPr>
                <w:webHidden/>
              </w:rPr>
            </w:r>
            <w:r w:rsidR="009873D9">
              <w:rPr>
                <w:webHidden/>
              </w:rPr>
              <w:fldChar w:fldCharType="separate"/>
            </w:r>
            <w:r w:rsidR="009873D9">
              <w:rPr>
                <w:webHidden/>
              </w:rPr>
              <w:t>17</w:t>
            </w:r>
            <w:r w:rsidR="009873D9">
              <w:rPr>
                <w:webHidden/>
              </w:rPr>
              <w:fldChar w:fldCharType="end"/>
            </w:r>
          </w:hyperlink>
        </w:p>
        <w:p w14:paraId="585E8A3D" w14:textId="5365B4EF" w:rsidR="009873D9" w:rsidRDefault="00A97DAC" w:rsidP="00804C84">
          <w:pPr>
            <w:pStyle w:val="TOC2"/>
            <w:tabs>
              <w:tab w:val="left" w:pos="8505"/>
            </w:tabs>
            <w:ind w:right="0"/>
            <w:rPr>
              <w:rFonts w:asciiTheme="minorHAnsi" w:eastAsiaTheme="minorEastAsia" w:hAnsiTheme="minorHAnsi" w:cstheme="minorBidi"/>
              <w:szCs w:val="22"/>
            </w:rPr>
          </w:pPr>
          <w:hyperlink w:anchor="_Toc80348259" w:history="1">
            <w:r w:rsidR="009873D9" w:rsidRPr="00FE6544">
              <w:rPr>
                <w:rStyle w:val="Hyperlink"/>
              </w:rPr>
              <w:t>1.2A</w:t>
            </w:r>
            <w:r w:rsidR="009873D9">
              <w:rPr>
                <w:rFonts w:asciiTheme="minorHAnsi" w:eastAsiaTheme="minorEastAsia" w:hAnsiTheme="minorHAnsi" w:cstheme="minorBidi"/>
                <w:szCs w:val="22"/>
              </w:rPr>
              <w:tab/>
            </w:r>
            <w:r w:rsidR="009873D9" w:rsidRPr="00FE6544">
              <w:rPr>
                <w:rStyle w:val="Hyperlink"/>
              </w:rPr>
              <w:t>Corporate and shared services</w:t>
            </w:r>
            <w:r w:rsidR="009873D9">
              <w:rPr>
                <w:webHidden/>
              </w:rPr>
              <w:tab/>
            </w:r>
            <w:r w:rsidR="009873D9">
              <w:rPr>
                <w:webHidden/>
              </w:rPr>
              <w:fldChar w:fldCharType="begin"/>
            </w:r>
            <w:r w:rsidR="009873D9">
              <w:rPr>
                <w:webHidden/>
              </w:rPr>
              <w:instrText xml:space="preserve"> PAGEREF _Toc80348259 \h </w:instrText>
            </w:r>
            <w:r w:rsidR="009873D9">
              <w:rPr>
                <w:webHidden/>
              </w:rPr>
            </w:r>
            <w:r w:rsidR="009873D9">
              <w:rPr>
                <w:webHidden/>
              </w:rPr>
              <w:fldChar w:fldCharType="separate"/>
            </w:r>
            <w:r w:rsidR="009873D9">
              <w:rPr>
                <w:webHidden/>
              </w:rPr>
              <w:t>17</w:t>
            </w:r>
            <w:r w:rsidR="009873D9">
              <w:rPr>
                <w:webHidden/>
              </w:rPr>
              <w:fldChar w:fldCharType="end"/>
            </w:r>
          </w:hyperlink>
        </w:p>
        <w:p w14:paraId="3DEA338E" w14:textId="77D3BAA3" w:rsidR="009873D9" w:rsidRDefault="00A97DAC" w:rsidP="00804C84">
          <w:pPr>
            <w:pStyle w:val="TOC2"/>
            <w:tabs>
              <w:tab w:val="left" w:pos="8505"/>
            </w:tabs>
            <w:ind w:right="0"/>
            <w:rPr>
              <w:rFonts w:asciiTheme="minorHAnsi" w:eastAsiaTheme="minorEastAsia" w:hAnsiTheme="minorHAnsi" w:cstheme="minorBidi"/>
              <w:szCs w:val="22"/>
            </w:rPr>
          </w:pPr>
          <w:hyperlink w:anchor="_Toc80348260" w:history="1">
            <w:r w:rsidR="009873D9" w:rsidRPr="00FE6544">
              <w:rPr>
                <w:rStyle w:val="Hyperlink"/>
              </w:rPr>
              <w:t>1.2B</w:t>
            </w:r>
            <w:r w:rsidR="009873D9">
              <w:rPr>
                <w:rFonts w:asciiTheme="minorHAnsi" w:eastAsiaTheme="minorEastAsia" w:hAnsiTheme="minorHAnsi" w:cstheme="minorBidi"/>
                <w:szCs w:val="22"/>
              </w:rPr>
              <w:tab/>
            </w:r>
            <w:r w:rsidR="009873D9" w:rsidRPr="00FE6544">
              <w:rPr>
                <w:rStyle w:val="Hyperlink"/>
              </w:rPr>
              <w:t>Ambulance and Patient Transport Services</w:t>
            </w:r>
            <w:r w:rsidR="009873D9">
              <w:rPr>
                <w:webHidden/>
              </w:rPr>
              <w:tab/>
            </w:r>
            <w:r w:rsidR="009873D9">
              <w:rPr>
                <w:webHidden/>
              </w:rPr>
              <w:fldChar w:fldCharType="begin"/>
            </w:r>
            <w:r w:rsidR="009873D9">
              <w:rPr>
                <w:webHidden/>
              </w:rPr>
              <w:instrText xml:space="preserve"> PAGEREF _Toc80348260 \h </w:instrText>
            </w:r>
            <w:r w:rsidR="009873D9">
              <w:rPr>
                <w:webHidden/>
              </w:rPr>
            </w:r>
            <w:r w:rsidR="009873D9">
              <w:rPr>
                <w:webHidden/>
              </w:rPr>
              <w:fldChar w:fldCharType="separate"/>
            </w:r>
            <w:r w:rsidR="009873D9">
              <w:rPr>
                <w:webHidden/>
              </w:rPr>
              <w:t>19</w:t>
            </w:r>
            <w:r w:rsidR="009873D9">
              <w:rPr>
                <w:webHidden/>
              </w:rPr>
              <w:fldChar w:fldCharType="end"/>
            </w:r>
          </w:hyperlink>
        </w:p>
        <w:p w14:paraId="5CC8AFEB" w14:textId="5C7DDE8E" w:rsidR="009873D9" w:rsidRDefault="00A97DAC" w:rsidP="00804C84">
          <w:pPr>
            <w:pStyle w:val="TOC2"/>
            <w:tabs>
              <w:tab w:val="left" w:pos="8505"/>
            </w:tabs>
            <w:ind w:right="0"/>
            <w:rPr>
              <w:rFonts w:asciiTheme="minorHAnsi" w:eastAsiaTheme="minorEastAsia" w:hAnsiTheme="minorHAnsi" w:cstheme="minorBidi"/>
              <w:szCs w:val="22"/>
            </w:rPr>
          </w:pPr>
          <w:hyperlink w:anchor="_Toc80348261" w:history="1">
            <w:r w:rsidR="009873D9" w:rsidRPr="00FE6544">
              <w:rPr>
                <w:rStyle w:val="Hyperlink"/>
              </w:rPr>
              <w:t>1.2C</w:t>
            </w:r>
            <w:r w:rsidR="009873D9">
              <w:rPr>
                <w:rFonts w:asciiTheme="minorHAnsi" w:eastAsiaTheme="minorEastAsia" w:hAnsiTheme="minorHAnsi" w:cstheme="minorBidi"/>
                <w:szCs w:val="22"/>
              </w:rPr>
              <w:tab/>
            </w:r>
            <w:r w:rsidR="009873D9" w:rsidRPr="00FE6544">
              <w:rPr>
                <w:rStyle w:val="Hyperlink"/>
              </w:rPr>
              <w:t>Insurance</w:t>
            </w:r>
            <w:r w:rsidR="009873D9">
              <w:rPr>
                <w:webHidden/>
              </w:rPr>
              <w:tab/>
            </w:r>
            <w:r w:rsidR="009873D9">
              <w:rPr>
                <w:webHidden/>
              </w:rPr>
              <w:fldChar w:fldCharType="begin"/>
            </w:r>
            <w:r w:rsidR="009873D9">
              <w:rPr>
                <w:webHidden/>
              </w:rPr>
              <w:instrText xml:space="preserve"> PAGEREF _Toc80348261 \h </w:instrText>
            </w:r>
            <w:r w:rsidR="009873D9">
              <w:rPr>
                <w:webHidden/>
              </w:rPr>
            </w:r>
            <w:r w:rsidR="009873D9">
              <w:rPr>
                <w:webHidden/>
              </w:rPr>
              <w:fldChar w:fldCharType="separate"/>
            </w:r>
            <w:r w:rsidR="009873D9">
              <w:rPr>
                <w:webHidden/>
              </w:rPr>
              <w:t>21</w:t>
            </w:r>
            <w:r w:rsidR="009873D9">
              <w:rPr>
                <w:webHidden/>
              </w:rPr>
              <w:fldChar w:fldCharType="end"/>
            </w:r>
          </w:hyperlink>
        </w:p>
        <w:p w14:paraId="1A11A257" w14:textId="3949E234" w:rsidR="009873D9" w:rsidRDefault="00A97DAC" w:rsidP="00804C84">
          <w:pPr>
            <w:pStyle w:val="TOC2"/>
            <w:tabs>
              <w:tab w:val="left" w:pos="8505"/>
            </w:tabs>
            <w:ind w:right="0"/>
            <w:rPr>
              <w:rFonts w:asciiTheme="minorHAnsi" w:eastAsiaTheme="minorEastAsia" w:hAnsiTheme="minorHAnsi" w:cstheme="minorBidi"/>
              <w:szCs w:val="22"/>
            </w:rPr>
          </w:pPr>
          <w:hyperlink w:anchor="_Toc80348262" w:history="1">
            <w:r w:rsidR="009873D9" w:rsidRPr="00FE6544">
              <w:rPr>
                <w:rStyle w:val="Hyperlink"/>
              </w:rPr>
              <w:t xml:space="preserve">1.3 </w:t>
            </w:r>
            <w:r>
              <w:rPr>
                <w:rStyle w:val="Hyperlink"/>
              </w:rPr>
              <w:t xml:space="preserve">        </w:t>
            </w:r>
            <w:r w:rsidR="009873D9" w:rsidRPr="00FE6544">
              <w:rPr>
                <w:rStyle w:val="Hyperlink"/>
              </w:rPr>
              <w:t>Offsets and Recoveries</w:t>
            </w:r>
            <w:r w:rsidR="009873D9">
              <w:rPr>
                <w:webHidden/>
              </w:rPr>
              <w:tab/>
            </w:r>
            <w:r w:rsidR="009873D9">
              <w:rPr>
                <w:webHidden/>
              </w:rPr>
              <w:fldChar w:fldCharType="begin"/>
            </w:r>
            <w:r w:rsidR="009873D9">
              <w:rPr>
                <w:webHidden/>
              </w:rPr>
              <w:instrText xml:space="preserve"> PAGEREF _Toc80348262 \h </w:instrText>
            </w:r>
            <w:r w:rsidR="009873D9">
              <w:rPr>
                <w:webHidden/>
              </w:rPr>
            </w:r>
            <w:r w:rsidR="009873D9">
              <w:rPr>
                <w:webHidden/>
              </w:rPr>
              <w:fldChar w:fldCharType="separate"/>
            </w:r>
            <w:r w:rsidR="009873D9">
              <w:rPr>
                <w:webHidden/>
              </w:rPr>
              <w:t>23</w:t>
            </w:r>
            <w:r w:rsidR="009873D9">
              <w:rPr>
                <w:webHidden/>
              </w:rPr>
              <w:fldChar w:fldCharType="end"/>
            </w:r>
          </w:hyperlink>
        </w:p>
        <w:p w14:paraId="318DA086" w14:textId="0A8C555C" w:rsidR="009873D9" w:rsidRDefault="00A97DAC" w:rsidP="00804C84">
          <w:pPr>
            <w:pStyle w:val="TOC2"/>
            <w:tabs>
              <w:tab w:val="left" w:pos="8505"/>
            </w:tabs>
            <w:ind w:right="0"/>
            <w:rPr>
              <w:rFonts w:asciiTheme="minorHAnsi" w:eastAsiaTheme="minorEastAsia" w:hAnsiTheme="minorHAnsi" w:cstheme="minorBidi"/>
              <w:szCs w:val="22"/>
            </w:rPr>
          </w:pPr>
          <w:hyperlink w:anchor="_Toc80348263" w:history="1">
            <w:r w:rsidR="009873D9" w:rsidRPr="00FE6544">
              <w:rPr>
                <w:rStyle w:val="Hyperlink"/>
              </w:rPr>
              <w:t>1.3A</w:t>
            </w:r>
            <w:r w:rsidR="009873D9">
              <w:rPr>
                <w:rFonts w:asciiTheme="minorHAnsi" w:eastAsiaTheme="minorEastAsia" w:hAnsiTheme="minorHAnsi" w:cstheme="minorBidi"/>
                <w:szCs w:val="22"/>
              </w:rPr>
              <w:tab/>
            </w:r>
            <w:r w:rsidR="009873D9" w:rsidRPr="00FE6544">
              <w:rPr>
                <w:rStyle w:val="Hyperlink"/>
              </w:rPr>
              <w:t>Offsets and Recoveries</w:t>
            </w:r>
            <w:r w:rsidR="009873D9">
              <w:rPr>
                <w:webHidden/>
              </w:rPr>
              <w:tab/>
            </w:r>
            <w:r w:rsidR="009873D9">
              <w:rPr>
                <w:webHidden/>
              </w:rPr>
              <w:fldChar w:fldCharType="begin"/>
            </w:r>
            <w:r w:rsidR="009873D9">
              <w:rPr>
                <w:webHidden/>
              </w:rPr>
              <w:instrText xml:space="preserve"> PAGEREF _Toc80348263 \h </w:instrText>
            </w:r>
            <w:r w:rsidR="009873D9">
              <w:rPr>
                <w:webHidden/>
              </w:rPr>
            </w:r>
            <w:r w:rsidR="009873D9">
              <w:rPr>
                <w:webHidden/>
              </w:rPr>
              <w:fldChar w:fldCharType="separate"/>
            </w:r>
            <w:r w:rsidR="009873D9">
              <w:rPr>
                <w:webHidden/>
              </w:rPr>
              <w:t>23</w:t>
            </w:r>
            <w:r w:rsidR="009873D9">
              <w:rPr>
                <w:webHidden/>
              </w:rPr>
              <w:fldChar w:fldCharType="end"/>
            </w:r>
          </w:hyperlink>
        </w:p>
        <w:p w14:paraId="21540202" w14:textId="4B4486B2" w:rsidR="009873D9" w:rsidRDefault="00A97DAC" w:rsidP="00804C84">
          <w:pPr>
            <w:pStyle w:val="TOC1"/>
            <w:tabs>
              <w:tab w:val="clear" w:pos="8364"/>
              <w:tab w:val="left" w:pos="8505"/>
            </w:tabs>
            <w:rPr>
              <w:rFonts w:asciiTheme="minorHAnsi" w:eastAsiaTheme="minorEastAsia" w:hAnsiTheme="minorHAnsi" w:cstheme="minorBidi"/>
              <w:szCs w:val="22"/>
            </w:rPr>
          </w:pPr>
          <w:hyperlink w:anchor="_Toc80348264" w:history="1">
            <w:r w:rsidR="009873D9" w:rsidRPr="00FE6544">
              <w:rPr>
                <w:rStyle w:val="Hyperlink"/>
                <w:lang w:eastAsia="ja-JP"/>
              </w:rPr>
              <w:t>Stage 2: Create the Cost Ledger</w:t>
            </w:r>
            <w:r w:rsidR="009873D9">
              <w:rPr>
                <w:webHidden/>
              </w:rPr>
              <w:tab/>
            </w:r>
            <w:r w:rsidR="009873D9">
              <w:rPr>
                <w:webHidden/>
              </w:rPr>
              <w:fldChar w:fldCharType="begin"/>
            </w:r>
            <w:r w:rsidR="009873D9">
              <w:rPr>
                <w:webHidden/>
              </w:rPr>
              <w:instrText xml:space="preserve"> PAGEREF _Toc80348264 \h </w:instrText>
            </w:r>
            <w:r w:rsidR="009873D9">
              <w:rPr>
                <w:webHidden/>
              </w:rPr>
            </w:r>
            <w:r w:rsidR="009873D9">
              <w:rPr>
                <w:webHidden/>
              </w:rPr>
              <w:fldChar w:fldCharType="separate"/>
            </w:r>
            <w:r w:rsidR="009873D9">
              <w:rPr>
                <w:webHidden/>
              </w:rPr>
              <w:t>25</w:t>
            </w:r>
            <w:r w:rsidR="009873D9">
              <w:rPr>
                <w:webHidden/>
              </w:rPr>
              <w:fldChar w:fldCharType="end"/>
            </w:r>
          </w:hyperlink>
        </w:p>
        <w:p w14:paraId="2EDDCB96" w14:textId="42536B92" w:rsidR="009873D9" w:rsidRDefault="00A97DAC" w:rsidP="00804C84">
          <w:pPr>
            <w:pStyle w:val="TOC2"/>
            <w:tabs>
              <w:tab w:val="left" w:pos="8505"/>
            </w:tabs>
            <w:ind w:right="0"/>
            <w:rPr>
              <w:rFonts w:asciiTheme="minorHAnsi" w:eastAsiaTheme="minorEastAsia" w:hAnsiTheme="minorHAnsi" w:cstheme="minorBidi"/>
              <w:szCs w:val="22"/>
            </w:rPr>
          </w:pPr>
          <w:hyperlink w:anchor="_Toc80348265" w:history="1">
            <w:r w:rsidR="009873D9" w:rsidRPr="00FE6544">
              <w:rPr>
                <w:rStyle w:val="Hyperlink"/>
              </w:rPr>
              <w:t xml:space="preserve">2.1 </w:t>
            </w:r>
            <w:r>
              <w:rPr>
                <w:rStyle w:val="Hyperlink"/>
              </w:rPr>
              <w:t xml:space="preserve">        </w:t>
            </w:r>
            <w:r w:rsidR="009873D9" w:rsidRPr="00FE6544">
              <w:rPr>
                <w:rStyle w:val="Hyperlink"/>
              </w:rPr>
              <w:t>Cost Ledger Framework</w:t>
            </w:r>
            <w:r w:rsidR="009873D9">
              <w:rPr>
                <w:webHidden/>
              </w:rPr>
              <w:tab/>
            </w:r>
            <w:r w:rsidR="009873D9">
              <w:rPr>
                <w:webHidden/>
              </w:rPr>
              <w:fldChar w:fldCharType="begin"/>
            </w:r>
            <w:r w:rsidR="009873D9">
              <w:rPr>
                <w:webHidden/>
              </w:rPr>
              <w:instrText xml:space="preserve"> PAGEREF _Toc80348265 \h </w:instrText>
            </w:r>
            <w:r w:rsidR="009873D9">
              <w:rPr>
                <w:webHidden/>
              </w:rPr>
            </w:r>
            <w:r w:rsidR="009873D9">
              <w:rPr>
                <w:webHidden/>
              </w:rPr>
              <w:fldChar w:fldCharType="separate"/>
            </w:r>
            <w:r w:rsidR="009873D9">
              <w:rPr>
                <w:webHidden/>
              </w:rPr>
              <w:t>26</w:t>
            </w:r>
            <w:r w:rsidR="009873D9">
              <w:rPr>
                <w:webHidden/>
              </w:rPr>
              <w:fldChar w:fldCharType="end"/>
            </w:r>
          </w:hyperlink>
        </w:p>
        <w:p w14:paraId="0DD81090" w14:textId="78E72F83" w:rsidR="009873D9" w:rsidRDefault="00A97DAC" w:rsidP="00804C84">
          <w:pPr>
            <w:pStyle w:val="TOC2"/>
            <w:tabs>
              <w:tab w:val="left" w:pos="8505"/>
            </w:tabs>
            <w:ind w:right="0"/>
            <w:rPr>
              <w:rFonts w:asciiTheme="minorHAnsi" w:eastAsiaTheme="minorEastAsia" w:hAnsiTheme="minorHAnsi" w:cstheme="minorBidi"/>
              <w:szCs w:val="22"/>
            </w:rPr>
          </w:pPr>
          <w:hyperlink w:anchor="_Toc80348266" w:history="1">
            <w:r w:rsidR="009873D9" w:rsidRPr="00FE6544">
              <w:rPr>
                <w:rStyle w:val="Hyperlink"/>
              </w:rPr>
              <w:t>2.1A</w:t>
            </w:r>
            <w:r w:rsidR="009873D9">
              <w:rPr>
                <w:rFonts w:asciiTheme="minorHAnsi" w:eastAsiaTheme="minorEastAsia" w:hAnsiTheme="minorHAnsi" w:cstheme="minorBidi"/>
                <w:szCs w:val="22"/>
              </w:rPr>
              <w:tab/>
            </w:r>
            <w:r w:rsidR="009873D9" w:rsidRPr="00FE6544">
              <w:rPr>
                <w:rStyle w:val="Hyperlink"/>
              </w:rPr>
              <w:t>Cost Centre Mapping</w:t>
            </w:r>
            <w:r w:rsidR="009873D9">
              <w:rPr>
                <w:webHidden/>
              </w:rPr>
              <w:tab/>
            </w:r>
            <w:r w:rsidR="009873D9">
              <w:rPr>
                <w:webHidden/>
              </w:rPr>
              <w:fldChar w:fldCharType="begin"/>
            </w:r>
            <w:r w:rsidR="009873D9">
              <w:rPr>
                <w:webHidden/>
              </w:rPr>
              <w:instrText xml:space="preserve"> PAGEREF _Toc80348266 \h </w:instrText>
            </w:r>
            <w:r w:rsidR="009873D9">
              <w:rPr>
                <w:webHidden/>
              </w:rPr>
            </w:r>
            <w:r w:rsidR="009873D9">
              <w:rPr>
                <w:webHidden/>
              </w:rPr>
              <w:fldChar w:fldCharType="separate"/>
            </w:r>
            <w:r w:rsidR="009873D9">
              <w:rPr>
                <w:webHidden/>
              </w:rPr>
              <w:t>26</w:t>
            </w:r>
            <w:r w:rsidR="009873D9">
              <w:rPr>
                <w:webHidden/>
              </w:rPr>
              <w:fldChar w:fldCharType="end"/>
            </w:r>
          </w:hyperlink>
        </w:p>
        <w:p w14:paraId="35001A56" w14:textId="6C79AAE9" w:rsidR="009873D9" w:rsidRDefault="00A97DAC" w:rsidP="00804C84">
          <w:pPr>
            <w:pStyle w:val="TOC2"/>
            <w:tabs>
              <w:tab w:val="left" w:pos="8505"/>
            </w:tabs>
            <w:ind w:right="0"/>
            <w:rPr>
              <w:rFonts w:asciiTheme="minorHAnsi" w:eastAsiaTheme="minorEastAsia" w:hAnsiTheme="minorHAnsi" w:cstheme="minorBidi"/>
              <w:szCs w:val="22"/>
            </w:rPr>
          </w:pPr>
          <w:hyperlink w:anchor="_Toc80348267" w:history="1">
            <w:r w:rsidR="009873D9" w:rsidRPr="00FE6544">
              <w:rPr>
                <w:rStyle w:val="Hyperlink"/>
              </w:rPr>
              <w:t>2.1B</w:t>
            </w:r>
            <w:r w:rsidR="009873D9">
              <w:rPr>
                <w:rFonts w:asciiTheme="minorHAnsi" w:eastAsiaTheme="minorEastAsia" w:hAnsiTheme="minorHAnsi" w:cstheme="minorBidi"/>
                <w:szCs w:val="22"/>
              </w:rPr>
              <w:tab/>
            </w:r>
            <w:r w:rsidR="009873D9" w:rsidRPr="00FE6544">
              <w:rPr>
                <w:rStyle w:val="Hyperlink"/>
              </w:rPr>
              <w:t>Account Code Mapping to Line Items</w:t>
            </w:r>
            <w:r w:rsidR="009873D9">
              <w:rPr>
                <w:webHidden/>
              </w:rPr>
              <w:tab/>
            </w:r>
            <w:r w:rsidR="009873D9">
              <w:rPr>
                <w:webHidden/>
              </w:rPr>
              <w:fldChar w:fldCharType="begin"/>
            </w:r>
            <w:r w:rsidR="009873D9">
              <w:rPr>
                <w:webHidden/>
              </w:rPr>
              <w:instrText xml:space="preserve"> PAGEREF _Toc80348267 \h </w:instrText>
            </w:r>
            <w:r w:rsidR="009873D9">
              <w:rPr>
                <w:webHidden/>
              </w:rPr>
            </w:r>
            <w:r w:rsidR="009873D9">
              <w:rPr>
                <w:webHidden/>
              </w:rPr>
              <w:fldChar w:fldCharType="separate"/>
            </w:r>
            <w:r w:rsidR="009873D9">
              <w:rPr>
                <w:webHidden/>
              </w:rPr>
              <w:t>29</w:t>
            </w:r>
            <w:r w:rsidR="009873D9">
              <w:rPr>
                <w:webHidden/>
              </w:rPr>
              <w:fldChar w:fldCharType="end"/>
            </w:r>
          </w:hyperlink>
        </w:p>
        <w:p w14:paraId="5FFF2DA8" w14:textId="6B22D239" w:rsidR="009873D9" w:rsidRDefault="00A97DAC" w:rsidP="00804C84">
          <w:pPr>
            <w:pStyle w:val="TOC2"/>
            <w:tabs>
              <w:tab w:val="left" w:pos="8505"/>
            </w:tabs>
            <w:ind w:right="0"/>
            <w:rPr>
              <w:rFonts w:asciiTheme="minorHAnsi" w:eastAsiaTheme="minorEastAsia" w:hAnsiTheme="minorHAnsi" w:cstheme="minorBidi"/>
              <w:szCs w:val="22"/>
            </w:rPr>
          </w:pPr>
          <w:hyperlink w:anchor="_Toc80348268" w:history="1">
            <w:r w:rsidR="009873D9" w:rsidRPr="00FE6544">
              <w:rPr>
                <w:rStyle w:val="Hyperlink"/>
              </w:rPr>
              <w:t>2.1C</w:t>
            </w:r>
            <w:r w:rsidR="009873D9">
              <w:rPr>
                <w:rFonts w:asciiTheme="minorHAnsi" w:eastAsiaTheme="minorEastAsia" w:hAnsiTheme="minorHAnsi" w:cstheme="minorBidi"/>
                <w:szCs w:val="22"/>
              </w:rPr>
              <w:tab/>
            </w:r>
            <w:r w:rsidR="009873D9" w:rsidRPr="00FE6544">
              <w:rPr>
                <w:rStyle w:val="Hyperlink"/>
              </w:rPr>
              <w:t>Product Fractions</w:t>
            </w:r>
            <w:r w:rsidR="009873D9">
              <w:rPr>
                <w:webHidden/>
              </w:rPr>
              <w:tab/>
            </w:r>
            <w:r w:rsidR="009873D9">
              <w:rPr>
                <w:webHidden/>
              </w:rPr>
              <w:fldChar w:fldCharType="begin"/>
            </w:r>
            <w:r w:rsidR="009873D9">
              <w:rPr>
                <w:webHidden/>
              </w:rPr>
              <w:instrText xml:space="preserve"> PAGEREF _Toc80348268 \h </w:instrText>
            </w:r>
            <w:r w:rsidR="009873D9">
              <w:rPr>
                <w:webHidden/>
              </w:rPr>
            </w:r>
            <w:r w:rsidR="009873D9">
              <w:rPr>
                <w:webHidden/>
              </w:rPr>
              <w:fldChar w:fldCharType="separate"/>
            </w:r>
            <w:r w:rsidR="009873D9">
              <w:rPr>
                <w:webHidden/>
              </w:rPr>
              <w:t>30</w:t>
            </w:r>
            <w:r w:rsidR="009873D9">
              <w:rPr>
                <w:webHidden/>
              </w:rPr>
              <w:fldChar w:fldCharType="end"/>
            </w:r>
          </w:hyperlink>
        </w:p>
        <w:p w14:paraId="5B876CC2" w14:textId="6EFAF749" w:rsidR="009873D9" w:rsidRDefault="00A97DAC" w:rsidP="00804C84">
          <w:pPr>
            <w:pStyle w:val="TOC2"/>
            <w:tabs>
              <w:tab w:val="left" w:pos="8505"/>
            </w:tabs>
            <w:ind w:right="0"/>
            <w:rPr>
              <w:rFonts w:asciiTheme="minorHAnsi" w:eastAsiaTheme="minorEastAsia" w:hAnsiTheme="minorHAnsi" w:cstheme="minorBidi"/>
              <w:szCs w:val="22"/>
            </w:rPr>
          </w:pPr>
          <w:hyperlink w:anchor="_Toc80348269" w:history="1">
            <w:r w:rsidR="009873D9" w:rsidRPr="00FE6544">
              <w:rPr>
                <w:rStyle w:val="Hyperlink"/>
              </w:rPr>
              <w:t>2.1D</w:t>
            </w:r>
            <w:r w:rsidR="009873D9">
              <w:rPr>
                <w:rFonts w:asciiTheme="minorHAnsi" w:eastAsiaTheme="minorEastAsia" w:hAnsiTheme="minorHAnsi" w:cstheme="minorBidi"/>
                <w:szCs w:val="22"/>
              </w:rPr>
              <w:tab/>
            </w:r>
            <w:r w:rsidR="009873D9" w:rsidRPr="00FE6544">
              <w:rPr>
                <w:rStyle w:val="Hyperlink"/>
              </w:rPr>
              <w:t>Non-Patient Products</w:t>
            </w:r>
            <w:r w:rsidR="009873D9">
              <w:rPr>
                <w:webHidden/>
              </w:rPr>
              <w:tab/>
            </w:r>
            <w:r w:rsidR="009873D9">
              <w:rPr>
                <w:webHidden/>
              </w:rPr>
              <w:fldChar w:fldCharType="begin"/>
            </w:r>
            <w:r w:rsidR="009873D9">
              <w:rPr>
                <w:webHidden/>
              </w:rPr>
              <w:instrText xml:space="preserve"> PAGEREF _Toc80348269 \h </w:instrText>
            </w:r>
            <w:r w:rsidR="009873D9">
              <w:rPr>
                <w:webHidden/>
              </w:rPr>
            </w:r>
            <w:r w:rsidR="009873D9">
              <w:rPr>
                <w:webHidden/>
              </w:rPr>
              <w:fldChar w:fldCharType="separate"/>
            </w:r>
            <w:r w:rsidR="009873D9">
              <w:rPr>
                <w:webHidden/>
              </w:rPr>
              <w:t>32</w:t>
            </w:r>
            <w:r w:rsidR="009873D9">
              <w:rPr>
                <w:webHidden/>
              </w:rPr>
              <w:fldChar w:fldCharType="end"/>
            </w:r>
          </w:hyperlink>
        </w:p>
        <w:p w14:paraId="75642970" w14:textId="076EB5D8" w:rsidR="009873D9" w:rsidRDefault="00A97DAC" w:rsidP="00804C84">
          <w:pPr>
            <w:pStyle w:val="TOC1"/>
            <w:tabs>
              <w:tab w:val="clear" w:pos="8364"/>
              <w:tab w:val="left" w:pos="8505"/>
            </w:tabs>
            <w:rPr>
              <w:rFonts w:asciiTheme="minorHAnsi" w:eastAsiaTheme="minorEastAsia" w:hAnsiTheme="minorHAnsi" w:cstheme="minorBidi"/>
              <w:szCs w:val="22"/>
            </w:rPr>
          </w:pPr>
          <w:hyperlink w:anchor="_Toc80348270" w:history="1">
            <w:r w:rsidR="009873D9" w:rsidRPr="00FE6544">
              <w:rPr>
                <w:rStyle w:val="Hyperlink"/>
                <w:lang w:eastAsia="ja-JP"/>
              </w:rPr>
              <w:t>Stage 3: Create Final Cost Centres</w:t>
            </w:r>
            <w:r w:rsidR="009873D9">
              <w:rPr>
                <w:webHidden/>
              </w:rPr>
              <w:tab/>
            </w:r>
            <w:r w:rsidR="009873D9">
              <w:rPr>
                <w:webHidden/>
              </w:rPr>
              <w:fldChar w:fldCharType="begin"/>
            </w:r>
            <w:r w:rsidR="009873D9">
              <w:rPr>
                <w:webHidden/>
              </w:rPr>
              <w:instrText xml:space="preserve"> PAGEREF _Toc80348270 \h </w:instrText>
            </w:r>
            <w:r w:rsidR="009873D9">
              <w:rPr>
                <w:webHidden/>
              </w:rPr>
            </w:r>
            <w:r w:rsidR="009873D9">
              <w:rPr>
                <w:webHidden/>
              </w:rPr>
              <w:fldChar w:fldCharType="separate"/>
            </w:r>
            <w:r w:rsidR="009873D9">
              <w:rPr>
                <w:webHidden/>
              </w:rPr>
              <w:t>33</w:t>
            </w:r>
            <w:r w:rsidR="009873D9">
              <w:rPr>
                <w:webHidden/>
              </w:rPr>
              <w:fldChar w:fldCharType="end"/>
            </w:r>
          </w:hyperlink>
        </w:p>
        <w:p w14:paraId="1E969B29" w14:textId="6EEDB369" w:rsidR="009873D9" w:rsidRDefault="00A97DAC" w:rsidP="00804C84">
          <w:pPr>
            <w:pStyle w:val="TOC2"/>
            <w:tabs>
              <w:tab w:val="left" w:pos="8505"/>
            </w:tabs>
            <w:ind w:right="0"/>
            <w:rPr>
              <w:rFonts w:asciiTheme="minorHAnsi" w:eastAsiaTheme="minorEastAsia" w:hAnsiTheme="minorHAnsi" w:cstheme="minorBidi"/>
              <w:szCs w:val="22"/>
            </w:rPr>
          </w:pPr>
          <w:hyperlink w:anchor="_Toc80348271" w:history="1">
            <w:r w:rsidR="009873D9" w:rsidRPr="00FE6544">
              <w:rPr>
                <w:rStyle w:val="Hyperlink"/>
                <w:lang w:eastAsia="ja-JP"/>
              </w:rPr>
              <w:t>3.2 Overhead Allocations</w:t>
            </w:r>
            <w:r w:rsidR="009873D9">
              <w:rPr>
                <w:webHidden/>
              </w:rPr>
              <w:tab/>
            </w:r>
            <w:r w:rsidR="009873D9">
              <w:rPr>
                <w:webHidden/>
              </w:rPr>
              <w:fldChar w:fldCharType="begin"/>
            </w:r>
            <w:r w:rsidR="009873D9">
              <w:rPr>
                <w:webHidden/>
              </w:rPr>
              <w:instrText xml:space="preserve"> PAGEREF _Toc80348271 \h </w:instrText>
            </w:r>
            <w:r w:rsidR="009873D9">
              <w:rPr>
                <w:webHidden/>
              </w:rPr>
            </w:r>
            <w:r w:rsidR="009873D9">
              <w:rPr>
                <w:webHidden/>
              </w:rPr>
              <w:fldChar w:fldCharType="separate"/>
            </w:r>
            <w:r w:rsidR="009873D9">
              <w:rPr>
                <w:webHidden/>
              </w:rPr>
              <w:t>34</w:t>
            </w:r>
            <w:r w:rsidR="009873D9">
              <w:rPr>
                <w:webHidden/>
              </w:rPr>
              <w:fldChar w:fldCharType="end"/>
            </w:r>
          </w:hyperlink>
        </w:p>
        <w:p w14:paraId="12CB35E9" w14:textId="16E279D7" w:rsidR="009873D9" w:rsidRDefault="00A97DAC" w:rsidP="00804C84">
          <w:pPr>
            <w:pStyle w:val="TOC2"/>
            <w:tabs>
              <w:tab w:val="left" w:pos="8505"/>
            </w:tabs>
            <w:ind w:right="0"/>
            <w:rPr>
              <w:rFonts w:asciiTheme="minorHAnsi" w:eastAsiaTheme="minorEastAsia" w:hAnsiTheme="minorHAnsi" w:cstheme="minorBidi"/>
              <w:szCs w:val="22"/>
            </w:rPr>
          </w:pPr>
          <w:hyperlink w:anchor="_Toc80348272" w:history="1">
            <w:r w:rsidR="009873D9" w:rsidRPr="00FE6544">
              <w:rPr>
                <w:rStyle w:val="Hyperlink"/>
              </w:rPr>
              <w:t>3.2A</w:t>
            </w:r>
            <w:r w:rsidR="009873D9">
              <w:rPr>
                <w:rFonts w:asciiTheme="minorHAnsi" w:eastAsiaTheme="minorEastAsia" w:hAnsiTheme="minorHAnsi" w:cstheme="minorBidi"/>
                <w:szCs w:val="22"/>
              </w:rPr>
              <w:tab/>
            </w:r>
            <w:r w:rsidR="009873D9" w:rsidRPr="00FE6544">
              <w:rPr>
                <w:rStyle w:val="Hyperlink"/>
              </w:rPr>
              <w:t>Hotel Services</w:t>
            </w:r>
            <w:r w:rsidR="009873D9">
              <w:rPr>
                <w:webHidden/>
              </w:rPr>
              <w:tab/>
            </w:r>
            <w:r w:rsidR="009873D9">
              <w:rPr>
                <w:webHidden/>
              </w:rPr>
              <w:fldChar w:fldCharType="begin"/>
            </w:r>
            <w:r w:rsidR="009873D9">
              <w:rPr>
                <w:webHidden/>
              </w:rPr>
              <w:instrText xml:space="preserve"> PAGEREF _Toc80348272 \h </w:instrText>
            </w:r>
            <w:r w:rsidR="009873D9">
              <w:rPr>
                <w:webHidden/>
              </w:rPr>
            </w:r>
            <w:r w:rsidR="009873D9">
              <w:rPr>
                <w:webHidden/>
              </w:rPr>
              <w:fldChar w:fldCharType="separate"/>
            </w:r>
            <w:r w:rsidR="009873D9">
              <w:rPr>
                <w:webHidden/>
              </w:rPr>
              <w:t>34</w:t>
            </w:r>
            <w:r w:rsidR="009873D9">
              <w:rPr>
                <w:webHidden/>
              </w:rPr>
              <w:fldChar w:fldCharType="end"/>
            </w:r>
          </w:hyperlink>
        </w:p>
        <w:p w14:paraId="18DFE019" w14:textId="7DC3DC27" w:rsidR="009873D9" w:rsidRDefault="00A97DAC" w:rsidP="00804C84">
          <w:pPr>
            <w:pStyle w:val="TOC2"/>
            <w:tabs>
              <w:tab w:val="left" w:pos="8505"/>
            </w:tabs>
            <w:ind w:right="0"/>
            <w:rPr>
              <w:rFonts w:asciiTheme="minorHAnsi" w:eastAsiaTheme="minorEastAsia" w:hAnsiTheme="minorHAnsi" w:cstheme="minorBidi"/>
              <w:szCs w:val="22"/>
            </w:rPr>
          </w:pPr>
          <w:hyperlink w:anchor="_Toc80348273" w:history="1">
            <w:r w:rsidR="009873D9" w:rsidRPr="00FE6544">
              <w:rPr>
                <w:rStyle w:val="Hyperlink"/>
              </w:rPr>
              <w:t>3.2B</w:t>
            </w:r>
            <w:r w:rsidR="009873D9">
              <w:rPr>
                <w:rFonts w:asciiTheme="minorHAnsi" w:eastAsiaTheme="minorEastAsia" w:hAnsiTheme="minorHAnsi" w:cstheme="minorBidi"/>
                <w:szCs w:val="22"/>
              </w:rPr>
              <w:tab/>
            </w:r>
            <w:r w:rsidR="009873D9" w:rsidRPr="00FE6544">
              <w:rPr>
                <w:rStyle w:val="Hyperlink"/>
              </w:rPr>
              <w:t>Depreciation</w:t>
            </w:r>
            <w:r w:rsidR="009873D9">
              <w:rPr>
                <w:webHidden/>
              </w:rPr>
              <w:tab/>
            </w:r>
            <w:r w:rsidR="009873D9">
              <w:rPr>
                <w:webHidden/>
              </w:rPr>
              <w:fldChar w:fldCharType="begin"/>
            </w:r>
            <w:r w:rsidR="009873D9">
              <w:rPr>
                <w:webHidden/>
              </w:rPr>
              <w:instrText xml:space="preserve"> PAGEREF _Toc80348273 \h </w:instrText>
            </w:r>
            <w:r w:rsidR="009873D9">
              <w:rPr>
                <w:webHidden/>
              </w:rPr>
            </w:r>
            <w:r w:rsidR="009873D9">
              <w:rPr>
                <w:webHidden/>
              </w:rPr>
              <w:fldChar w:fldCharType="separate"/>
            </w:r>
            <w:r w:rsidR="009873D9">
              <w:rPr>
                <w:webHidden/>
              </w:rPr>
              <w:t>36</w:t>
            </w:r>
            <w:r w:rsidR="009873D9">
              <w:rPr>
                <w:webHidden/>
              </w:rPr>
              <w:fldChar w:fldCharType="end"/>
            </w:r>
          </w:hyperlink>
        </w:p>
        <w:p w14:paraId="5FA4D840" w14:textId="0CC68D1E" w:rsidR="009873D9" w:rsidRDefault="00A97DAC" w:rsidP="00804C84">
          <w:pPr>
            <w:pStyle w:val="TOC2"/>
            <w:tabs>
              <w:tab w:val="left" w:pos="8505"/>
            </w:tabs>
            <w:ind w:right="0"/>
            <w:rPr>
              <w:rFonts w:asciiTheme="minorHAnsi" w:eastAsiaTheme="minorEastAsia" w:hAnsiTheme="minorHAnsi" w:cstheme="minorBidi"/>
              <w:szCs w:val="22"/>
            </w:rPr>
          </w:pPr>
          <w:hyperlink w:anchor="_Toc80348274" w:history="1">
            <w:r w:rsidR="009873D9" w:rsidRPr="00FE6544">
              <w:rPr>
                <w:rStyle w:val="Hyperlink"/>
              </w:rPr>
              <w:t>3.2C</w:t>
            </w:r>
            <w:r w:rsidR="009873D9">
              <w:rPr>
                <w:rFonts w:asciiTheme="minorHAnsi" w:eastAsiaTheme="minorEastAsia" w:hAnsiTheme="minorHAnsi" w:cstheme="minorBidi"/>
                <w:szCs w:val="22"/>
              </w:rPr>
              <w:tab/>
            </w:r>
            <w:r w:rsidR="009873D9" w:rsidRPr="00FE6544">
              <w:rPr>
                <w:rStyle w:val="Hyperlink"/>
              </w:rPr>
              <w:t>Corporate Overhead</w:t>
            </w:r>
            <w:r w:rsidR="009873D9">
              <w:rPr>
                <w:webHidden/>
              </w:rPr>
              <w:tab/>
            </w:r>
            <w:r w:rsidR="009873D9">
              <w:rPr>
                <w:webHidden/>
              </w:rPr>
              <w:fldChar w:fldCharType="begin"/>
            </w:r>
            <w:r w:rsidR="009873D9">
              <w:rPr>
                <w:webHidden/>
              </w:rPr>
              <w:instrText xml:space="preserve"> PAGEREF _Toc80348274 \h </w:instrText>
            </w:r>
            <w:r w:rsidR="009873D9">
              <w:rPr>
                <w:webHidden/>
              </w:rPr>
            </w:r>
            <w:r w:rsidR="009873D9">
              <w:rPr>
                <w:webHidden/>
              </w:rPr>
              <w:fldChar w:fldCharType="separate"/>
            </w:r>
            <w:r w:rsidR="009873D9">
              <w:rPr>
                <w:webHidden/>
              </w:rPr>
              <w:t>39</w:t>
            </w:r>
            <w:r w:rsidR="009873D9">
              <w:rPr>
                <w:webHidden/>
              </w:rPr>
              <w:fldChar w:fldCharType="end"/>
            </w:r>
          </w:hyperlink>
        </w:p>
        <w:p w14:paraId="5208FFCB" w14:textId="2C42E598" w:rsidR="009873D9" w:rsidRDefault="00A97DAC" w:rsidP="00804C84">
          <w:pPr>
            <w:pStyle w:val="TOC1"/>
            <w:tabs>
              <w:tab w:val="clear" w:pos="8364"/>
              <w:tab w:val="left" w:pos="8505"/>
            </w:tabs>
            <w:rPr>
              <w:rFonts w:asciiTheme="minorHAnsi" w:eastAsiaTheme="minorEastAsia" w:hAnsiTheme="minorHAnsi" w:cstheme="minorBidi"/>
              <w:szCs w:val="22"/>
            </w:rPr>
          </w:pPr>
          <w:hyperlink w:anchor="_Toc80348275" w:history="1">
            <w:r w:rsidR="009873D9" w:rsidRPr="00FE6544">
              <w:rPr>
                <w:rStyle w:val="Hyperlink"/>
                <w:lang w:eastAsia="ja-JP"/>
              </w:rPr>
              <w:t>Stage 4: Identify products</w:t>
            </w:r>
            <w:r w:rsidR="009873D9">
              <w:rPr>
                <w:webHidden/>
              </w:rPr>
              <w:tab/>
            </w:r>
            <w:r w:rsidR="009873D9">
              <w:rPr>
                <w:webHidden/>
              </w:rPr>
              <w:fldChar w:fldCharType="begin"/>
            </w:r>
            <w:r w:rsidR="009873D9">
              <w:rPr>
                <w:webHidden/>
              </w:rPr>
              <w:instrText xml:space="preserve"> PAGEREF _Toc80348275 \h </w:instrText>
            </w:r>
            <w:r w:rsidR="009873D9">
              <w:rPr>
                <w:webHidden/>
              </w:rPr>
            </w:r>
            <w:r w:rsidR="009873D9">
              <w:rPr>
                <w:webHidden/>
              </w:rPr>
              <w:fldChar w:fldCharType="separate"/>
            </w:r>
            <w:r w:rsidR="009873D9">
              <w:rPr>
                <w:webHidden/>
              </w:rPr>
              <w:t>41</w:t>
            </w:r>
            <w:r w:rsidR="009873D9">
              <w:rPr>
                <w:webHidden/>
              </w:rPr>
              <w:fldChar w:fldCharType="end"/>
            </w:r>
          </w:hyperlink>
        </w:p>
        <w:p w14:paraId="3E49E1D8" w14:textId="6F7F5577" w:rsidR="009873D9" w:rsidRDefault="00A97DAC" w:rsidP="00804C84">
          <w:pPr>
            <w:pStyle w:val="TOC2"/>
            <w:tabs>
              <w:tab w:val="left" w:pos="8505"/>
            </w:tabs>
            <w:ind w:right="0"/>
            <w:rPr>
              <w:rFonts w:asciiTheme="minorHAnsi" w:eastAsiaTheme="minorEastAsia" w:hAnsiTheme="minorHAnsi" w:cstheme="minorBidi"/>
              <w:szCs w:val="22"/>
            </w:rPr>
          </w:pPr>
          <w:hyperlink w:anchor="_Toc80348276" w:history="1">
            <w:r w:rsidR="009873D9" w:rsidRPr="00FE6544">
              <w:rPr>
                <w:rStyle w:val="Hyperlink"/>
                <w:lang w:eastAsia="ja-JP"/>
              </w:rPr>
              <w:t xml:space="preserve">4.1 </w:t>
            </w:r>
            <w:r>
              <w:rPr>
                <w:rStyle w:val="Hyperlink"/>
                <w:lang w:eastAsia="ja-JP"/>
              </w:rPr>
              <w:t xml:space="preserve">        </w:t>
            </w:r>
            <w:r w:rsidR="009873D9" w:rsidRPr="00FE6544">
              <w:rPr>
                <w:rStyle w:val="Hyperlink"/>
                <w:lang w:eastAsia="ja-JP"/>
              </w:rPr>
              <w:t>Product Types</w:t>
            </w:r>
            <w:r w:rsidR="009873D9">
              <w:rPr>
                <w:webHidden/>
              </w:rPr>
              <w:tab/>
            </w:r>
            <w:r w:rsidR="009873D9">
              <w:rPr>
                <w:webHidden/>
              </w:rPr>
              <w:fldChar w:fldCharType="begin"/>
            </w:r>
            <w:r w:rsidR="009873D9">
              <w:rPr>
                <w:webHidden/>
              </w:rPr>
              <w:instrText xml:space="preserve"> PAGEREF _Toc80348276 \h </w:instrText>
            </w:r>
            <w:r w:rsidR="009873D9">
              <w:rPr>
                <w:webHidden/>
              </w:rPr>
            </w:r>
            <w:r w:rsidR="009873D9">
              <w:rPr>
                <w:webHidden/>
              </w:rPr>
              <w:fldChar w:fldCharType="separate"/>
            </w:r>
            <w:r w:rsidR="009873D9">
              <w:rPr>
                <w:webHidden/>
              </w:rPr>
              <w:t>42</w:t>
            </w:r>
            <w:r w:rsidR="009873D9">
              <w:rPr>
                <w:webHidden/>
              </w:rPr>
              <w:fldChar w:fldCharType="end"/>
            </w:r>
          </w:hyperlink>
        </w:p>
        <w:p w14:paraId="3369DFCE" w14:textId="5F25148F" w:rsidR="009873D9" w:rsidRDefault="00A97DAC" w:rsidP="00804C84">
          <w:pPr>
            <w:pStyle w:val="TOC2"/>
            <w:tabs>
              <w:tab w:val="left" w:pos="8505"/>
            </w:tabs>
            <w:ind w:right="0"/>
            <w:rPr>
              <w:rFonts w:asciiTheme="minorHAnsi" w:eastAsiaTheme="minorEastAsia" w:hAnsiTheme="minorHAnsi" w:cstheme="minorBidi"/>
              <w:szCs w:val="22"/>
            </w:rPr>
          </w:pPr>
          <w:hyperlink w:anchor="_Toc80348277" w:history="1">
            <w:r w:rsidR="009873D9" w:rsidRPr="00FE6544">
              <w:rPr>
                <w:rStyle w:val="Hyperlink"/>
              </w:rPr>
              <w:t>4.1A</w:t>
            </w:r>
            <w:r w:rsidR="009873D9">
              <w:rPr>
                <w:rFonts w:asciiTheme="minorHAnsi" w:eastAsiaTheme="minorEastAsia" w:hAnsiTheme="minorHAnsi" w:cstheme="minorBidi"/>
                <w:szCs w:val="22"/>
              </w:rPr>
              <w:tab/>
            </w:r>
            <w:r w:rsidR="009873D9" w:rsidRPr="00FE6544">
              <w:rPr>
                <w:rStyle w:val="Hyperlink"/>
              </w:rPr>
              <w:t>National Data sets</w:t>
            </w:r>
            <w:r w:rsidR="009873D9">
              <w:rPr>
                <w:webHidden/>
              </w:rPr>
              <w:tab/>
            </w:r>
            <w:r w:rsidR="009873D9">
              <w:rPr>
                <w:webHidden/>
              </w:rPr>
              <w:fldChar w:fldCharType="begin"/>
            </w:r>
            <w:r w:rsidR="009873D9">
              <w:rPr>
                <w:webHidden/>
              </w:rPr>
              <w:instrText xml:space="preserve"> PAGEREF _Toc80348277 \h </w:instrText>
            </w:r>
            <w:r w:rsidR="009873D9">
              <w:rPr>
                <w:webHidden/>
              </w:rPr>
            </w:r>
            <w:r w:rsidR="009873D9">
              <w:rPr>
                <w:webHidden/>
              </w:rPr>
              <w:fldChar w:fldCharType="separate"/>
            </w:r>
            <w:r w:rsidR="009873D9">
              <w:rPr>
                <w:webHidden/>
              </w:rPr>
              <w:t>42</w:t>
            </w:r>
            <w:r w:rsidR="009873D9">
              <w:rPr>
                <w:webHidden/>
              </w:rPr>
              <w:fldChar w:fldCharType="end"/>
            </w:r>
          </w:hyperlink>
        </w:p>
        <w:p w14:paraId="7FBBAE7C" w14:textId="705CC969" w:rsidR="009873D9" w:rsidRDefault="00A97DAC" w:rsidP="00804C84">
          <w:pPr>
            <w:pStyle w:val="TOC2"/>
            <w:tabs>
              <w:tab w:val="left" w:pos="8505"/>
            </w:tabs>
            <w:ind w:right="0"/>
            <w:rPr>
              <w:rFonts w:asciiTheme="minorHAnsi" w:eastAsiaTheme="minorEastAsia" w:hAnsiTheme="minorHAnsi" w:cstheme="minorBidi"/>
              <w:szCs w:val="22"/>
            </w:rPr>
          </w:pPr>
          <w:hyperlink w:anchor="_Toc80348278" w:history="1">
            <w:r w:rsidR="009873D9" w:rsidRPr="00FE6544">
              <w:rPr>
                <w:rStyle w:val="Hyperlink"/>
                <w:lang w:eastAsia="ja-JP"/>
              </w:rPr>
              <w:t xml:space="preserve">4.2 </w:t>
            </w:r>
            <w:r>
              <w:rPr>
                <w:rStyle w:val="Hyperlink"/>
                <w:lang w:eastAsia="ja-JP"/>
              </w:rPr>
              <w:t xml:space="preserve">        </w:t>
            </w:r>
            <w:r w:rsidR="009873D9" w:rsidRPr="00FE6544">
              <w:rPr>
                <w:rStyle w:val="Hyperlink"/>
                <w:lang w:eastAsia="ja-JP"/>
              </w:rPr>
              <w:t>Information Requirements</w:t>
            </w:r>
            <w:r w:rsidR="009873D9">
              <w:rPr>
                <w:webHidden/>
              </w:rPr>
              <w:tab/>
            </w:r>
            <w:r w:rsidR="009873D9">
              <w:rPr>
                <w:webHidden/>
              </w:rPr>
              <w:fldChar w:fldCharType="begin"/>
            </w:r>
            <w:r w:rsidR="009873D9">
              <w:rPr>
                <w:webHidden/>
              </w:rPr>
              <w:instrText xml:space="preserve"> PAGEREF _Toc80348278 \h </w:instrText>
            </w:r>
            <w:r w:rsidR="009873D9">
              <w:rPr>
                <w:webHidden/>
              </w:rPr>
            </w:r>
            <w:r w:rsidR="009873D9">
              <w:rPr>
                <w:webHidden/>
              </w:rPr>
              <w:fldChar w:fldCharType="separate"/>
            </w:r>
            <w:r w:rsidR="009873D9">
              <w:rPr>
                <w:webHidden/>
              </w:rPr>
              <w:t>44</w:t>
            </w:r>
            <w:r w:rsidR="009873D9">
              <w:rPr>
                <w:webHidden/>
              </w:rPr>
              <w:fldChar w:fldCharType="end"/>
            </w:r>
          </w:hyperlink>
        </w:p>
        <w:p w14:paraId="5E21C448" w14:textId="6F16580B" w:rsidR="009873D9" w:rsidRDefault="00A97DAC" w:rsidP="00804C84">
          <w:pPr>
            <w:pStyle w:val="TOC2"/>
            <w:tabs>
              <w:tab w:val="left" w:pos="8505"/>
            </w:tabs>
            <w:ind w:right="0"/>
            <w:rPr>
              <w:rFonts w:asciiTheme="minorHAnsi" w:eastAsiaTheme="minorEastAsia" w:hAnsiTheme="minorHAnsi" w:cstheme="minorBidi"/>
              <w:szCs w:val="22"/>
            </w:rPr>
          </w:pPr>
          <w:hyperlink w:anchor="_Toc80348279" w:history="1">
            <w:r w:rsidR="009873D9" w:rsidRPr="00FE6544">
              <w:rPr>
                <w:rStyle w:val="Hyperlink"/>
              </w:rPr>
              <w:t>4.2A</w:t>
            </w:r>
            <w:r w:rsidR="009873D9">
              <w:rPr>
                <w:rFonts w:asciiTheme="minorHAnsi" w:eastAsiaTheme="minorEastAsia" w:hAnsiTheme="minorHAnsi" w:cstheme="minorBidi"/>
                <w:szCs w:val="22"/>
              </w:rPr>
              <w:tab/>
            </w:r>
            <w:r w:rsidR="009873D9" w:rsidRPr="00FE6544">
              <w:rPr>
                <w:rStyle w:val="Hyperlink"/>
              </w:rPr>
              <w:t>Overhead Allocation Statistics</w:t>
            </w:r>
            <w:r w:rsidR="009873D9">
              <w:rPr>
                <w:webHidden/>
              </w:rPr>
              <w:tab/>
            </w:r>
            <w:r w:rsidR="009873D9">
              <w:rPr>
                <w:webHidden/>
              </w:rPr>
              <w:fldChar w:fldCharType="begin"/>
            </w:r>
            <w:r w:rsidR="009873D9">
              <w:rPr>
                <w:webHidden/>
              </w:rPr>
              <w:instrText xml:space="preserve"> PAGEREF _Toc80348279 \h </w:instrText>
            </w:r>
            <w:r w:rsidR="009873D9">
              <w:rPr>
                <w:webHidden/>
              </w:rPr>
            </w:r>
            <w:r w:rsidR="009873D9">
              <w:rPr>
                <w:webHidden/>
              </w:rPr>
              <w:fldChar w:fldCharType="separate"/>
            </w:r>
            <w:r w:rsidR="009873D9">
              <w:rPr>
                <w:webHidden/>
              </w:rPr>
              <w:t>44</w:t>
            </w:r>
            <w:r w:rsidR="009873D9">
              <w:rPr>
                <w:webHidden/>
              </w:rPr>
              <w:fldChar w:fldCharType="end"/>
            </w:r>
          </w:hyperlink>
        </w:p>
        <w:p w14:paraId="5073D419" w14:textId="690BC1FE" w:rsidR="009873D9" w:rsidRDefault="00A97DAC" w:rsidP="00804C84">
          <w:pPr>
            <w:pStyle w:val="TOC2"/>
            <w:tabs>
              <w:tab w:val="left" w:pos="8505"/>
            </w:tabs>
            <w:ind w:right="0"/>
            <w:rPr>
              <w:rFonts w:asciiTheme="minorHAnsi" w:eastAsiaTheme="minorEastAsia" w:hAnsiTheme="minorHAnsi" w:cstheme="minorBidi"/>
              <w:szCs w:val="22"/>
            </w:rPr>
          </w:pPr>
          <w:hyperlink w:anchor="_Toc80348280" w:history="1">
            <w:r w:rsidR="009873D9" w:rsidRPr="00FE6544">
              <w:rPr>
                <w:rStyle w:val="Hyperlink"/>
              </w:rPr>
              <w:t>4.2B</w:t>
            </w:r>
            <w:r w:rsidR="009873D9">
              <w:rPr>
                <w:rFonts w:asciiTheme="minorHAnsi" w:eastAsiaTheme="minorEastAsia" w:hAnsiTheme="minorHAnsi" w:cstheme="minorBidi"/>
                <w:szCs w:val="22"/>
              </w:rPr>
              <w:tab/>
            </w:r>
            <w:r w:rsidR="009873D9" w:rsidRPr="00FE6544">
              <w:rPr>
                <w:rStyle w:val="Hyperlink"/>
              </w:rPr>
              <w:t>Final Allocation Statistics</w:t>
            </w:r>
            <w:r w:rsidR="009873D9">
              <w:rPr>
                <w:webHidden/>
              </w:rPr>
              <w:tab/>
            </w:r>
            <w:r w:rsidR="009873D9">
              <w:rPr>
                <w:webHidden/>
              </w:rPr>
              <w:fldChar w:fldCharType="begin"/>
            </w:r>
            <w:r w:rsidR="009873D9">
              <w:rPr>
                <w:webHidden/>
              </w:rPr>
              <w:instrText xml:space="preserve"> PAGEREF _Toc80348280 \h </w:instrText>
            </w:r>
            <w:r w:rsidR="009873D9">
              <w:rPr>
                <w:webHidden/>
              </w:rPr>
            </w:r>
            <w:r w:rsidR="009873D9">
              <w:rPr>
                <w:webHidden/>
              </w:rPr>
              <w:fldChar w:fldCharType="separate"/>
            </w:r>
            <w:r w:rsidR="009873D9">
              <w:rPr>
                <w:webHidden/>
              </w:rPr>
              <w:t>46</w:t>
            </w:r>
            <w:r w:rsidR="009873D9">
              <w:rPr>
                <w:webHidden/>
              </w:rPr>
              <w:fldChar w:fldCharType="end"/>
            </w:r>
          </w:hyperlink>
        </w:p>
        <w:p w14:paraId="069CAA0A" w14:textId="4926F8DE" w:rsidR="009873D9" w:rsidRDefault="00A97DAC" w:rsidP="00804C84">
          <w:pPr>
            <w:pStyle w:val="TOC2"/>
            <w:tabs>
              <w:tab w:val="left" w:pos="8505"/>
            </w:tabs>
            <w:ind w:right="0"/>
            <w:rPr>
              <w:rFonts w:asciiTheme="minorHAnsi" w:eastAsiaTheme="minorEastAsia" w:hAnsiTheme="minorHAnsi" w:cstheme="minorBidi"/>
              <w:szCs w:val="22"/>
            </w:rPr>
          </w:pPr>
          <w:hyperlink w:anchor="_Toc80348281" w:history="1">
            <w:r w:rsidR="009873D9" w:rsidRPr="00FE6544">
              <w:rPr>
                <w:rStyle w:val="Hyperlink"/>
              </w:rPr>
              <w:t>4.2C</w:t>
            </w:r>
            <w:r w:rsidR="009873D9">
              <w:rPr>
                <w:rFonts w:asciiTheme="minorHAnsi" w:eastAsiaTheme="minorEastAsia" w:hAnsiTheme="minorHAnsi" w:cstheme="minorBidi"/>
                <w:szCs w:val="22"/>
              </w:rPr>
              <w:tab/>
            </w:r>
            <w:r w:rsidR="009873D9" w:rsidRPr="00FE6544">
              <w:rPr>
                <w:rStyle w:val="Hyperlink"/>
              </w:rPr>
              <w:t>Feeder Data and Matching</w:t>
            </w:r>
            <w:r w:rsidR="009873D9">
              <w:rPr>
                <w:webHidden/>
              </w:rPr>
              <w:tab/>
            </w:r>
            <w:r w:rsidR="009873D9">
              <w:rPr>
                <w:webHidden/>
              </w:rPr>
              <w:fldChar w:fldCharType="begin"/>
            </w:r>
            <w:r w:rsidR="009873D9">
              <w:rPr>
                <w:webHidden/>
              </w:rPr>
              <w:instrText xml:space="preserve"> PAGEREF _Toc80348281 \h </w:instrText>
            </w:r>
            <w:r w:rsidR="009873D9">
              <w:rPr>
                <w:webHidden/>
              </w:rPr>
            </w:r>
            <w:r w:rsidR="009873D9">
              <w:rPr>
                <w:webHidden/>
              </w:rPr>
              <w:fldChar w:fldCharType="separate"/>
            </w:r>
            <w:r w:rsidR="009873D9">
              <w:rPr>
                <w:webHidden/>
              </w:rPr>
              <w:t>47</w:t>
            </w:r>
            <w:r w:rsidR="009873D9">
              <w:rPr>
                <w:webHidden/>
              </w:rPr>
              <w:fldChar w:fldCharType="end"/>
            </w:r>
          </w:hyperlink>
        </w:p>
        <w:p w14:paraId="4333E4C6" w14:textId="7F12739F" w:rsidR="009873D9" w:rsidRDefault="00A97DAC" w:rsidP="00804C84">
          <w:pPr>
            <w:pStyle w:val="TOC1"/>
            <w:tabs>
              <w:tab w:val="clear" w:pos="8364"/>
              <w:tab w:val="left" w:pos="8505"/>
            </w:tabs>
            <w:rPr>
              <w:rFonts w:asciiTheme="minorHAnsi" w:eastAsiaTheme="minorEastAsia" w:hAnsiTheme="minorHAnsi" w:cstheme="minorBidi"/>
              <w:szCs w:val="22"/>
            </w:rPr>
          </w:pPr>
          <w:hyperlink w:anchor="_Toc80348282" w:history="1">
            <w:r w:rsidR="009873D9" w:rsidRPr="00FE6544">
              <w:rPr>
                <w:rStyle w:val="Hyperlink"/>
                <w:lang w:eastAsia="ja-JP"/>
              </w:rPr>
              <w:t>Stage 5: Assign Expenses to Products</w:t>
            </w:r>
            <w:r w:rsidR="009873D9">
              <w:rPr>
                <w:webHidden/>
              </w:rPr>
              <w:tab/>
            </w:r>
            <w:r w:rsidR="009873D9">
              <w:rPr>
                <w:webHidden/>
              </w:rPr>
              <w:fldChar w:fldCharType="begin"/>
            </w:r>
            <w:r w:rsidR="009873D9">
              <w:rPr>
                <w:webHidden/>
              </w:rPr>
              <w:instrText xml:space="preserve"> PAGEREF _Toc80348282 \h </w:instrText>
            </w:r>
            <w:r w:rsidR="009873D9">
              <w:rPr>
                <w:webHidden/>
              </w:rPr>
            </w:r>
            <w:r w:rsidR="009873D9">
              <w:rPr>
                <w:webHidden/>
              </w:rPr>
              <w:fldChar w:fldCharType="separate"/>
            </w:r>
            <w:r w:rsidR="009873D9">
              <w:rPr>
                <w:webHidden/>
              </w:rPr>
              <w:t>52</w:t>
            </w:r>
            <w:r w:rsidR="009873D9">
              <w:rPr>
                <w:webHidden/>
              </w:rPr>
              <w:fldChar w:fldCharType="end"/>
            </w:r>
          </w:hyperlink>
        </w:p>
        <w:p w14:paraId="38DC610A" w14:textId="55B41B68" w:rsidR="009873D9" w:rsidRDefault="00A97DAC" w:rsidP="00804C84">
          <w:pPr>
            <w:pStyle w:val="TOC2"/>
            <w:tabs>
              <w:tab w:val="left" w:pos="8505"/>
            </w:tabs>
            <w:ind w:right="0"/>
            <w:rPr>
              <w:rFonts w:asciiTheme="minorHAnsi" w:eastAsiaTheme="minorEastAsia" w:hAnsiTheme="minorHAnsi" w:cstheme="minorBidi"/>
              <w:szCs w:val="22"/>
            </w:rPr>
          </w:pPr>
          <w:hyperlink w:anchor="_Toc80348283" w:history="1">
            <w:r w:rsidR="009873D9" w:rsidRPr="00FE6544">
              <w:rPr>
                <w:rStyle w:val="Hyperlink"/>
              </w:rPr>
              <w:t xml:space="preserve">5.1 </w:t>
            </w:r>
            <w:r>
              <w:rPr>
                <w:rStyle w:val="Hyperlink"/>
              </w:rPr>
              <w:t xml:space="preserve">        </w:t>
            </w:r>
            <w:r w:rsidR="009873D9" w:rsidRPr="00FE6544">
              <w:rPr>
                <w:rStyle w:val="Hyperlink"/>
              </w:rPr>
              <w:t>Final Products</w:t>
            </w:r>
            <w:r w:rsidR="009873D9">
              <w:rPr>
                <w:webHidden/>
              </w:rPr>
              <w:tab/>
            </w:r>
            <w:r w:rsidR="009873D9">
              <w:rPr>
                <w:webHidden/>
              </w:rPr>
              <w:fldChar w:fldCharType="begin"/>
            </w:r>
            <w:r w:rsidR="009873D9">
              <w:rPr>
                <w:webHidden/>
              </w:rPr>
              <w:instrText xml:space="preserve"> PAGEREF _Toc80348283 \h </w:instrText>
            </w:r>
            <w:r w:rsidR="009873D9">
              <w:rPr>
                <w:webHidden/>
              </w:rPr>
            </w:r>
            <w:r w:rsidR="009873D9">
              <w:rPr>
                <w:webHidden/>
              </w:rPr>
              <w:fldChar w:fldCharType="separate"/>
            </w:r>
            <w:r w:rsidR="009873D9">
              <w:rPr>
                <w:webHidden/>
              </w:rPr>
              <w:t>53</w:t>
            </w:r>
            <w:r w:rsidR="009873D9">
              <w:rPr>
                <w:webHidden/>
              </w:rPr>
              <w:fldChar w:fldCharType="end"/>
            </w:r>
          </w:hyperlink>
        </w:p>
        <w:p w14:paraId="79837FB1" w14:textId="7CC8C06E" w:rsidR="009873D9" w:rsidRDefault="00A97DAC" w:rsidP="00804C84">
          <w:pPr>
            <w:pStyle w:val="TOC2"/>
            <w:tabs>
              <w:tab w:val="left" w:pos="8505"/>
            </w:tabs>
            <w:ind w:right="0"/>
            <w:rPr>
              <w:rFonts w:asciiTheme="minorHAnsi" w:eastAsiaTheme="minorEastAsia" w:hAnsiTheme="minorHAnsi" w:cstheme="minorBidi"/>
              <w:szCs w:val="22"/>
            </w:rPr>
          </w:pPr>
          <w:hyperlink w:anchor="_Toc80348284" w:history="1">
            <w:r w:rsidR="009873D9" w:rsidRPr="00FE6544">
              <w:rPr>
                <w:rStyle w:val="Hyperlink"/>
              </w:rPr>
              <w:t>5.1A</w:t>
            </w:r>
            <w:r w:rsidR="009873D9">
              <w:rPr>
                <w:rFonts w:asciiTheme="minorHAnsi" w:eastAsiaTheme="minorEastAsia" w:hAnsiTheme="minorHAnsi" w:cstheme="minorBidi"/>
                <w:szCs w:val="22"/>
              </w:rPr>
              <w:tab/>
            </w:r>
            <w:r w:rsidR="009873D9" w:rsidRPr="00FE6544">
              <w:rPr>
                <w:rStyle w:val="Hyperlink"/>
              </w:rPr>
              <w:t>Traceable Charges</w:t>
            </w:r>
            <w:r w:rsidR="009873D9">
              <w:rPr>
                <w:webHidden/>
              </w:rPr>
              <w:tab/>
            </w:r>
            <w:r w:rsidR="009873D9">
              <w:rPr>
                <w:webHidden/>
              </w:rPr>
              <w:fldChar w:fldCharType="begin"/>
            </w:r>
            <w:r w:rsidR="009873D9">
              <w:rPr>
                <w:webHidden/>
              </w:rPr>
              <w:instrText xml:space="preserve"> PAGEREF _Toc80348284 \h </w:instrText>
            </w:r>
            <w:r w:rsidR="009873D9">
              <w:rPr>
                <w:webHidden/>
              </w:rPr>
            </w:r>
            <w:r w:rsidR="009873D9">
              <w:rPr>
                <w:webHidden/>
              </w:rPr>
              <w:fldChar w:fldCharType="separate"/>
            </w:r>
            <w:r w:rsidR="009873D9">
              <w:rPr>
                <w:webHidden/>
              </w:rPr>
              <w:t>53</w:t>
            </w:r>
            <w:r w:rsidR="009873D9">
              <w:rPr>
                <w:webHidden/>
              </w:rPr>
              <w:fldChar w:fldCharType="end"/>
            </w:r>
          </w:hyperlink>
        </w:p>
        <w:p w14:paraId="44C698F2" w14:textId="6632D9DB" w:rsidR="009873D9" w:rsidRDefault="00A97DAC" w:rsidP="00804C84">
          <w:pPr>
            <w:pStyle w:val="TOC2"/>
            <w:tabs>
              <w:tab w:val="left" w:pos="8505"/>
            </w:tabs>
            <w:ind w:right="0"/>
            <w:rPr>
              <w:rFonts w:asciiTheme="minorHAnsi" w:eastAsiaTheme="minorEastAsia" w:hAnsiTheme="minorHAnsi" w:cstheme="minorBidi"/>
              <w:szCs w:val="22"/>
            </w:rPr>
          </w:pPr>
          <w:hyperlink w:anchor="_Toc80348285" w:history="1">
            <w:r w:rsidR="009873D9" w:rsidRPr="00FE6544">
              <w:rPr>
                <w:rStyle w:val="Hyperlink"/>
              </w:rPr>
              <w:t xml:space="preserve">5.2 </w:t>
            </w:r>
            <w:r>
              <w:rPr>
                <w:rStyle w:val="Hyperlink"/>
              </w:rPr>
              <w:t xml:space="preserve">         </w:t>
            </w:r>
            <w:r w:rsidR="009873D9" w:rsidRPr="00FE6544">
              <w:rPr>
                <w:rStyle w:val="Hyperlink"/>
              </w:rPr>
              <w:t>Intermediate Product</w:t>
            </w:r>
            <w:r w:rsidR="009873D9">
              <w:rPr>
                <w:webHidden/>
              </w:rPr>
              <w:tab/>
            </w:r>
            <w:r w:rsidR="009873D9">
              <w:rPr>
                <w:webHidden/>
              </w:rPr>
              <w:fldChar w:fldCharType="begin"/>
            </w:r>
            <w:r w:rsidR="009873D9">
              <w:rPr>
                <w:webHidden/>
              </w:rPr>
              <w:instrText xml:space="preserve"> PAGEREF _Toc80348285 \h </w:instrText>
            </w:r>
            <w:r w:rsidR="009873D9">
              <w:rPr>
                <w:webHidden/>
              </w:rPr>
            </w:r>
            <w:r w:rsidR="009873D9">
              <w:rPr>
                <w:webHidden/>
              </w:rPr>
              <w:fldChar w:fldCharType="separate"/>
            </w:r>
            <w:r w:rsidR="009873D9">
              <w:rPr>
                <w:webHidden/>
              </w:rPr>
              <w:t>55</w:t>
            </w:r>
            <w:r w:rsidR="009873D9">
              <w:rPr>
                <w:webHidden/>
              </w:rPr>
              <w:fldChar w:fldCharType="end"/>
            </w:r>
          </w:hyperlink>
        </w:p>
        <w:p w14:paraId="11E64845" w14:textId="0B1C3AA8" w:rsidR="009873D9" w:rsidRDefault="00A97DAC" w:rsidP="00804C84">
          <w:pPr>
            <w:pStyle w:val="TOC2"/>
            <w:tabs>
              <w:tab w:val="left" w:pos="8505"/>
            </w:tabs>
            <w:ind w:right="0"/>
            <w:rPr>
              <w:rFonts w:asciiTheme="minorHAnsi" w:eastAsiaTheme="minorEastAsia" w:hAnsiTheme="minorHAnsi" w:cstheme="minorBidi"/>
              <w:szCs w:val="22"/>
            </w:rPr>
          </w:pPr>
          <w:hyperlink w:anchor="_Toc80348286" w:history="1">
            <w:r w:rsidR="009873D9" w:rsidRPr="00FE6544">
              <w:rPr>
                <w:rStyle w:val="Hyperlink"/>
              </w:rPr>
              <w:t>5.2A</w:t>
            </w:r>
            <w:r w:rsidR="009873D9">
              <w:rPr>
                <w:rFonts w:asciiTheme="minorHAnsi" w:eastAsiaTheme="minorEastAsia" w:hAnsiTheme="minorHAnsi" w:cstheme="minorBidi"/>
                <w:szCs w:val="22"/>
              </w:rPr>
              <w:tab/>
            </w:r>
            <w:r w:rsidR="009873D9" w:rsidRPr="00FE6544">
              <w:rPr>
                <w:rStyle w:val="Hyperlink"/>
              </w:rPr>
              <w:t>Relative Value Units</w:t>
            </w:r>
            <w:r w:rsidR="009873D9">
              <w:rPr>
                <w:webHidden/>
              </w:rPr>
              <w:tab/>
            </w:r>
            <w:r w:rsidR="009873D9">
              <w:rPr>
                <w:webHidden/>
              </w:rPr>
              <w:fldChar w:fldCharType="begin"/>
            </w:r>
            <w:r w:rsidR="009873D9">
              <w:rPr>
                <w:webHidden/>
              </w:rPr>
              <w:instrText xml:space="preserve"> PAGEREF _Toc80348286 \h </w:instrText>
            </w:r>
            <w:r w:rsidR="009873D9">
              <w:rPr>
                <w:webHidden/>
              </w:rPr>
            </w:r>
            <w:r w:rsidR="009873D9">
              <w:rPr>
                <w:webHidden/>
              </w:rPr>
              <w:fldChar w:fldCharType="separate"/>
            </w:r>
            <w:r w:rsidR="009873D9">
              <w:rPr>
                <w:webHidden/>
              </w:rPr>
              <w:t>55</w:t>
            </w:r>
            <w:r w:rsidR="009873D9">
              <w:rPr>
                <w:webHidden/>
              </w:rPr>
              <w:fldChar w:fldCharType="end"/>
            </w:r>
          </w:hyperlink>
        </w:p>
        <w:p w14:paraId="4A6F3610" w14:textId="7BF0FF19" w:rsidR="009873D9" w:rsidRDefault="00A97DAC" w:rsidP="00804C84">
          <w:pPr>
            <w:pStyle w:val="TOC2"/>
            <w:tabs>
              <w:tab w:val="left" w:pos="8505"/>
            </w:tabs>
            <w:ind w:right="0"/>
            <w:rPr>
              <w:rFonts w:asciiTheme="minorHAnsi" w:eastAsiaTheme="minorEastAsia" w:hAnsiTheme="minorHAnsi" w:cstheme="minorBidi"/>
              <w:szCs w:val="22"/>
            </w:rPr>
          </w:pPr>
          <w:hyperlink w:anchor="_Toc80348287" w:history="1">
            <w:r w:rsidR="009873D9" w:rsidRPr="00FE6544">
              <w:rPr>
                <w:rStyle w:val="Hyperlink"/>
              </w:rPr>
              <w:t>5.2B</w:t>
            </w:r>
            <w:r w:rsidR="009873D9">
              <w:rPr>
                <w:rFonts w:asciiTheme="minorHAnsi" w:eastAsiaTheme="minorEastAsia" w:hAnsiTheme="minorHAnsi" w:cstheme="minorBidi"/>
                <w:szCs w:val="22"/>
              </w:rPr>
              <w:tab/>
            </w:r>
            <w:r w:rsidR="009873D9" w:rsidRPr="00FE6544">
              <w:rPr>
                <w:rStyle w:val="Hyperlink"/>
              </w:rPr>
              <w:t>Order Request Point</w:t>
            </w:r>
            <w:r w:rsidR="009873D9">
              <w:rPr>
                <w:webHidden/>
              </w:rPr>
              <w:tab/>
            </w:r>
            <w:r w:rsidR="009873D9">
              <w:rPr>
                <w:webHidden/>
              </w:rPr>
              <w:fldChar w:fldCharType="begin"/>
            </w:r>
            <w:r w:rsidR="009873D9">
              <w:rPr>
                <w:webHidden/>
              </w:rPr>
              <w:instrText xml:space="preserve"> PAGEREF _Toc80348287 \h </w:instrText>
            </w:r>
            <w:r w:rsidR="009873D9">
              <w:rPr>
                <w:webHidden/>
              </w:rPr>
            </w:r>
            <w:r w:rsidR="009873D9">
              <w:rPr>
                <w:webHidden/>
              </w:rPr>
              <w:fldChar w:fldCharType="separate"/>
            </w:r>
            <w:r w:rsidR="009873D9">
              <w:rPr>
                <w:webHidden/>
              </w:rPr>
              <w:t>61</w:t>
            </w:r>
            <w:r w:rsidR="009873D9">
              <w:rPr>
                <w:webHidden/>
              </w:rPr>
              <w:fldChar w:fldCharType="end"/>
            </w:r>
          </w:hyperlink>
        </w:p>
        <w:p w14:paraId="2779EA17" w14:textId="34B59F27" w:rsidR="009873D9" w:rsidRDefault="00A97DAC" w:rsidP="00804C84">
          <w:pPr>
            <w:pStyle w:val="TOC1"/>
            <w:tabs>
              <w:tab w:val="clear" w:pos="8364"/>
              <w:tab w:val="left" w:pos="8505"/>
            </w:tabs>
            <w:rPr>
              <w:rFonts w:asciiTheme="minorHAnsi" w:eastAsiaTheme="minorEastAsia" w:hAnsiTheme="minorHAnsi" w:cstheme="minorBidi"/>
              <w:szCs w:val="22"/>
            </w:rPr>
          </w:pPr>
          <w:hyperlink w:anchor="_Toc80348288" w:history="1">
            <w:r w:rsidR="009873D9" w:rsidRPr="00FE6544">
              <w:rPr>
                <w:rStyle w:val="Hyperlink"/>
                <w:lang w:eastAsia="ja-JP"/>
              </w:rPr>
              <w:t>Stage 6: Review and Reconcile</w:t>
            </w:r>
            <w:r w:rsidR="009873D9">
              <w:rPr>
                <w:webHidden/>
              </w:rPr>
              <w:tab/>
            </w:r>
            <w:r w:rsidR="009873D9">
              <w:rPr>
                <w:webHidden/>
              </w:rPr>
              <w:fldChar w:fldCharType="begin"/>
            </w:r>
            <w:r w:rsidR="009873D9">
              <w:rPr>
                <w:webHidden/>
              </w:rPr>
              <w:instrText xml:space="preserve"> PAGEREF _Toc80348288 \h </w:instrText>
            </w:r>
            <w:r w:rsidR="009873D9">
              <w:rPr>
                <w:webHidden/>
              </w:rPr>
            </w:r>
            <w:r w:rsidR="009873D9">
              <w:rPr>
                <w:webHidden/>
              </w:rPr>
              <w:fldChar w:fldCharType="separate"/>
            </w:r>
            <w:r w:rsidR="009873D9">
              <w:rPr>
                <w:webHidden/>
              </w:rPr>
              <w:t>62</w:t>
            </w:r>
            <w:r w:rsidR="009873D9">
              <w:rPr>
                <w:webHidden/>
              </w:rPr>
              <w:fldChar w:fldCharType="end"/>
            </w:r>
          </w:hyperlink>
        </w:p>
        <w:p w14:paraId="0B164BE0" w14:textId="14C03481" w:rsidR="009873D9" w:rsidRDefault="00A97DAC" w:rsidP="00804C84">
          <w:pPr>
            <w:pStyle w:val="TOC2"/>
            <w:tabs>
              <w:tab w:val="left" w:pos="8505"/>
            </w:tabs>
            <w:ind w:right="0"/>
            <w:rPr>
              <w:rFonts w:asciiTheme="minorHAnsi" w:eastAsiaTheme="minorEastAsia" w:hAnsiTheme="minorHAnsi" w:cstheme="minorBidi"/>
              <w:szCs w:val="22"/>
            </w:rPr>
          </w:pPr>
          <w:hyperlink w:anchor="_Toc80348289" w:history="1">
            <w:r w:rsidR="009873D9" w:rsidRPr="00FE6544">
              <w:rPr>
                <w:rStyle w:val="Hyperlink"/>
              </w:rPr>
              <w:t xml:space="preserve">6.0 </w:t>
            </w:r>
            <w:r>
              <w:rPr>
                <w:rStyle w:val="Hyperlink"/>
              </w:rPr>
              <w:t xml:space="preserve">        </w:t>
            </w:r>
            <w:bookmarkStart w:id="6" w:name="_GoBack"/>
            <w:bookmarkEnd w:id="6"/>
            <w:r w:rsidR="009873D9" w:rsidRPr="00FE6544">
              <w:rPr>
                <w:rStyle w:val="Hyperlink"/>
              </w:rPr>
              <w:t>Review and Reconcile</w:t>
            </w:r>
            <w:r w:rsidR="009873D9">
              <w:rPr>
                <w:webHidden/>
              </w:rPr>
              <w:tab/>
            </w:r>
            <w:r w:rsidR="009873D9">
              <w:rPr>
                <w:webHidden/>
              </w:rPr>
              <w:fldChar w:fldCharType="begin"/>
            </w:r>
            <w:r w:rsidR="009873D9">
              <w:rPr>
                <w:webHidden/>
              </w:rPr>
              <w:instrText xml:space="preserve"> PAGEREF _Toc80348289 \h </w:instrText>
            </w:r>
            <w:r w:rsidR="009873D9">
              <w:rPr>
                <w:webHidden/>
              </w:rPr>
            </w:r>
            <w:r w:rsidR="009873D9">
              <w:rPr>
                <w:webHidden/>
              </w:rPr>
              <w:fldChar w:fldCharType="separate"/>
            </w:r>
            <w:r w:rsidR="009873D9">
              <w:rPr>
                <w:webHidden/>
              </w:rPr>
              <w:t>63</w:t>
            </w:r>
            <w:r w:rsidR="009873D9">
              <w:rPr>
                <w:webHidden/>
              </w:rPr>
              <w:fldChar w:fldCharType="end"/>
            </w:r>
          </w:hyperlink>
        </w:p>
        <w:p w14:paraId="716989D8" w14:textId="7912891E" w:rsidR="009873D9" w:rsidRDefault="00A97DAC" w:rsidP="00804C84">
          <w:pPr>
            <w:pStyle w:val="TOC2"/>
            <w:tabs>
              <w:tab w:val="left" w:pos="8505"/>
            </w:tabs>
            <w:ind w:right="0"/>
            <w:rPr>
              <w:rFonts w:asciiTheme="minorHAnsi" w:eastAsiaTheme="minorEastAsia" w:hAnsiTheme="minorHAnsi" w:cstheme="minorBidi"/>
              <w:szCs w:val="22"/>
            </w:rPr>
          </w:pPr>
          <w:hyperlink w:anchor="_Toc80348290" w:history="1">
            <w:r w:rsidR="009873D9" w:rsidRPr="00FE6544">
              <w:rPr>
                <w:rStyle w:val="Hyperlink"/>
              </w:rPr>
              <w:t>6.0A</w:t>
            </w:r>
            <w:r w:rsidR="009873D9">
              <w:rPr>
                <w:rFonts w:asciiTheme="minorHAnsi" w:eastAsiaTheme="minorEastAsia" w:hAnsiTheme="minorHAnsi" w:cstheme="minorBidi"/>
                <w:szCs w:val="22"/>
              </w:rPr>
              <w:tab/>
            </w:r>
            <w:r w:rsidR="009873D9" w:rsidRPr="00FE6544">
              <w:rPr>
                <w:rStyle w:val="Hyperlink"/>
              </w:rPr>
              <w:t>Negative Cost</w:t>
            </w:r>
            <w:r w:rsidR="009873D9">
              <w:rPr>
                <w:webHidden/>
              </w:rPr>
              <w:tab/>
            </w:r>
            <w:r w:rsidR="009873D9">
              <w:rPr>
                <w:webHidden/>
              </w:rPr>
              <w:fldChar w:fldCharType="begin"/>
            </w:r>
            <w:r w:rsidR="009873D9">
              <w:rPr>
                <w:webHidden/>
              </w:rPr>
              <w:instrText xml:space="preserve"> PAGEREF _Toc80348290 \h </w:instrText>
            </w:r>
            <w:r w:rsidR="009873D9">
              <w:rPr>
                <w:webHidden/>
              </w:rPr>
            </w:r>
            <w:r w:rsidR="009873D9">
              <w:rPr>
                <w:webHidden/>
              </w:rPr>
              <w:fldChar w:fldCharType="separate"/>
            </w:r>
            <w:r w:rsidR="009873D9">
              <w:rPr>
                <w:webHidden/>
              </w:rPr>
              <w:t>63</w:t>
            </w:r>
            <w:r w:rsidR="009873D9">
              <w:rPr>
                <w:webHidden/>
              </w:rPr>
              <w:fldChar w:fldCharType="end"/>
            </w:r>
          </w:hyperlink>
        </w:p>
        <w:p w14:paraId="78DA0985" w14:textId="543D4594" w:rsidR="009873D9" w:rsidRDefault="00A97DAC" w:rsidP="00804C84">
          <w:pPr>
            <w:pStyle w:val="TOC1"/>
            <w:tabs>
              <w:tab w:val="clear" w:pos="8364"/>
              <w:tab w:val="left" w:pos="8505"/>
            </w:tabs>
            <w:rPr>
              <w:rFonts w:asciiTheme="minorHAnsi" w:eastAsiaTheme="minorEastAsia" w:hAnsiTheme="minorHAnsi" w:cstheme="minorBidi"/>
              <w:szCs w:val="22"/>
            </w:rPr>
          </w:pPr>
          <w:hyperlink w:anchor="_Toc80348291" w:history="1">
            <w:r w:rsidR="00342B27">
              <w:rPr>
                <w:rStyle w:val="Hyperlink"/>
              </w:rPr>
              <w:t>Glossary</w:t>
            </w:r>
            <w:r w:rsidR="009873D9">
              <w:rPr>
                <w:webHidden/>
              </w:rPr>
              <w:tab/>
            </w:r>
            <w:r w:rsidR="009873D9">
              <w:rPr>
                <w:webHidden/>
              </w:rPr>
              <w:fldChar w:fldCharType="begin"/>
            </w:r>
            <w:r w:rsidR="009873D9">
              <w:rPr>
                <w:webHidden/>
              </w:rPr>
              <w:instrText xml:space="preserve"> PAGEREF _Toc80348291 \h </w:instrText>
            </w:r>
            <w:r w:rsidR="009873D9">
              <w:rPr>
                <w:webHidden/>
              </w:rPr>
            </w:r>
            <w:r w:rsidR="009873D9">
              <w:rPr>
                <w:webHidden/>
              </w:rPr>
              <w:fldChar w:fldCharType="separate"/>
            </w:r>
            <w:r w:rsidR="009873D9">
              <w:rPr>
                <w:webHidden/>
              </w:rPr>
              <w:t>65</w:t>
            </w:r>
            <w:r w:rsidR="009873D9">
              <w:rPr>
                <w:webHidden/>
              </w:rPr>
              <w:fldChar w:fldCharType="end"/>
            </w:r>
          </w:hyperlink>
        </w:p>
        <w:p w14:paraId="054739F9" w14:textId="3BA126CE" w:rsidR="00E418CF" w:rsidRDefault="00F27A6D" w:rsidP="00804C84">
          <w:pPr>
            <w:numPr>
              <w:ilvl w:val="0"/>
              <w:numId w:val="0"/>
            </w:numPr>
            <w:tabs>
              <w:tab w:val="left" w:pos="8505"/>
            </w:tabs>
          </w:pPr>
          <w:r>
            <w:rPr>
              <w:rFonts w:ascii="Arial Bold" w:hAnsi="Arial Bold"/>
              <w:b/>
              <w:noProof/>
            </w:rPr>
            <w:fldChar w:fldCharType="end"/>
          </w:r>
        </w:p>
      </w:sdtContent>
    </w:sdt>
    <w:p w14:paraId="1887A9A6" w14:textId="77777777" w:rsidR="00600F10" w:rsidRDefault="00600F10" w:rsidP="00F64050">
      <w:pPr>
        <w:pStyle w:val="Heading1"/>
        <w:numPr>
          <w:ilvl w:val="0"/>
          <w:numId w:val="4"/>
        </w:numPr>
      </w:pPr>
      <w:bookmarkStart w:id="7" w:name="_Ref498530837"/>
      <w:r>
        <w:br w:type="page"/>
      </w:r>
      <w:bookmarkEnd w:id="7"/>
    </w:p>
    <w:p w14:paraId="278414E1" w14:textId="77777777" w:rsidR="00DB58FF" w:rsidRPr="00D45B1A" w:rsidRDefault="00DB58FF" w:rsidP="00663250">
      <w:pPr>
        <w:pStyle w:val="Heading1"/>
        <w:numPr>
          <w:ilvl w:val="0"/>
          <w:numId w:val="0"/>
        </w:numPr>
        <w:spacing w:after="480"/>
        <w:rPr>
          <w:lang w:eastAsia="ja-JP"/>
        </w:rPr>
      </w:pPr>
      <w:bookmarkStart w:id="8" w:name="_Toc80348248"/>
      <w:r w:rsidRPr="00D45B1A">
        <w:rPr>
          <w:lang w:eastAsia="ja-JP"/>
        </w:rPr>
        <w:lastRenderedPageBreak/>
        <w:t>Introduction</w:t>
      </w:r>
      <w:bookmarkEnd w:id="8"/>
    </w:p>
    <w:p w14:paraId="1121D1D6" w14:textId="4EA51DB1" w:rsidR="00DB58FF" w:rsidRPr="00804C84" w:rsidRDefault="00DB58FF" w:rsidP="004B0F3D">
      <w:pPr>
        <w:pStyle w:val="Intro"/>
        <w:rPr>
          <w:rStyle w:val="LineNumber"/>
          <w:color w:val="auto"/>
        </w:rPr>
      </w:pPr>
      <w:r w:rsidRPr="00804C84">
        <w:rPr>
          <w:rStyle w:val="LineNumber"/>
          <w:color w:val="auto"/>
        </w:rPr>
        <w:t xml:space="preserve">The purpose of this document is to practically assist costing practitioners to identify and attain all the relevant information for costing purposes both within their organisation and their respective jurisdiction to enable them to adhere to </w:t>
      </w:r>
      <w:r w:rsidR="00A72387" w:rsidRPr="00804C84">
        <w:rPr>
          <w:rStyle w:val="LineNumber"/>
          <w:color w:val="auto"/>
        </w:rPr>
        <w:t>the Australian Hospital Patient Costing Standards (</w:t>
      </w:r>
      <w:r w:rsidRPr="00804C84">
        <w:rPr>
          <w:rStyle w:val="LineNumber"/>
          <w:color w:val="auto"/>
        </w:rPr>
        <w:t>AHPCS</w:t>
      </w:r>
      <w:r w:rsidR="00A72387" w:rsidRPr="00804C84">
        <w:rPr>
          <w:rStyle w:val="LineNumber"/>
          <w:color w:val="auto"/>
        </w:rPr>
        <w:t>)</w:t>
      </w:r>
      <w:r w:rsidRPr="00804C84">
        <w:rPr>
          <w:rStyle w:val="LineNumber"/>
          <w:color w:val="auto"/>
        </w:rPr>
        <w:t xml:space="preserve"> Version 4.</w:t>
      </w:r>
      <w:r w:rsidR="00CC0118" w:rsidRPr="00804C84">
        <w:rPr>
          <w:rStyle w:val="LineNumber"/>
          <w:color w:val="auto"/>
        </w:rPr>
        <w:t>1</w:t>
      </w:r>
      <w:r w:rsidRPr="00804C84">
        <w:rPr>
          <w:rStyle w:val="LineNumber"/>
          <w:color w:val="auto"/>
        </w:rPr>
        <w:t>.</w:t>
      </w:r>
    </w:p>
    <w:p w14:paraId="597BA6E7" w14:textId="77777777" w:rsidR="00BE336B" w:rsidRPr="0071414C" w:rsidRDefault="00D02711" w:rsidP="0071414C">
      <w:pPr>
        <w:numPr>
          <w:ilvl w:val="0"/>
          <w:numId w:val="0"/>
        </w:numPr>
        <w:jc w:val="both"/>
        <w:rPr>
          <w:rFonts w:eastAsia="Calibri"/>
          <w:b/>
          <w:sz w:val="28"/>
          <w:szCs w:val="28"/>
        </w:rPr>
      </w:pPr>
      <w:bookmarkStart w:id="9" w:name="_Toc497920791"/>
      <w:r w:rsidRPr="0071414C">
        <w:rPr>
          <w:rFonts w:eastAsia="Calibri"/>
          <w:b/>
          <w:sz w:val="28"/>
          <w:szCs w:val="28"/>
        </w:rPr>
        <w:t>Structure</w:t>
      </w:r>
      <w:bookmarkEnd w:id="9"/>
    </w:p>
    <w:p w14:paraId="77BED38A" w14:textId="1203983B" w:rsidR="00D02711" w:rsidRPr="00F27A6D" w:rsidRDefault="00BE336B" w:rsidP="00F27A6D">
      <w:pPr>
        <w:numPr>
          <w:ilvl w:val="0"/>
          <w:numId w:val="0"/>
        </w:numPr>
        <w:rPr>
          <w:rFonts w:eastAsia="Calibri"/>
        </w:rPr>
      </w:pPr>
      <w:r w:rsidRPr="00F27A6D">
        <w:rPr>
          <w:rFonts w:eastAsia="Calibri"/>
        </w:rPr>
        <w:t>T</w:t>
      </w:r>
      <w:r w:rsidR="00A72387" w:rsidRPr="00F27A6D">
        <w:rPr>
          <w:rFonts w:eastAsia="Calibri"/>
        </w:rPr>
        <w:t xml:space="preserve">he </w:t>
      </w:r>
      <w:r w:rsidR="00804C84">
        <w:rPr>
          <w:rFonts w:eastAsia="Calibri"/>
        </w:rPr>
        <w:t>AHPCS</w:t>
      </w:r>
      <w:r w:rsidR="00D02711" w:rsidRPr="00F27A6D">
        <w:rPr>
          <w:rFonts w:eastAsia="Calibri"/>
        </w:rPr>
        <w:t xml:space="preserve"> Version 4.</w:t>
      </w:r>
      <w:r w:rsidR="00CC0118">
        <w:rPr>
          <w:rFonts w:eastAsia="Calibri"/>
        </w:rPr>
        <w:t>1</w:t>
      </w:r>
      <w:r w:rsidR="00D02711" w:rsidRPr="00F27A6D">
        <w:rPr>
          <w:rFonts w:eastAsia="Calibri"/>
        </w:rPr>
        <w:t xml:space="preserve"> consists of </w:t>
      </w:r>
      <w:r w:rsidR="00EC6C92">
        <w:rPr>
          <w:rFonts w:eastAsia="Calibri"/>
        </w:rPr>
        <w:t>three</w:t>
      </w:r>
      <w:r w:rsidR="00D02711" w:rsidRPr="00F27A6D">
        <w:rPr>
          <w:rFonts w:eastAsia="Calibri"/>
        </w:rPr>
        <w:t xml:space="preserve"> parts:</w:t>
      </w:r>
    </w:p>
    <w:p w14:paraId="6EC65D5A" w14:textId="77777777" w:rsidR="00D02711" w:rsidRPr="00F27A6D" w:rsidRDefault="00D02711" w:rsidP="00F27A6D">
      <w:pPr>
        <w:numPr>
          <w:ilvl w:val="0"/>
          <w:numId w:val="0"/>
        </w:numPr>
        <w:rPr>
          <w:rFonts w:eastAsia="Calibri"/>
        </w:rPr>
      </w:pPr>
      <w:r w:rsidRPr="00F27A6D">
        <w:rPr>
          <w:rFonts w:eastAsia="Calibri"/>
          <w:b/>
        </w:rPr>
        <w:t>Part 1</w:t>
      </w:r>
      <w:r w:rsidRPr="00F27A6D">
        <w:rPr>
          <w:rFonts w:eastAsia="Calibri"/>
        </w:rPr>
        <w:t>:</w:t>
      </w:r>
      <w:r w:rsidR="00A72387" w:rsidRPr="00F27A6D">
        <w:rPr>
          <w:rFonts w:eastAsia="Calibri"/>
        </w:rPr>
        <w:t xml:space="preserve"> Standards</w:t>
      </w:r>
    </w:p>
    <w:p w14:paraId="4AF8283A" w14:textId="59D92BF1" w:rsidR="00694360" w:rsidRDefault="00D02711" w:rsidP="00F27A6D">
      <w:pPr>
        <w:numPr>
          <w:ilvl w:val="0"/>
          <w:numId w:val="0"/>
        </w:numPr>
        <w:rPr>
          <w:rFonts w:eastAsia="Calibri"/>
        </w:rPr>
      </w:pPr>
      <w:r w:rsidRPr="00F27A6D">
        <w:rPr>
          <w:rFonts w:eastAsia="Calibri"/>
          <w:b/>
        </w:rPr>
        <w:t>Part 2</w:t>
      </w:r>
      <w:r w:rsidRPr="00F27A6D">
        <w:rPr>
          <w:rFonts w:eastAsia="Calibri"/>
        </w:rPr>
        <w:t xml:space="preserve">: </w:t>
      </w:r>
      <w:r w:rsidR="001701AB">
        <w:rPr>
          <w:rFonts w:eastAsia="Calibri"/>
        </w:rPr>
        <w:t xml:space="preserve">Business </w:t>
      </w:r>
      <w:r w:rsidR="00847C95">
        <w:rPr>
          <w:rFonts w:eastAsia="Calibri"/>
        </w:rPr>
        <w:t>R</w:t>
      </w:r>
      <w:r w:rsidR="001701AB">
        <w:rPr>
          <w:rFonts w:eastAsia="Calibri"/>
        </w:rPr>
        <w:t>ules</w:t>
      </w:r>
    </w:p>
    <w:p w14:paraId="2D2C0D84" w14:textId="7B779B55" w:rsidR="00FC2ADF" w:rsidRPr="00F27A6D" w:rsidRDefault="00FC2ADF" w:rsidP="00FC2ADF">
      <w:pPr>
        <w:numPr>
          <w:ilvl w:val="0"/>
          <w:numId w:val="0"/>
        </w:numPr>
        <w:rPr>
          <w:rFonts w:eastAsia="Calibri"/>
        </w:rPr>
      </w:pPr>
      <w:r w:rsidRPr="003918E6">
        <w:rPr>
          <w:rFonts w:eastAsia="Calibri"/>
          <w:b/>
        </w:rPr>
        <w:t>Part 3</w:t>
      </w:r>
      <w:r>
        <w:rPr>
          <w:rFonts w:eastAsia="Calibri"/>
        </w:rPr>
        <w:t xml:space="preserve">: </w:t>
      </w:r>
      <w:r w:rsidR="001701AB">
        <w:rPr>
          <w:rFonts w:eastAsia="Calibri"/>
        </w:rPr>
        <w:t xml:space="preserve">Costing </w:t>
      </w:r>
      <w:r w:rsidR="00847C95">
        <w:rPr>
          <w:rFonts w:eastAsia="Calibri"/>
        </w:rPr>
        <w:t>G</w:t>
      </w:r>
      <w:r w:rsidR="001701AB">
        <w:rPr>
          <w:rFonts w:eastAsia="Calibri"/>
        </w:rPr>
        <w:t>uidelines</w:t>
      </w:r>
    </w:p>
    <w:p w14:paraId="0E0F4FA2" w14:textId="368F0377" w:rsidR="00DB58FF" w:rsidRPr="00F27A6D" w:rsidRDefault="00BE336B" w:rsidP="00F27A6D">
      <w:pPr>
        <w:numPr>
          <w:ilvl w:val="0"/>
          <w:numId w:val="0"/>
        </w:numPr>
        <w:rPr>
          <w:rFonts w:eastAsia="Calibri"/>
        </w:rPr>
      </w:pPr>
      <w:r w:rsidRPr="00F27A6D">
        <w:rPr>
          <w:rFonts w:eastAsia="Calibri"/>
        </w:rPr>
        <w:t xml:space="preserve">This document forms the </w:t>
      </w:r>
      <w:r w:rsidR="001701AB">
        <w:rPr>
          <w:rFonts w:eastAsia="Calibri"/>
        </w:rPr>
        <w:t xml:space="preserve">Business </w:t>
      </w:r>
      <w:r w:rsidR="00847C95">
        <w:rPr>
          <w:rFonts w:eastAsia="Calibri"/>
        </w:rPr>
        <w:t>R</w:t>
      </w:r>
      <w:r w:rsidR="001701AB">
        <w:rPr>
          <w:rFonts w:eastAsia="Calibri"/>
        </w:rPr>
        <w:t>ules</w:t>
      </w:r>
      <w:r w:rsidRPr="00F27A6D">
        <w:rPr>
          <w:rFonts w:eastAsia="Calibri"/>
        </w:rPr>
        <w:t>.</w:t>
      </w:r>
    </w:p>
    <w:p w14:paraId="7C6EA2AF" w14:textId="77777777" w:rsidR="00A72387" w:rsidRDefault="00DB58FF" w:rsidP="00F27A6D">
      <w:pPr>
        <w:pStyle w:val="Heading3"/>
        <w:numPr>
          <w:ilvl w:val="0"/>
          <w:numId w:val="0"/>
        </w:numPr>
        <w:rPr>
          <w:rFonts w:eastAsia="Calibri"/>
        </w:rPr>
      </w:pPr>
      <w:r w:rsidRPr="00D45B1A">
        <w:rPr>
          <w:rFonts w:eastAsia="Calibri"/>
        </w:rPr>
        <w:t>Standards</w:t>
      </w:r>
    </w:p>
    <w:p w14:paraId="3B64138D" w14:textId="22C7E550" w:rsidR="00DB58FF" w:rsidRDefault="00A72387" w:rsidP="00F27A6D">
      <w:pPr>
        <w:numPr>
          <w:ilvl w:val="0"/>
          <w:numId w:val="0"/>
        </w:numPr>
        <w:rPr>
          <w:rFonts w:eastAsia="Calibri"/>
        </w:rPr>
      </w:pPr>
      <w:r>
        <w:rPr>
          <w:rFonts w:eastAsia="Calibri"/>
        </w:rPr>
        <w:t>The Standards</w:t>
      </w:r>
      <w:r w:rsidR="00DB58FF" w:rsidRPr="00D45B1A">
        <w:rPr>
          <w:rFonts w:eastAsia="Calibri"/>
        </w:rPr>
        <w:t xml:space="preserve"> are </w:t>
      </w:r>
      <w:r w:rsidR="0017773E">
        <w:rPr>
          <w:rFonts w:eastAsia="Calibri"/>
        </w:rPr>
        <w:t>overarching principles to support and</w:t>
      </w:r>
      <w:r w:rsidR="00DB58FF" w:rsidRPr="00D45B1A">
        <w:rPr>
          <w:rFonts w:eastAsia="Calibri"/>
        </w:rPr>
        <w:t xml:space="preserve"> to inform each step in the process of patient level and product costing. They are designed to inform the recommended approach to </w:t>
      </w:r>
      <w:r w:rsidR="0017773E">
        <w:rPr>
          <w:rFonts w:eastAsia="Calibri"/>
        </w:rPr>
        <w:t xml:space="preserve">the </w:t>
      </w:r>
      <w:r w:rsidR="00DB58FF" w:rsidRPr="00D45B1A">
        <w:rPr>
          <w:rFonts w:eastAsia="Calibri"/>
        </w:rPr>
        <w:t xml:space="preserve">costing </w:t>
      </w:r>
      <w:r w:rsidR="0017773E">
        <w:rPr>
          <w:rFonts w:eastAsia="Calibri"/>
        </w:rPr>
        <w:t>process</w:t>
      </w:r>
      <w:r w:rsidR="00DB58FF" w:rsidRPr="00D45B1A">
        <w:rPr>
          <w:rFonts w:eastAsia="Calibri"/>
        </w:rPr>
        <w:t xml:space="preserve"> and are not meant to be static. The structure of the Standards is intended to align with the product costing process</w:t>
      </w:r>
      <w:r>
        <w:rPr>
          <w:rFonts w:eastAsia="Calibri"/>
        </w:rPr>
        <w:t>. The Standards</w:t>
      </w:r>
      <w:r w:rsidR="00DB58FF" w:rsidRPr="00D45B1A">
        <w:rPr>
          <w:rFonts w:eastAsia="Calibri"/>
        </w:rPr>
        <w:t xml:space="preserve"> are evolving guidelines that will continue to be updated and improved upon, as processes develop.</w:t>
      </w:r>
    </w:p>
    <w:p w14:paraId="094EEB5B" w14:textId="2784C22D" w:rsidR="00A72387" w:rsidRDefault="001701AB" w:rsidP="00F27A6D">
      <w:pPr>
        <w:pStyle w:val="Heading3"/>
        <w:numPr>
          <w:ilvl w:val="0"/>
          <w:numId w:val="0"/>
        </w:numPr>
        <w:rPr>
          <w:rFonts w:eastAsia="Calibri"/>
        </w:rPr>
      </w:pPr>
      <w:r>
        <w:rPr>
          <w:rFonts w:eastAsia="Calibri"/>
        </w:rPr>
        <w:t xml:space="preserve">Business </w:t>
      </w:r>
      <w:r w:rsidR="00847C95">
        <w:rPr>
          <w:rFonts w:eastAsia="Calibri"/>
        </w:rPr>
        <w:t>R</w:t>
      </w:r>
      <w:r>
        <w:rPr>
          <w:rFonts w:eastAsia="Calibri"/>
        </w:rPr>
        <w:t>ules</w:t>
      </w:r>
    </w:p>
    <w:p w14:paraId="33A7C173" w14:textId="2B19F8F0" w:rsidR="00DB58FF" w:rsidRPr="00D45B1A" w:rsidRDefault="00A72387" w:rsidP="00F27A6D">
      <w:pPr>
        <w:numPr>
          <w:ilvl w:val="0"/>
          <w:numId w:val="0"/>
        </w:numPr>
        <w:rPr>
          <w:rFonts w:eastAsia="Calibri"/>
        </w:rPr>
      </w:pPr>
      <w:r>
        <w:rPr>
          <w:rFonts w:eastAsia="Calibri"/>
        </w:rPr>
        <w:t xml:space="preserve">The </w:t>
      </w:r>
      <w:r w:rsidR="001701AB">
        <w:rPr>
          <w:rFonts w:eastAsia="Calibri"/>
        </w:rPr>
        <w:t xml:space="preserve">Business </w:t>
      </w:r>
      <w:r w:rsidR="00847C95">
        <w:rPr>
          <w:rFonts w:eastAsia="Calibri"/>
        </w:rPr>
        <w:t>R</w:t>
      </w:r>
      <w:r w:rsidR="001701AB">
        <w:rPr>
          <w:rFonts w:eastAsia="Calibri"/>
        </w:rPr>
        <w:t>ules</w:t>
      </w:r>
      <w:r w:rsidR="00DB58FF" w:rsidRPr="00D45B1A">
        <w:rPr>
          <w:rFonts w:eastAsia="Calibri"/>
        </w:rPr>
        <w:t xml:space="preserve"> provide practical</w:t>
      </w:r>
      <w:r>
        <w:rPr>
          <w:rFonts w:eastAsia="Calibri"/>
        </w:rPr>
        <w:t xml:space="preserve"> or detailed guidance on how a S</w:t>
      </w:r>
      <w:r w:rsidR="00DB58FF" w:rsidRPr="00D45B1A">
        <w:rPr>
          <w:rFonts w:eastAsia="Calibri"/>
        </w:rPr>
        <w:t>tandard can be translated into action. They have been written from a costing practitioner’s perspective and take into account the practical and operational constraints faced by costing practitioners within their organisation when seeking to address the AHPCS Version 4.</w:t>
      </w:r>
      <w:r w:rsidR="00CC0118">
        <w:rPr>
          <w:rFonts w:eastAsia="Calibri"/>
        </w:rPr>
        <w:t>1</w:t>
      </w:r>
      <w:r w:rsidR="00DB58FF" w:rsidRPr="00D45B1A">
        <w:rPr>
          <w:rFonts w:eastAsia="Calibri"/>
        </w:rPr>
        <w:t>. They provide information requirements, definitions, and more detailed information to assist with the costing of more complex services.</w:t>
      </w:r>
    </w:p>
    <w:p w14:paraId="45B525E1" w14:textId="43D8DF68" w:rsidR="00DB58FF" w:rsidRPr="00D45B1A" w:rsidRDefault="00DB58FF" w:rsidP="00F27A6D">
      <w:pPr>
        <w:numPr>
          <w:ilvl w:val="0"/>
          <w:numId w:val="0"/>
        </w:numPr>
        <w:rPr>
          <w:rFonts w:eastAsia="Calibri"/>
        </w:rPr>
      </w:pPr>
      <w:r w:rsidRPr="00D45B1A">
        <w:rPr>
          <w:rFonts w:eastAsia="Calibri"/>
        </w:rPr>
        <w:t xml:space="preserve">These </w:t>
      </w:r>
      <w:r w:rsidR="001701AB">
        <w:rPr>
          <w:rFonts w:eastAsia="Calibri"/>
        </w:rPr>
        <w:t xml:space="preserve">Business </w:t>
      </w:r>
      <w:r w:rsidR="00847C95">
        <w:rPr>
          <w:rFonts w:eastAsia="Calibri"/>
        </w:rPr>
        <w:t>R</w:t>
      </w:r>
      <w:r w:rsidR="001701AB">
        <w:rPr>
          <w:rFonts w:eastAsia="Calibri"/>
        </w:rPr>
        <w:t>ules</w:t>
      </w:r>
      <w:r w:rsidRPr="00D45B1A">
        <w:rPr>
          <w:rFonts w:eastAsia="Calibri"/>
        </w:rPr>
        <w:t xml:space="preserve"> follow the costing process from the general ledger through to the final reconciliation of audited accounts and other information sources used in the costing process, such as feeder systems.</w:t>
      </w:r>
    </w:p>
    <w:p w14:paraId="517AFF0E" w14:textId="71FF8234" w:rsidR="009B44D6" w:rsidRDefault="001701AB" w:rsidP="00F27A6D">
      <w:pPr>
        <w:pStyle w:val="Heading3"/>
        <w:numPr>
          <w:ilvl w:val="0"/>
          <w:numId w:val="0"/>
        </w:numPr>
        <w:rPr>
          <w:rFonts w:eastAsia="Calibri"/>
        </w:rPr>
      </w:pPr>
      <w:r>
        <w:rPr>
          <w:rFonts w:eastAsia="Calibri"/>
        </w:rPr>
        <w:t xml:space="preserve">Costing </w:t>
      </w:r>
      <w:r w:rsidR="00847C95">
        <w:rPr>
          <w:rFonts w:eastAsia="Calibri"/>
        </w:rPr>
        <w:t>G</w:t>
      </w:r>
      <w:r>
        <w:rPr>
          <w:rFonts w:eastAsia="Calibri"/>
        </w:rPr>
        <w:t>uidelines</w:t>
      </w:r>
    </w:p>
    <w:p w14:paraId="76979F83" w14:textId="3CCA9AB3" w:rsidR="00DB58FF" w:rsidRPr="00D45B1A" w:rsidRDefault="001701AB" w:rsidP="00F27A6D">
      <w:pPr>
        <w:numPr>
          <w:ilvl w:val="0"/>
          <w:numId w:val="0"/>
        </w:numPr>
        <w:rPr>
          <w:rFonts w:eastAsia="Calibri"/>
        </w:rPr>
      </w:pPr>
      <w:r>
        <w:rPr>
          <w:rFonts w:eastAsia="Calibri"/>
        </w:rPr>
        <w:t xml:space="preserve">Costing </w:t>
      </w:r>
      <w:r w:rsidR="00847C95">
        <w:rPr>
          <w:rFonts w:eastAsia="Calibri"/>
        </w:rPr>
        <w:t>G</w:t>
      </w:r>
      <w:r>
        <w:rPr>
          <w:rFonts w:eastAsia="Calibri"/>
        </w:rPr>
        <w:t>uidelines</w:t>
      </w:r>
      <w:r w:rsidR="00DB58FF" w:rsidRPr="00D45B1A">
        <w:rPr>
          <w:rFonts w:eastAsia="Calibri"/>
        </w:rPr>
        <w:t xml:space="preserve"> ha</w:t>
      </w:r>
      <w:r w:rsidR="009B44D6">
        <w:rPr>
          <w:rFonts w:eastAsia="Calibri"/>
        </w:rPr>
        <w:t>ve</w:t>
      </w:r>
      <w:r w:rsidR="00DB58FF" w:rsidRPr="00D45B1A">
        <w:rPr>
          <w:rFonts w:eastAsia="Calibri"/>
        </w:rPr>
        <w:t xml:space="preserve"> been developed to guide costing practitioners</w:t>
      </w:r>
      <w:r w:rsidR="00D93ADE">
        <w:rPr>
          <w:rFonts w:eastAsia="Calibri"/>
        </w:rPr>
        <w:t xml:space="preserve"> and other</w:t>
      </w:r>
      <w:r w:rsidR="00485C8E">
        <w:rPr>
          <w:rFonts w:eastAsia="Calibri"/>
        </w:rPr>
        <w:t xml:space="preserve"> relevant</w:t>
      </w:r>
      <w:r w:rsidR="00D93ADE">
        <w:rPr>
          <w:rFonts w:eastAsia="Calibri"/>
        </w:rPr>
        <w:t xml:space="preserve"> stakeholders</w:t>
      </w:r>
      <w:r w:rsidR="00DB58FF" w:rsidRPr="00D45B1A">
        <w:rPr>
          <w:rFonts w:eastAsia="Calibri"/>
        </w:rPr>
        <w:t xml:space="preserve"> on how to cost various services within their hospital. </w:t>
      </w:r>
      <w:r w:rsidR="009B44D6">
        <w:rPr>
          <w:rFonts w:eastAsia="Calibri"/>
        </w:rPr>
        <w:t xml:space="preserve">These </w:t>
      </w:r>
      <w:r>
        <w:rPr>
          <w:rFonts w:eastAsia="Calibri"/>
        </w:rPr>
        <w:t>guidelines</w:t>
      </w:r>
      <w:r w:rsidR="009B44D6">
        <w:rPr>
          <w:rFonts w:eastAsia="Calibri"/>
        </w:rPr>
        <w:t xml:space="preserve"> </w:t>
      </w:r>
      <w:r w:rsidR="00DB58FF" w:rsidRPr="00D45B1A">
        <w:rPr>
          <w:rFonts w:eastAsia="Calibri"/>
        </w:rPr>
        <w:t xml:space="preserve">demonstrate the practical consolidated steps to be undertaken by </w:t>
      </w:r>
      <w:r w:rsidR="00954041">
        <w:rPr>
          <w:rFonts w:eastAsia="Calibri"/>
        </w:rPr>
        <w:t>all relevant stakeholders</w:t>
      </w:r>
      <w:r w:rsidR="00DB58FF" w:rsidRPr="00D45B1A">
        <w:rPr>
          <w:rFonts w:eastAsia="Calibri"/>
        </w:rPr>
        <w:t xml:space="preserve"> to address the relevant </w:t>
      </w:r>
      <w:r>
        <w:rPr>
          <w:rFonts w:eastAsia="Calibri"/>
        </w:rPr>
        <w:t xml:space="preserve">Business </w:t>
      </w:r>
      <w:r w:rsidR="00847C95">
        <w:rPr>
          <w:rFonts w:eastAsia="Calibri"/>
        </w:rPr>
        <w:t>R</w:t>
      </w:r>
      <w:r>
        <w:rPr>
          <w:rFonts w:eastAsia="Calibri"/>
        </w:rPr>
        <w:t>ules</w:t>
      </w:r>
      <w:r w:rsidR="00DB58FF" w:rsidRPr="00D45B1A">
        <w:rPr>
          <w:rFonts w:eastAsia="Calibri"/>
        </w:rPr>
        <w:t xml:space="preserve"> within each stage to best demonstrate adherence to the </w:t>
      </w:r>
      <w:r w:rsidR="000A553A">
        <w:rPr>
          <w:rFonts w:eastAsia="Calibri"/>
        </w:rPr>
        <w:t>S</w:t>
      </w:r>
      <w:r w:rsidR="000A553A" w:rsidRPr="00D45B1A">
        <w:rPr>
          <w:rFonts w:eastAsia="Calibri"/>
        </w:rPr>
        <w:t>tandards</w:t>
      </w:r>
      <w:r w:rsidR="00DB58FF" w:rsidRPr="00D45B1A">
        <w:rPr>
          <w:rFonts w:eastAsia="Calibri"/>
        </w:rPr>
        <w:t xml:space="preserve">. </w:t>
      </w:r>
    </w:p>
    <w:p w14:paraId="31CF6638" w14:textId="0E0D3D0B" w:rsidR="00DB58FF" w:rsidRPr="00D45B1A" w:rsidRDefault="009B44D6" w:rsidP="00F27A6D">
      <w:pPr>
        <w:numPr>
          <w:ilvl w:val="0"/>
          <w:numId w:val="0"/>
        </w:numPr>
        <w:rPr>
          <w:rFonts w:eastAsia="Calibri"/>
        </w:rPr>
      </w:pPr>
      <w:r>
        <w:rPr>
          <w:rFonts w:eastAsia="Calibri"/>
        </w:rPr>
        <w:t>The</w:t>
      </w:r>
      <w:r w:rsidR="001701AB">
        <w:rPr>
          <w:rFonts w:eastAsia="Calibri"/>
        </w:rPr>
        <w:t xml:space="preserve"> guidelines</w:t>
      </w:r>
      <w:r w:rsidR="00DB58FF" w:rsidRPr="00D45B1A">
        <w:rPr>
          <w:rFonts w:eastAsia="Calibri"/>
        </w:rPr>
        <w:t xml:space="preserve"> do not</w:t>
      </w:r>
      <w:r w:rsidR="0017773E">
        <w:rPr>
          <w:rFonts w:eastAsia="Calibri"/>
        </w:rPr>
        <w:t xml:space="preserve"> purport</w:t>
      </w:r>
      <w:r w:rsidR="00DB58FF" w:rsidRPr="00D45B1A">
        <w:rPr>
          <w:rFonts w:eastAsia="Calibri"/>
        </w:rPr>
        <w:t xml:space="preserve"> to include all hospital </w:t>
      </w:r>
      <w:r w:rsidR="00702703" w:rsidRPr="00D45B1A">
        <w:rPr>
          <w:rFonts w:eastAsia="Calibri"/>
        </w:rPr>
        <w:t>services but</w:t>
      </w:r>
      <w:r w:rsidR="00DB58FF" w:rsidRPr="00D45B1A">
        <w:rPr>
          <w:rFonts w:eastAsia="Calibri"/>
        </w:rPr>
        <w:t xml:space="preserve"> have been developed to demonstrate to costing practitioners the practical end to end steps of costing for specific services raised within the Australian context over a 20-year period.</w:t>
      </w:r>
    </w:p>
    <w:p w14:paraId="7FB26961" w14:textId="77777777" w:rsidR="00A13556" w:rsidRDefault="00A13556">
      <w:pPr>
        <w:numPr>
          <w:ilvl w:val="0"/>
          <w:numId w:val="0"/>
        </w:numPr>
        <w:spacing w:before="0" w:after="0" w:line="240" w:lineRule="auto"/>
        <w:rPr>
          <w:rFonts w:eastAsia="Calibri"/>
          <w:b/>
          <w:sz w:val="28"/>
          <w:szCs w:val="28"/>
        </w:rPr>
      </w:pPr>
      <w:bookmarkStart w:id="10" w:name="_Toc497920792"/>
      <w:r>
        <w:rPr>
          <w:rFonts w:eastAsia="Calibri"/>
          <w:b/>
          <w:sz w:val="28"/>
          <w:szCs w:val="28"/>
        </w:rPr>
        <w:br w:type="page"/>
      </w:r>
    </w:p>
    <w:p w14:paraId="68C92AEC" w14:textId="6B9CF6BC" w:rsidR="00F26345" w:rsidRPr="0071414C" w:rsidRDefault="00F26345" w:rsidP="007125E1">
      <w:pPr>
        <w:keepNext/>
        <w:keepLines/>
        <w:numPr>
          <w:ilvl w:val="0"/>
          <w:numId w:val="0"/>
        </w:numPr>
        <w:jc w:val="both"/>
        <w:rPr>
          <w:rFonts w:eastAsia="Calibri"/>
          <w:b/>
          <w:sz w:val="28"/>
          <w:szCs w:val="28"/>
        </w:rPr>
      </w:pPr>
      <w:r w:rsidRPr="0071414C">
        <w:rPr>
          <w:rFonts w:eastAsia="Calibri"/>
          <w:b/>
          <w:sz w:val="28"/>
          <w:szCs w:val="28"/>
        </w:rPr>
        <w:lastRenderedPageBreak/>
        <w:t>Guide to using this document</w:t>
      </w:r>
      <w:bookmarkEnd w:id="10"/>
    </w:p>
    <w:p w14:paraId="0880935A" w14:textId="77777777" w:rsidR="00F26345" w:rsidRPr="00D02711" w:rsidRDefault="00F26345" w:rsidP="00F27A6D">
      <w:pPr>
        <w:pStyle w:val="Heading3"/>
        <w:numPr>
          <w:ilvl w:val="0"/>
          <w:numId w:val="0"/>
        </w:numPr>
        <w:rPr>
          <w:rFonts w:eastAsia="Calibri"/>
        </w:rPr>
      </w:pPr>
      <w:r w:rsidRPr="00D02711">
        <w:rPr>
          <w:rFonts w:eastAsia="Calibri"/>
        </w:rPr>
        <w:t>Stages</w:t>
      </w:r>
    </w:p>
    <w:p w14:paraId="47A1A196" w14:textId="2CEB88D8" w:rsidR="00F26345" w:rsidRPr="00D45B1A" w:rsidRDefault="00F26345" w:rsidP="00F27A6D">
      <w:pPr>
        <w:numPr>
          <w:ilvl w:val="0"/>
          <w:numId w:val="0"/>
        </w:numPr>
        <w:rPr>
          <w:rFonts w:eastAsia="Calibri"/>
        </w:rPr>
      </w:pPr>
      <w:r>
        <w:rPr>
          <w:rFonts w:eastAsia="Calibri"/>
        </w:rPr>
        <w:t>The S</w:t>
      </w:r>
      <w:r w:rsidRPr="00D45B1A">
        <w:rPr>
          <w:rFonts w:eastAsia="Calibri"/>
        </w:rPr>
        <w:t>tandards</w:t>
      </w:r>
      <w:r>
        <w:rPr>
          <w:rFonts w:eastAsia="Calibri"/>
        </w:rPr>
        <w:t xml:space="preserve"> and </w:t>
      </w:r>
      <w:r w:rsidR="001701AB">
        <w:rPr>
          <w:rFonts w:eastAsia="Calibri"/>
        </w:rPr>
        <w:t xml:space="preserve">Business </w:t>
      </w:r>
      <w:r w:rsidR="00847C95">
        <w:rPr>
          <w:rFonts w:eastAsia="Calibri"/>
        </w:rPr>
        <w:t>R</w:t>
      </w:r>
      <w:r w:rsidR="001701AB">
        <w:rPr>
          <w:rFonts w:eastAsia="Calibri"/>
        </w:rPr>
        <w:t>ules</w:t>
      </w:r>
      <w:r w:rsidRPr="00D45B1A">
        <w:rPr>
          <w:rFonts w:eastAsia="Calibri"/>
        </w:rPr>
        <w:t xml:space="preserve"> </w:t>
      </w:r>
      <w:r>
        <w:rPr>
          <w:rFonts w:eastAsia="Calibri"/>
        </w:rPr>
        <w:t>are</w:t>
      </w:r>
      <w:r w:rsidRPr="00D45B1A">
        <w:rPr>
          <w:rFonts w:eastAsia="Calibri"/>
        </w:rPr>
        <w:t xml:space="preserve"> grouped under the following costing process stages.</w:t>
      </w:r>
    </w:p>
    <w:p w14:paraId="1EC0D2AF" w14:textId="7C7463D7" w:rsidR="00F26345" w:rsidRPr="00DB58FF" w:rsidRDefault="00804C84" w:rsidP="00631701">
      <w:pPr>
        <w:pStyle w:val="ListParagraph"/>
        <w:numPr>
          <w:ilvl w:val="0"/>
          <w:numId w:val="6"/>
        </w:numPr>
        <w:spacing w:before="0"/>
        <w:ind w:left="992" w:hanging="992"/>
        <w:rPr>
          <w:rFonts w:eastAsia="Calibri"/>
        </w:rPr>
      </w:pPr>
      <w:bookmarkStart w:id="11" w:name="_Ref498530775"/>
      <w:r>
        <w:rPr>
          <w:rFonts w:eastAsia="Calibri"/>
        </w:rPr>
        <w:t>Identify Relevant E</w:t>
      </w:r>
      <w:r w:rsidR="001701AB">
        <w:rPr>
          <w:rFonts w:eastAsia="Calibri"/>
        </w:rPr>
        <w:t>xpenses</w:t>
      </w:r>
      <w:bookmarkEnd w:id="11"/>
      <w:r w:rsidR="00DB13AE" w:rsidRPr="00DB58FF">
        <w:rPr>
          <w:rFonts w:eastAsia="Calibri"/>
        </w:rPr>
        <w:t xml:space="preserve"> </w:t>
      </w:r>
    </w:p>
    <w:p w14:paraId="665F3939" w14:textId="1FA20719" w:rsidR="00F26345" w:rsidRPr="00DB58FF" w:rsidRDefault="00804C84" w:rsidP="00631701">
      <w:pPr>
        <w:pStyle w:val="ListParagraph"/>
        <w:numPr>
          <w:ilvl w:val="0"/>
          <w:numId w:val="6"/>
        </w:numPr>
        <w:spacing w:before="0"/>
        <w:ind w:left="992" w:hanging="992"/>
        <w:rPr>
          <w:rFonts w:eastAsia="Calibri"/>
        </w:rPr>
      </w:pPr>
      <w:bookmarkStart w:id="12" w:name="_Ref498530776"/>
      <w:r>
        <w:rPr>
          <w:rFonts w:eastAsia="Calibri"/>
        </w:rPr>
        <w:t>Create the Cost L</w:t>
      </w:r>
      <w:r w:rsidR="001701AB">
        <w:rPr>
          <w:rFonts w:eastAsia="Calibri"/>
        </w:rPr>
        <w:t>edger</w:t>
      </w:r>
      <w:bookmarkEnd w:id="12"/>
      <w:r w:rsidR="00DB13AE" w:rsidRPr="00DB58FF">
        <w:rPr>
          <w:rFonts w:eastAsia="Calibri"/>
        </w:rPr>
        <w:t xml:space="preserve"> </w:t>
      </w:r>
    </w:p>
    <w:p w14:paraId="3A13E250" w14:textId="6A3A5EFC" w:rsidR="00DE5973" w:rsidRPr="00DB58FF" w:rsidRDefault="00804C84" w:rsidP="00631701">
      <w:pPr>
        <w:pStyle w:val="ListParagraph"/>
        <w:numPr>
          <w:ilvl w:val="0"/>
          <w:numId w:val="6"/>
        </w:numPr>
        <w:spacing w:before="0"/>
        <w:ind w:left="992" w:hanging="992"/>
        <w:rPr>
          <w:rFonts w:eastAsia="Calibri"/>
        </w:rPr>
      </w:pPr>
      <w:bookmarkStart w:id="13" w:name="_Ref498530899"/>
      <w:bookmarkStart w:id="14" w:name="_Ref493238222"/>
      <w:r>
        <w:rPr>
          <w:rFonts w:eastAsia="Calibri"/>
        </w:rPr>
        <w:t>Create Final Cost C</w:t>
      </w:r>
      <w:r w:rsidR="001701AB">
        <w:rPr>
          <w:rFonts w:eastAsia="Calibri"/>
        </w:rPr>
        <w:t>entres</w:t>
      </w:r>
      <w:bookmarkEnd w:id="13"/>
      <w:r w:rsidR="00DE5973" w:rsidRPr="00DB58FF">
        <w:rPr>
          <w:rFonts w:eastAsia="Calibri"/>
        </w:rPr>
        <w:t xml:space="preserve"> </w:t>
      </w:r>
    </w:p>
    <w:p w14:paraId="6E231BA4" w14:textId="4B93F7F3" w:rsidR="00F26345" w:rsidRPr="00DB58FF" w:rsidRDefault="00804C84" w:rsidP="00631701">
      <w:pPr>
        <w:pStyle w:val="ListParagraph"/>
        <w:numPr>
          <w:ilvl w:val="0"/>
          <w:numId w:val="6"/>
        </w:numPr>
        <w:spacing w:before="0"/>
        <w:ind w:left="992" w:hanging="992"/>
        <w:rPr>
          <w:rFonts w:eastAsia="Calibri"/>
        </w:rPr>
      </w:pPr>
      <w:bookmarkStart w:id="15" w:name="_Ref498530933"/>
      <w:bookmarkEnd w:id="14"/>
      <w:r>
        <w:rPr>
          <w:rFonts w:eastAsia="Calibri"/>
        </w:rPr>
        <w:t>Identify P</w:t>
      </w:r>
      <w:r w:rsidR="001701AB">
        <w:rPr>
          <w:rFonts w:eastAsia="Calibri"/>
        </w:rPr>
        <w:t>roducts</w:t>
      </w:r>
      <w:bookmarkEnd w:id="15"/>
      <w:r w:rsidR="00DB13AE" w:rsidRPr="00DB58FF">
        <w:rPr>
          <w:rFonts w:eastAsia="Calibri"/>
        </w:rPr>
        <w:t xml:space="preserve"> </w:t>
      </w:r>
    </w:p>
    <w:p w14:paraId="14678CE3" w14:textId="37A833FD" w:rsidR="00F26345" w:rsidRPr="00DB58FF" w:rsidRDefault="001701AB" w:rsidP="00631701">
      <w:pPr>
        <w:pStyle w:val="ListParagraph"/>
        <w:numPr>
          <w:ilvl w:val="0"/>
          <w:numId w:val="6"/>
        </w:numPr>
        <w:spacing w:before="0"/>
        <w:ind w:left="992" w:hanging="992"/>
        <w:rPr>
          <w:rFonts w:eastAsia="Calibri"/>
        </w:rPr>
      </w:pPr>
      <w:bookmarkStart w:id="16" w:name="_Ref498530956"/>
      <w:r>
        <w:rPr>
          <w:lang w:eastAsia="ja-JP"/>
        </w:rPr>
        <w:t xml:space="preserve">Assign </w:t>
      </w:r>
      <w:r w:rsidR="00804C84">
        <w:rPr>
          <w:lang w:eastAsia="ja-JP"/>
        </w:rPr>
        <w:t>Expenses to P</w:t>
      </w:r>
      <w:r>
        <w:rPr>
          <w:lang w:eastAsia="ja-JP"/>
        </w:rPr>
        <w:t>roducts</w:t>
      </w:r>
      <w:bookmarkEnd w:id="16"/>
    </w:p>
    <w:p w14:paraId="6394A0C0" w14:textId="7BFEAC8F" w:rsidR="00F26345" w:rsidRDefault="00804C84" w:rsidP="00631701">
      <w:pPr>
        <w:pStyle w:val="ListParagraph"/>
        <w:numPr>
          <w:ilvl w:val="0"/>
          <w:numId w:val="6"/>
        </w:numPr>
        <w:spacing w:before="0"/>
        <w:ind w:left="992" w:hanging="992"/>
        <w:rPr>
          <w:rFonts w:eastAsia="Calibri"/>
        </w:rPr>
      </w:pPr>
      <w:bookmarkStart w:id="17" w:name="_Ref498530780"/>
      <w:r>
        <w:rPr>
          <w:rFonts w:eastAsia="Calibri"/>
        </w:rPr>
        <w:t>Review and R</w:t>
      </w:r>
      <w:r w:rsidR="001701AB">
        <w:rPr>
          <w:rFonts w:eastAsia="Calibri"/>
        </w:rPr>
        <w:t>econcile</w:t>
      </w:r>
      <w:bookmarkEnd w:id="17"/>
    </w:p>
    <w:p w14:paraId="57E7E01B" w14:textId="62ED82A2" w:rsidR="005C2F23" w:rsidRPr="005C2F23" w:rsidRDefault="005C2F23" w:rsidP="00F27A6D">
      <w:pPr>
        <w:numPr>
          <w:ilvl w:val="0"/>
          <w:numId w:val="0"/>
        </w:numPr>
        <w:rPr>
          <w:rFonts w:eastAsia="Calibri"/>
        </w:rPr>
      </w:pPr>
      <w:r w:rsidRPr="005C2F23">
        <w:rPr>
          <w:rFonts w:eastAsia="Calibri"/>
        </w:rPr>
        <w:t xml:space="preserve">At the beginning of each stage there is a description of what is involved within that stage of the costing process, the applicable Standards and </w:t>
      </w:r>
      <w:r w:rsidR="001701AB">
        <w:rPr>
          <w:rFonts w:eastAsia="Calibri"/>
        </w:rPr>
        <w:t xml:space="preserve">Business </w:t>
      </w:r>
      <w:r w:rsidR="00847C95">
        <w:rPr>
          <w:rFonts w:eastAsia="Calibri"/>
        </w:rPr>
        <w:t>R</w:t>
      </w:r>
      <w:r w:rsidR="001701AB">
        <w:rPr>
          <w:rFonts w:eastAsia="Calibri"/>
        </w:rPr>
        <w:t>ules</w:t>
      </w:r>
      <w:r w:rsidRPr="005C2F23">
        <w:rPr>
          <w:rFonts w:eastAsia="Calibri"/>
        </w:rPr>
        <w:t xml:space="preserve"> and a list of documents referenced within the stage.</w:t>
      </w:r>
    </w:p>
    <w:p w14:paraId="758D5D66" w14:textId="331AF03F" w:rsidR="00445A2C" w:rsidRDefault="00445A2C" w:rsidP="00F27A6D">
      <w:pPr>
        <w:pStyle w:val="Heading3"/>
        <w:numPr>
          <w:ilvl w:val="0"/>
          <w:numId w:val="0"/>
        </w:numPr>
        <w:rPr>
          <w:rFonts w:eastAsia="Calibri"/>
        </w:rPr>
      </w:pPr>
      <w:r>
        <w:rPr>
          <w:rFonts w:eastAsia="Calibri"/>
        </w:rPr>
        <w:t xml:space="preserve">Numbering </w:t>
      </w:r>
      <w:r w:rsidR="001701AB">
        <w:rPr>
          <w:rFonts w:eastAsia="Calibri"/>
        </w:rPr>
        <w:t>c</w:t>
      </w:r>
      <w:r w:rsidR="001701AB" w:rsidRPr="00445A2C">
        <w:rPr>
          <w:rFonts w:eastAsia="Calibri"/>
        </w:rPr>
        <w:t>onvention</w:t>
      </w:r>
    </w:p>
    <w:p w14:paraId="4B44F9FB" w14:textId="4CB97B95" w:rsidR="009264C1" w:rsidRDefault="009264C1" w:rsidP="00F27A6D">
      <w:pPr>
        <w:numPr>
          <w:ilvl w:val="0"/>
          <w:numId w:val="0"/>
        </w:numPr>
        <w:rPr>
          <w:rFonts w:eastAsia="Calibri"/>
        </w:rPr>
      </w:pPr>
      <w:r>
        <w:rPr>
          <w:rFonts w:eastAsia="Calibri"/>
        </w:rPr>
        <w:t xml:space="preserve">The </w:t>
      </w:r>
      <w:r w:rsidR="009D7218">
        <w:rPr>
          <w:rFonts w:eastAsia="Calibri"/>
        </w:rPr>
        <w:t>numbering convention</w:t>
      </w:r>
      <w:r>
        <w:rPr>
          <w:rFonts w:eastAsia="Calibri"/>
        </w:rPr>
        <w:t xml:space="preserve"> of each </w:t>
      </w:r>
      <w:r w:rsidR="001701AB">
        <w:rPr>
          <w:rFonts w:eastAsia="Calibri"/>
        </w:rPr>
        <w:t xml:space="preserve">Business </w:t>
      </w:r>
      <w:r w:rsidR="00B06B5E">
        <w:rPr>
          <w:rFonts w:eastAsia="Calibri"/>
        </w:rPr>
        <w:t>R</w:t>
      </w:r>
      <w:r w:rsidR="001701AB">
        <w:rPr>
          <w:rFonts w:eastAsia="Calibri"/>
        </w:rPr>
        <w:t>ule</w:t>
      </w:r>
      <w:r w:rsidR="009D7218">
        <w:rPr>
          <w:rFonts w:eastAsia="Calibri"/>
        </w:rPr>
        <w:t xml:space="preserve"> is in terms of ‘X.YZ</w:t>
      </w:r>
      <w:r w:rsidR="00F245E2">
        <w:rPr>
          <w:rFonts w:eastAsia="Calibri"/>
        </w:rPr>
        <w:t>’, where:</w:t>
      </w:r>
    </w:p>
    <w:p w14:paraId="3036E9A0" w14:textId="153AFFE2" w:rsidR="009264C1" w:rsidRDefault="009D7218" w:rsidP="001701AB">
      <w:pPr>
        <w:numPr>
          <w:ilvl w:val="0"/>
          <w:numId w:val="0"/>
        </w:numPr>
        <w:tabs>
          <w:tab w:val="left" w:pos="426"/>
          <w:tab w:val="left" w:pos="851"/>
        </w:tabs>
        <w:rPr>
          <w:rFonts w:eastAsia="Calibri"/>
        </w:rPr>
      </w:pPr>
      <w:r>
        <w:rPr>
          <w:rFonts w:eastAsia="Calibri"/>
        </w:rPr>
        <w:t>X</w:t>
      </w:r>
      <w:r w:rsidR="009264C1">
        <w:rPr>
          <w:rFonts w:eastAsia="Calibri"/>
        </w:rPr>
        <w:t xml:space="preserve"> </w:t>
      </w:r>
      <w:r w:rsidR="00C67074">
        <w:rPr>
          <w:rFonts w:eastAsia="Calibri"/>
        </w:rPr>
        <w:tab/>
      </w:r>
      <w:r w:rsidR="009264C1">
        <w:rPr>
          <w:rFonts w:eastAsia="Calibri"/>
        </w:rPr>
        <w:t xml:space="preserve">= </w:t>
      </w:r>
      <w:r w:rsidR="00C67074">
        <w:rPr>
          <w:rFonts w:eastAsia="Calibri"/>
        </w:rPr>
        <w:tab/>
      </w:r>
      <w:r>
        <w:rPr>
          <w:rFonts w:eastAsia="Calibri"/>
        </w:rPr>
        <w:t>N</w:t>
      </w:r>
      <w:r w:rsidR="009264C1">
        <w:rPr>
          <w:rFonts w:eastAsia="Calibri"/>
        </w:rPr>
        <w:t>umber</w:t>
      </w:r>
      <w:r>
        <w:rPr>
          <w:rFonts w:eastAsia="Calibri"/>
        </w:rPr>
        <w:t xml:space="preserve"> of the costing process stage</w:t>
      </w:r>
    </w:p>
    <w:p w14:paraId="45AD77FD" w14:textId="6930E25C" w:rsidR="009264C1" w:rsidRDefault="009D7218" w:rsidP="001701AB">
      <w:pPr>
        <w:numPr>
          <w:ilvl w:val="0"/>
          <w:numId w:val="0"/>
        </w:numPr>
        <w:tabs>
          <w:tab w:val="left" w:pos="426"/>
          <w:tab w:val="left" w:pos="851"/>
        </w:tabs>
        <w:rPr>
          <w:rFonts w:eastAsia="Calibri"/>
        </w:rPr>
      </w:pPr>
      <w:r>
        <w:rPr>
          <w:rFonts w:eastAsia="Calibri"/>
        </w:rPr>
        <w:t>Y</w:t>
      </w:r>
      <w:r w:rsidR="009264C1">
        <w:rPr>
          <w:rFonts w:eastAsia="Calibri"/>
        </w:rPr>
        <w:t xml:space="preserve"> </w:t>
      </w:r>
      <w:r w:rsidR="00C67074">
        <w:rPr>
          <w:rFonts w:eastAsia="Calibri"/>
        </w:rPr>
        <w:tab/>
      </w:r>
      <w:r w:rsidR="009264C1">
        <w:rPr>
          <w:rFonts w:eastAsia="Calibri"/>
        </w:rPr>
        <w:t xml:space="preserve">= </w:t>
      </w:r>
      <w:r w:rsidR="00C67074">
        <w:rPr>
          <w:rFonts w:eastAsia="Calibri"/>
        </w:rPr>
        <w:tab/>
      </w:r>
      <w:r w:rsidR="00BF1DF7">
        <w:rPr>
          <w:rFonts w:eastAsia="Calibri"/>
        </w:rPr>
        <w:t>Number of the</w:t>
      </w:r>
      <w:r>
        <w:rPr>
          <w:rFonts w:eastAsia="Calibri"/>
        </w:rPr>
        <w:t xml:space="preserve"> sub </w:t>
      </w:r>
      <w:r w:rsidR="009264C1">
        <w:rPr>
          <w:rFonts w:eastAsia="Calibri"/>
        </w:rPr>
        <w:t xml:space="preserve">process within the </w:t>
      </w:r>
      <w:r>
        <w:rPr>
          <w:rFonts w:eastAsia="Calibri"/>
        </w:rPr>
        <w:t>costing process s</w:t>
      </w:r>
      <w:r w:rsidR="009264C1">
        <w:rPr>
          <w:rFonts w:eastAsia="Calibri"/>
        </w:rPr>
        <w:t>tage</w:t>
      </w:r>
    </w:p>
    <w:p w14:paraId="2AE10F16" w14:textId="02C6F134" w:rsidR="009264C1" w:rsidRDefault="009D7218" w:rsidP="001701AB">
      <w:pPr>
        <w:numPr>
          <w:ilvl w:val="0"/>
          <w:numId w:val="0"/>
        </w:numPr>
        <w:tabs>
          <w:tab w:val="left" w:pos="426"/>
          <w:tab w:val="left" w:pos="851"/>
        </w:tabs>
        <w:rPr>
          <w:rFonts w:eastAsia="Calibri"/>
        </w:rPr>
      </w:pPr>
      <w:r>
        <w:rPr>
          <w:rFonts w:eastAsia="Calibri"/>
        </w:rPr>
        <w:t>Z</w:t>
      </w:r>
      <w:r w:rsidR="009264C1">
        <w:rPr>
          <w:rFonts w:eastAsia="Calibri"/>
        </w:rPr>
        <w:t xml:space="preserve"> </w:t>
      </w:r>
      <w:r w:rsidR="00C67074">
        <w:rPr>
          <w:rFonts w:eastAsia="Calibri"/>
        </w:rPr>
        <w:tab/>
      </w:r>
      <w:r w:rsidR="009264C1">
        <w:rPr>
          <w:rFonts w:eastAsia="Calibri"/>
        </w:rPr>
        <w:t xml:space="preserve">= </w:t>
      </w:r>
      <w:r w:rsidR="00C67074">
        <w:rPr>
          <w:rFonts w:eastAsia="Calibri"/>
        </w:rPr>
        <w:tab/>
      </w:r>
      <w:r w:rsidR="00BF1DF7">
        <w:rPr>
          <w:rFonts w:eastAsia="Calibri"/>
        </w:rPr>
        <w:t xml:space="preserve">Letter of the </w:t>
      </w:r>
      <w:r w:rsidR="001701AB">
        <w:rPr>
          <w:rFonts w:eastAsia="Calibri"/>
        </w:rPr>
        <w:t xml:space="preserve">Business </w:t>
      </w:r>
      <w:r w:rsidR="00B06B5E">
        <w:rPr>
          <w:rFonts w:eastAsia="Calibri"/>
        </w:rPr>
        <w:t>R</w:t>
      </w:r>
      <w:r w:rsidR="001701AB">
        <w:rPr>
          <w:rFonts w:eastAsia="Calibri"/>
        </w:rPr>
        <w:t>ule</w:t>
      </w:r>
      <w:r w:rsidR="00BF1DF7">
        <w:rPr>
          <w:rFonts w:eastAsia="Calibri"/>
        </w:rPr>
        <w:t xml:space="preserve"> a</w:t>
      </w:r>
      <w:r>
        <w:rPr>
          <w:rFonts w:eastAsia="Calibri"/>
        </w:rPr>
        <w:t>ssociated with the Standard ‘X.Y</w:t>
      </w:r>
      <w:r w:rsidR="00BF1DF7">
        <w:rPr>
          <w:rFonts w:eastAsia="Calibri"/>
        </w:rPr>
        <w:t>’</w:t>
      </w:r>
    </w:p>
    <w:p w14:paraId="170C813B" w14:textId="77777777" w:rsidR="00F26345" w:rsidRDefault="00F26345" w:rsidP="00F27A6D">
      <w:pPr>
        <w:pStyle w:val="Heading3"/>
        <w:numPr>
          <w:ilvl w:val="0"/>
          <w:numId w:val="0"/>
        </w:numPr>
        <w:rPr>
          <w:rFonts w:eastAsia="Calibri"/>
        </w:rPr>
      </w:pPr>
      <w:r>
        <w:rPr>
          <w:rFonts w:eastAsia="Calibri"/>
        </w:rPr>
        <w:t>Definitions</w:t>
      </w:r>
    </w:p>
    <w:p w14:paraId="5798FA73" w14:textId="7B95FA31" w:rsidR="003C311A" w:rsidRDefault="003C311A" w:rsidP="003C311A">
      <w:pPr>
        <w:numPr>
          <w:ilvl w:val="0"/>
          <w:numId w:val="0"/>
        </w:numPr>
      </w:pPr>
      <w:r>
        <w:rPr>
          <w:rFonts w:eastAsia="Calibri"/>
        </w:rPr>
        <w:t>The Glossary contains definitions for</w:t>
      </w:r>
      <w:r w:rsidR="00202647">
        <w:rPr>
          <w:rFonts w:eastAsia="Calibri"/>
        </w:rPr>
        <w:t xml:space="preserve"> </w:t>
      </w:r>
      <w:r>
        <w:rPr>
          <w:rFonts w:eastAsia="Calibri"/>
        </w:rPr>
        <w:t xml:space="preserve">terms present throughout the </w:t>
      </w:r>
      <w:r w:rsidR="001701AB">
        <w:rPr>
          <w:rFonts w:eastAsia="Calibri"/>
        </w:rPr>
        <w:t xml:space="preserve">Business </w:t>
      </w:r>
      <w:r w:rsidR="00847C95">
        <w:rPr>
          <w:rFonts w:eastAsia="Calibri"/>
        </w:rPr>
        <w:t>R</w:t>
      </w:r>
      <w:r w:rsidR="001701AB">
        <w:rPr>
          <w:rFonts w:eastAsia="Calibri"/>
        </w:rPr>
        <w:t>ules</w:t>
      </w:r>
      <w:r>
        <w:rPr>
          <w:rFonts w:eastAsia="Calibri"/>
        </w:rPr>
        <w:t>.</w:t>
      </w:r>
    </w:p>
    <w:p w14:paraId="55C67DCA" w14:textId="218A6C29" w:rsidR="00DB58FF" w:rsidRPr="00445A2C" w:rsidRDefault="00DB58FF" w:rsidP="00F27A6D">
      <w:pPr>
        <w:numPr>
          <w:ilvl w:val="0"/>
          <w:numId w:val="0"/>
        </w:numPr>
        <w:rPr>
          <w:rFonts w:eastAsia="Calibri"/>
        </w:rPr>
      </w:pPr>
      <w:r w:rsidRPr="00445A2C">
        <w:rPr>
          <w:rFonts w:eastAsia="Calibri"/>
        </w:rPr>
        <w:br w:type="page"/>
      </w:r>
    </w:p>
    <w:p w14:paraId="3AD4818E" w14:textId="3C9833C6" w:rsidR="009B44D6" w:rsidRPr="00A175F9" w:rsidRDefault="001701AB" w:rsidP="00663250">
      <w:pPr>
        <w:pStyle w:val="Heading1"/>
        <w:numPr>
          <w:ilvl w:val="0"/>
          <w:numId w:val="9"/>
        </w:numPr>
        <w:spacing w:after="480"/>
      </w:pPr>
      <w:bookmarkStart w:id="18" w:name="_Toc80348249"/>
      <w:bookmarkStart w:id="19" w:name="_Toc480492934"/>
      <w:r>
        <w:lastRenderedPageBreak/>
        <w:t xml:space="preserve">Identify </w:t>
      </w:r>
      <w:r w:rsidR="009121A0">
        <w:t>R</w:t>
      </w:r>
      <w:r>
        <w:t xml:space="preserve">elevant </w:t>
      </w:r>
      <w:r w:rsidR="009121A0">
        <w:t>E</w:t>
      </w:r>
      <w:r>
        <w:t>xpenses</w:t>
      </w:r>
      <w:bookmarkEnd w:id="18"/>
    </w:p>
    <w:p w14:paraId="20586724" w14:textId="77777777" w:rsidR="00594979" w:rsidRPr="00804C84" w:rsidRDefault="00594979" w:rsidP="006B133B">
      <w:pPr>
        <w:pStyle w:val="Intro"/>
        <w:rPr>
          <w:rStyle w:val="LineNumber"/>
          <w:color w:val="auto"/>
        </w:rPr>
      </w:pPr>
      <w:r w:rsidRPr="00804C84">
        <w:rPr>
          <w:rStyle w:val="LineNumber"/>
          <w:color w:val="auto"/>
        </w:rPr>
        <w:t>The organisation’s general ledger comprises all financial transactions occurring over the life of an organisation; the general ledger will be used to prepare that organisation’s financial statements. Within the general ledger, transactions are grouped into cost centres, that reflect management responsibilities and point of cost control, and accounts, that reflect categories of expense. It is expected that all organisations covered by these Standards will be in line with the Australian Accounting Standards.</w:t>
      </w:r>
    </w:p>
    <w:p w14:paraId="7A7998E8" w14:textId="1347350F" w:rsidR="00594979" w:rsidRPr="00804C84" w:rsidRDefault="00594979" w:rsidP="006B133B">
      <w:pPr>
        <w:pStyle w:val="Intro"/>
        <w:rPr>
          <w:rStyle w:val="LineNumber"/>
          <w:color w:val="auto"/>
        </w:rPr>
      </w:pPr>
      <w:r w:rsidRPr="00804C84">
        <w:rPr>
          <w:rStyle w:val="LineNumber"/>
          <w:color w:val="auto"/>
        </w:rPr>
        <w:t>The general ledger is a key input to the cost management process and provides an objective source of information that recognises all expenses incurred by an organisation in producing its products.</w:t>
      </w:r>
      <w:r w:rsidR="001701AB" w:rsidRPr="00804C84">
        <w:rPr>
          <w:rStyle w:val="LineNumber"/>
          <w:color w:val="auto"/>
        </w:rPr>
        <w:t xml:space="preserve"> </w:t>
      </w:r>
      <w:r w:rsidRPr="00804C84">
        <w:rPr>
          <w:rStyle w:val="LineNumber"/>
          <w:color w:val="auto"/>
        </w:rPr>
        <w:t>T</w:t>
      </w:r>
      <w:r w:rsidR="00804C84">
        <w:rPr>
          <w:rStyle w:val="LineNumber"/>
          <w:color w:val="auto"/>
        </w:rPr>
        <w:t>he cost ledger (as outlined in S</w:t>
      </w:r>
      <w:r w:rsidRPr="00804C84">
        <w:rPr>
          <w:rStyle w:val="LineNumber"/>
          <w:color w:val="auto"/>
        </w:rPr>
        <w:t>tage 2) shall incorporate the general ledger as a key input to inform the product costing process.</w:t>
      </w:r>
    </w:p>
    <w:p w14:paraId="25EBEB67" w14:textId="54B2785B" w:rsidR="00594979" w:rsidRPr="00804C84" w:rsidRDefault="00594979" w:rsidP="006B133B">
      <w:pPr>
        <w:pStyle w:val="Intro"/>
        <w:rPr>
          <w:rStyle w:val="LineNumber"/>
          <w:color w:val="auto"/>
        </w:rPr>
      </w:pPr>
      <w:r w:rsidRPr="00804C84">
        <w:rPr>
          <w:rStyle w:val="LineNumber"/>
          <w:color w:val="auto"/>
        </w:rPr>
        <w:t>It is also recognised that additional expenses may be incurred on behalf of the organisation by a third party which directly contributes to delivery of that organisation’s products.</w:t>
      </w:r>
      <w:r w:rsidR="001701AB" w:rsidRPr="00804C84">
        <w:rPr>
          <w:rStyle w:val="LineNumber"/>
          <w:color w:val="auto"/>
        </w:rPr>
        <w:t xml:space="preserve"> </w:t>
      </w:r>
      <w:r w:rsidRPr="00804C84">
        <w:rPr>
          <w:rStyle w:val="LineNumber"/>
          <w:color w:val="auto"/>
        </w:rPr>
        <w:t>Where this is the case, these expenses must be included in the cost ledger for the purpose of full product costing.</w:t>
      </w:r>
    </w:p>
    <w:p w14:paraId="66B29047" w14:textId="2774EDB8" w:rsidR="004B406A" w:rsidRPr="00804C84" w:rsidRDefault="00594979" w:rsidP="006B133B">
      <w:pPr>
        <w:pStyle w:val="Intro"/>
        <w:rPr>
          <w:rStyle w:val="LineNumber"/>
          <w:color w:val="auto"/>
        </w:rPr>
      </w:pPr>
      <w:r w:rsidRPr="00804C84">
        <w:rPr>
          <w:rStyle w:val="LineNumber"/>
          <w:color w:val="auto"/>
        </w:rPr>
        <w:t xml:space="preserve">Offsetting means the reduction of an expense by income or vice versa so that only the net amount is reflected in product costing. Where specifically within this document, offsetting is permitted for the purpose of product costing so that only relevant costs incurred to produce outputs controlled by the </w:t>
      </w:r>
      <w:r w:rsidR="00804C84">
        <w:rPr>
          <w:rStyle w:val="LineNumber"/>
          <w:color w:val="auto"/>
        </w:rPr>
        <w:t>local hospital networks</w:t>
      </w:r>
      <w:r w:rsidRPr="00804C84">
        <w:rPr>
          <w:rStyle w:val="LineNumber"/>
          <w:color w:val="auto"/>
        </w:rPr>
        <w:t xml:space="preserve"> are included.</w:t>
      </w:r>
    </w:p>
    <w:p w14:paraId="5851C65C" w14:textId="77777777" w:rsidR="00F27A6D" w:rsidRPr="004B406A" w:rsidRDefault="00F27A6D" w:rsidP="004B406A">
      <w:pPr>
        <w:pStyle w:val="Normal-Nonumbers"/>
        <w:rPr>
          <w:b/>
        </w:rPr>
      </w:pPr>
      <w:r w:rsidRPr="004B406A">
        <w:rPr>
          <w:b/>
        </w:rPr>
        <w:t>Application</w:t>
      </w:r>
    </w:p>
    <w:p w14:paraId="0D4FC67C" w14:textId="3606F46B" w:rsidR="00DB13AE" w:rsidRDefault="00DB13AE" w:rsidP="00DB13AE">
      <w:pPr>
        <w:numPr>
          <w:ilvl w:val="0"/>
          <w:numId w:val="0"/>
        </w:numPr>
        <w:rPr>
          <w:rFonts w:eastAsia="Calibri"/>
        </w:rPr>
      </w:pPr>
      <w:r>
        <w:rPr>
          <w:rFonts w:eastAsia="Calibri"/>
        </w:rPr>
        <w:t xml:space="preserve">These </w:t>
      </w:r>
      <w:r w:rsidR="001701AB">
        <w:rPr>
          <w:rFonts w:eastAsia="Calibri"/>
        </w:rPr>
        <w:t xml:space="preserve">Business </w:t>
      </w:r>
      <w:r w:rsidR="00847C95">
        <w:rPr>
          <w:rFonts w:eastAsia="Calibri"/>
        </w:rPr>
        <w:t>R</w:t>
      </w:r>
      <w:r w:rsidR="001701AB">
        <w:rPr>
          <w:rFonts w:eastAsia="Calibri"/>
        </w:rPr>
        <w:t>ules</w:t>
      </w:r>
      <w:r>
        <w:rPr>
          <w:rFonts w:eastAsia="Calibri"/>
        </w:rPr>
        <w:t xml:space="preserve"> </w:t>
      </w:r>
      <w:r w:rsidRPr="00215955">
        <w:rPr>
          <w:rFonts w:eastAsia="Calibri"/>
        </w:rPr>
        <w:t xml:space="preserve">shall be read in conjunction with the Standards </w:t>
      </w:r>
      <w:r>
        <w:rPr>
          <w:rFonts w:eastAsia="Calibri"/>
        </w:rPr>
        <w:t>associated with the following stages</w:t>
      </w:r>
      <w:r w:rsidRPr="00215955">
        <w:rPr>
          <w:rFonts w:eastAsia="Calibri"/>
        </w:rPr>
        <w:t>:</w:t>
      </w:r>
    </w:p>
    <w:p w14:paraId="2CAD3C34" w14:textId="56619615" w:rsidR="00BA4563" w:rsidRDefault="00BA4563" w:rsidP="00DB13AE">
      <w:pPr>
        <w:numPr>
          <w:ilvl w:val="0"/>
          <w:numId w:val="0"/>
        </w:numPr>
        <w:rPr>
          <w:rFonts w:eastAsia="Calibri"/>
        </w:rPr>
      </w:pPr>
      <w:r>
        <w:rPr>
          <w:rFonts w:eastAsia="Calibri"/>
        </w:rPr>
        <w:fldChar w:fldCharType="begin"/>
      </w:r>
      <w:r>
        <w:rPr>
          <w:rFonts w:eastAsia="Calibri"/>
        </w:rPr>
        <w:instrText xml:space="preserve"> REF _Ref498530775 \w \h </w:instrText>
      </w:r>
      <w:r>
        <w:rPr>
          <w:rFonts w:eastAsia="Calibri"/>
        </w:rPr>
      </w:r>
      <w:r>
        <w:rPr>
          <w:rFonts w:eastAsia="Calibri"/>
        </w:rPr>
        <w:fldChar w:fldCharType="separate"/>
      </w:r>
      <w:r w:rsidR="00EA6A78">
        <w:rPr>
          <w:rFonts w:eastAsia="Calibri"/>
        </w:rPr>
        <w:t>Stage 1</w:t>
      </w:r>
      <w:r>
        <w:rPr>
          <w:rFonts w:eastAsia="Calibri"/>
        </w:rPr>
        <w:fldChar w:fldCharType="end"/>
      </w:r>
      <w:r>
        <w:rPr>
          <w:rFonts w:eastAsia="Calibri"/>
        </w:rPr>
        <w:t xml:space="preserve">: </w:t>
      </w:r>
      <w:r>
        <w:rPr>
          <w:rFonts w:eastAsia="Calibri"/>
        </w:rPr>
        <w:fldChar w:fldCharType="begin"/>
      </w:r>
      <w:r>
        <w:rPr>
          <w:rFonts w:eastAsia="Calibri"/>
        </w:rPr>
        <w:instrText xml:space="preserve"> REF _Ref498530775 \h </w:instrText>
      </w:r>
      <w:r>
        <w:rPr>
          <w:rFonts w:eastAsia="Calibri"/>
        </w:rPr>
      </w:r>
      <w:r>
        <w:rPr>
          <w:rFonts w:eastAsia="Calibri"/>
        </w:rPr>
        <w:fldChar w:fldCharType="separate"/>
      </w:r>
      <w:r w:rsidR="00EA6A78">
        <w:rPr>
          <w:rFonts w:eastAsia="Calibri"/>
        </w:rPr>
        <w:t xml:space="preserve">Identify </w:t>
      </w:r>
      <w:r w:rsidR="001C5AFE">
        <w:rPr>
          <w:rFonts w:eastAsia="Calibri"/>
        </w:rPr>
        <w:t>R</w:t>
      </w:r>
      <w:r w:rsidR="00EA6A78">
        <w:rPr>
          <w:rFonts w:eastAsia="Calibri"/>
        </w:rPr>
        <w:t xml:space="preserve">elevant </w:t>
      </w:r>
      <w:r w:rsidR="001C5AFE">
        <w:rPr>
          <w:rFonts w:eastAsia="Calibri"/>
        </w:rPr>
        <w:t>E</w:t>
      </w:r>
      <w:r w:rsidR="00EA6A78">
        <w:rPr>
          <w:rFonts w:eastAsia="Calibri"/>
        </w:rPr>
        <w:t>xpenses</w:t>
      </w:r>
      <w:r>
        <w:rPr>
          <w:rFonts w:eastAsia="Calibri"/>
        </w:rPr>
        <w:fldChar w:fldCharType="end"/>
      </w:r>
    </w:p>
    <w:p w14:paraId="3CC6E4D5" w14:textId="1B27939C" w:rsidR="00BA4563" w:rsidRDefault="00BA4563" w:rsidP="00DB13AE">
      <w:pPr>
        <w:numPr>
          <w:ilvl w:val="0"/>
          <w:numId w:val="0"/>
        </w:numPr>
        <w:rPr>
          <w:rFonts w:eastAsia="Calibri"/>
        </w:rPr>
      </w:pPr>
      <w:r>
        <w:rPr>
          <w:rFonts w:eastAsia="Calibri"/>
        </w:rPr>
        <w:fldChar w:fldCharType="begin"/>
      </w:r>
      <w:r>
        <w:rPr>
          <w:rFonts w:eastAsia="Calibri"/>
        </w:rPr>
        <w:instrText xml:space="preserve"> REF _Ref498530776 \w \h </w:instrText>
      </w:r>
      <w:r>
        <w:rPr>
          <w:rFonts w:eastAsia="Calibri"/>
        </w:rPr>
      </w:r>
      <w:r>
        <w:rPr>
          <w:rFonts w:eastAsia="Calibri"/>
        </w:rPr>
        <w:fldChar w:fldCharType="separate"/>
      </w:r>
      <w:r w:rsidR="00EA6A78">
        <w:rPr>
          <w:rFonts w:eastAsia="Calibri"/>
        </w:rPr>
        <w:t>Stage 2</w:t>
      </w:r>
      <w:r>
        <w:rPr>
          <w:rFonts w:eastAsia="Calibri"/>
        </w:rPr>
        <w:fldChar w:fldCharType="end"/>
      </w:r>
      <w:r>
        <w:rPr>
          <w:rFonts w:eastAsia="Calibri"/>
        </w:rPr>
        <w:t xml:space="preserve">: </w:t>
      </w:r>
      <w:r>
        <w:rPr>
          <w:rFonts w:eastAsia="Calibri"/>
        </w:rPr>
        <w:fldChar w:fldCharType="begin"/>
      </w:r>
      <w:r>
        <w:rPr>
          <w:rFonts w:eastAsia="Calibri"/>
        </w:rPr>
        <w:instrText xml:space="preserve"> REF _Ref498530776 \h </w:instrText>
      </w:r>
      <w:r>
        <w:rPr>
          <w:rFonts w:eastAsia="Calibri"/>
        </w:rPr>
      </w:r>
      <w:r>
        <w:rPr>
          <w:rFonts w:eastAsia="Calibri"/>
        </w:rPr>
        <w:fldChar w:fldCharType="separate"/>
      </w:r>
      <w:r w:rsidR="00EA6A78">
        <w:rPr>
          <w:rFonts w:eastAsia="Calibri"/>
        </w:rPr>
        <w:t xml:space="preserve">Create the </w:t>
      </w:r>
      <w:r w:rsidR="001C5AFE">
        <w:rPr>
          <w:rFonts w:eastAsia="Calibri"/>
        </w:rPr>
        <w:t>C</w:t>
      </w:r>
      <w:r w:rsidR="00EA6A78">
        <w:rPr>
          <w:rFonts w:eastAsia="Calibri"/>
        </w:rPr>
        <w:t xml:space="preserve">ost </w:t>
      </w:r>
      <w:r w:rsidR="001C5AFE">
        <w:rPr>
          <w:rFonts w:eastAsia="Calibri"/>
        </w:rPr>
        <w:t>L</w:t>
      </w:r>
      <w:r w:rsidR="00EA6A78">
        <w:rPr>
          <w:rFonts w:eastAsia="Calibri"/>
        </w:rPr>
        <w:t>edger</w:t>
      </w:r>
      <w:r>
        <w:rPr>
          <w:rFonts w:eastAsia="Calibri"/>
        </w:rPr>
        <w:fldChar w:fldCharType="end"/>
      </w:r>
    </w:p>
    <w:p w14:paraId="0A1DED3B" w14:textId="585682F0" w:rsidR="00BA4563" w:rsidRDefault="00BA4563" w:rsidP="00DB13AE">
      <w:pPr>
        <w:numPr>
          <w:ilvl w:val="0"/>
          <w:numId w:val="0"/>
        </w:numPr>
        <w:rPr>
          <w:rFonts w:eastAsia="Calibri"/>
        </w:rPr>
      </w:pPr>
      <w:r>
        <w:rPr>
          <w:rFonts w:eastAsia="Calibri"/>
        </w:rPr>
        <w:fldChar w:fldCharType="begin"/>
      </w:r>
      <w:r>
        <w:rPr>
          <w:rFonts w:eastAsia="Calibri"/>
        </w:rPr>
        <w:instrText xml:space="preserve"> REF _Ref498530780 \w \h </w:instrText>
      </w:r>
      <w:r>
        <w:rPr>
          <w:rFonts w:eastAsia="Calibri"/>
        </w:rPr>
      </w:r>
      <w:r>
        <w:rPr>
          <w:rFonts w:eastAsia="Calibri"/>
        </w:rPr>
        <w:fldChar w:fldCharType="separate"/>
      </w:r>
      <w:r w:rsidR="00EA6A78">
        <w:rPr>
          <w:rFonts w:eastAsia="Calibri"/>
        </w:rPr>
        <w:t>Stage 6</w:t>
      </w:r>
      <w:r>
        <w:rPr>
          <w:rFonts w:eastAsia="Calibri"/>
        </w:rPr>
        <w:fldChar w:fldCharType="end"/>
      </w:r>
      <w:r>
        <w:rPr>
          <w:rFonts w:eastAsia="Calibri"/>
        </w:rPr>
        <w:t xml:space="preserve">: </w:t>
      </w:r>
      <w:r>
        <w:rPr>
          <w:rFonts w:eastAsia="Calibri"/>
        </w:rPr>
        <w:fldChar w:fldCharType="begin"/>
      </w:r>
      <w:r>
        <w:rPr>
          <w:rFonts w:eastAsia="Calibri"/>
        </w:rPr>
        <w:instrText xml:space="preserve"> REF _Ref498530780 \h </w:instrText>
      </w:r>
      <w:r>
        <w:rPr>
          <w:rFonts w:eastAsia="Calibri"/>
        </w:rPr>
      </w:r>
      <w:r>
        <w:rPr>
          <w:rFonts w:eastAsia="Calibri"/>
        </w:rPr>
        <w:fldChar w:fldCharType="separate"/>
      </w:r>
      <w:r w:rsidR="00EA6A78">
        <w:rPr>
          <w:rFonts w:eastAsia="Calibri"/>
        </w:rPr>
        <w:t xml:space="preserve">Review and </w:t>
      </w:r>
      <w:r w:rsidR="001C5AFE">
        <w:rPr>
          <w:rFonts w:eastAsia="Calibri"/>
        </w:rPr>
        <w:t>R</w:t>
      </w:r>
      <w:r w:rsidR="00EA6A78">
        <w:rPr>
          <w:rFonts w:eastAsia="Calibri"/>
        </w:rPr>
        <w:t>econcile</w:t>
      </w:r>
      <w:r>
        <w:rPr>
          <w:rFonts w:eastAsia="Calibri"/>
        </w:rPr>
        <w:fldChar w:fldCharType="end"/>
      </w:r>
    </w:p>
    <w:p w14:paraId="3894C292" w14:textId="77777777" w:rsidR="00F27A6D" w:rsidRPr="004B406A" w:rsidRDefault="00F27A6D" w:rsidP="004B406A">
      <w:pPr>
        <w:pStyle w:val="Normal-Nonumbers"/>
        <w:rPr>
          <w:b/>
        </w:rPr>
      </w:pPr>
      <w:r w:rsidRPr="004B406A">
        <w:rPr>
          <w:b/>
        </w:rPr>
        <w:t>List of referenced documents</w:t>
      </w:r>
    </w:p>
    <w:p w14:paraId="3DF91F60" w14:textId="3A114A2B" w:rsidR="00F27A6D" w:rsidRPr="00215955" w:rsidRDefault="00F27A6D" w:rsidP="00F27A6D">
      <w:pPr>
        <w:numPr>
          <w:ilvl w:val="0"/>
          <w:numId w:val="0"/>
        </w:numPr>
        <w:rPr>
          <w:rFonts w:eastAsia="Calibri"/>
        </w:rPr>
      </w:pPr>
      <w:r w:rsidRPr="00215955">
        <w:rPr>
          <w:rFonts w:eastAsia="Calibri"/>
        </w:rPr>
        <w:t>The following doc</w:t>
      </w:r>
      <w:r w:rsidR="00804C84">
        <w:rPr>
          <w:rFonts w:eastAsia="Calibri"/>
        </w:rPr>
        <w:t>uments are referred to in this stage.</w:t>
      </w:r>
    </w:p>
    <w:p w14:paraId="01945203" w14:textId="0D251211" w:rsidR="003E40A0" w:rsidRPr="00202647" w:rsidRDefault="00202647" w:rsidP="0090616A">
      <w:pPr>
        <w:pStyle w:val="ListBullet"/>
        <w:ind w:left="284" w:hanging="284"/>
      </w:pPr>
      <w:r w:rsidRPr="00202647">
        <w:t xml:space="preserve">Duckett, S.J. The </w:t>
      </w:r>
      <w:r w:rsidR="003E40A0" w:rsidRPr="00202647">
        <w:t>Aus</w:t>
      </w:r>
      <w:r w:rsidRPr="00202647">
        <w:t>tralian Health Care Agreements 2003–2008, 2004</w:t>
      </w:r>
      <w:r w:rsidR="009257F0">
        <w:t>, Australia and New Zealand Health Policy,1(5)</w:t>
      </w:r>
    </w:p>
    <w:p w14:paraId="7BB127A9" w14:textId="32C117AE" w:rsidR="00202647" w:rsidRDefault="0089553E" w:rsidP="0090616A">
      <w:pPr>
        <w:pStyle w:val="ListBullet"/>
        <w:ind w:left="284" w:hanging="284"/>
      </w:pPr>
      <w:r w:rsidRPr="00202647">
        <w:t>Australian Accoun</w:t>
      </w:r>
      <w:r w:rsidR="00202647" w:rsidRPr="00202647">
        <w:t>ting Standard AASB 116 Property, Plant and Equipment</w:t>
      </w:r>
    </w:p>
    <w:p w14:paraId="469F4DA4" w14:textId="77777777" w:rsidR="00202647" w:rsidRDefault="00202647" w:rsidP="0090616A">
      <w:pPr>
        <w:pStyle w:val="ListBullet"/>
        <w:ind w:left="284" w:hanging="284"/>
      </w:pPr>
      <w:r w:rsidRPr="00202647">
        <w:t>Australian Accounting Standard</w:t>
      </w:r>
      <w:r>
        <w:t xml:space="preserve"> </w:t>
      </w:r>
      <w:r w:rsidR="0089553E" w:rsidRPr="00202647">
        <w:t>AASB 138 Intangible Assets</w:t>
      </w:r>
    </w:p>
    <w:p w14:paraId="1F0FF212" w14:textId="77777777" w:rsidR="00202647" w:rsidRPr="00202647" w:rsidRDefault="00202647" w:rsidP="0090616A">
      <w:pPr>
        <w:pStyle w:val="ListBullet"/>
        <w:ind w:left="284" w:hanging="284"/>
      </w:pPr>
      <w:r w:rsidRPr="00202647">
        <w:t xml:space="preserve">Australian Accounting Standard </w:t>
      </w:r>
      <w:r w:rsidR="0089553E" w:rsidRPr="00202647">
        <w:t>AASB 16 Leases</w:t>
      </w:r>
    </w:p>
    <w:p w14:paraId="4390B7C4" w14:textId="40ECAED6" w:rsidR="0089553E" w:rsidRPr="00202647" w:rsidRDefault="009257F0" w:rsidP="0090616A">
      <w:pPr>
        <w:pStyle w:val="ListBullet"/>
        <w:ind w:left="284" w:hanging="284"/>
      </w:pPr>
      <w:r>
        <w:t xml:space="preserve">Australian Taxation Office </w:t>
      </w:r>
      <w:r w:rsidR="00636603">
        <w:t xml:space="preserve">(ATO) </w:t>
      </w:r>
      <w:r w:rsidR="0089553E" w:rsidRPr="00202647">
        <w:rPr>
          <w:lang w:eastAsia="en-AU"/>
        </w:rPr>
        <w:t>Taxation Ruling TR 2016/1</w:t>
      </w:r>
    </w:p>
    <w:p w14:paraId="3B02A10B" w14:textId="77777777" w:rsidR="0089553E" w:rsidRDefault="0089553E" w:rsidP="00F97E63">
      <w:pPr>
        <w:pStyle w:val="ListParagraph"/>
        <w:numPr>
          <w:ilvl w:val="0"/>
          <w:numId w:val="0"/>
        </w:numPr>
        <w:ind w:left="1455"/>
        <w:rPr>
          <w:rFonts w:eastAsia="Calibri"/>
        </w:rPr>
      </w:pPr>
    </w:p>
    <w:p w14:paraId="327777EA" w14:textId="77777777" w:rsidR="005930A1" w:rsidRPr="005C2F23" w:rsidRDefault="005C2F23" w:rsidP="00F97E63">
      <w:pPr>
        <w:numPr>
          <w:ilvl w:val="0"/>
          <w:numId w:val="0"/>
        </w:numPr>
        <w:spacing w:before="0" w:after="0" w:line="240" w:lineRule="auto"/>
        <w:rPr>
          <w:lang w:eastAsia="ja-JP"/>
        </w:rPr>
      </w:pPr>
      <w:r>
        <w:rPr>
          <w:lang w:eastAsia="ja-JP"/>
        </w:rPr>
        <w:br w:type="page"/>
      </w:r>
    </w:p>
    <w:p w14:paraId="2C4021CD" w14:textId="77777777" w:rsidR="004B0F3D" w:rsidRDefault="004B0F3D" w:rsidP="00F64050">
      <w:pPr>
        <w:pStyle w:val="Heading2"/>
        <w:numPr>
          <w:ilvl w:val="1"/>
          <w:numId w:val="4"/>
        </w:numPr>
        <w:contextualSpacing w:val="0"/>
      </w:pPr>
      <w:bookmarkStart w:id="20" w:name="_Toc80348250"/>
      <w:r>
        <w:lastRenderedPageBreak/>
        <w:t>General</w:t>
      </w:r>
      <w:bookmarkEnd w:id="20"/>
      <w:r>
        <w:t xml:space="preserve"> </w:t>
      </w:r>
    </w:p>
    <w:p w14:paraId="335D8E7D" w14:textId="4392A119" w:rsidR="00DB58FF" w:rsidRDefault="0090616A" w:rsidP="00631701">
      <w:pPr>
        <w:pStyle w:val="Heading2"/>
        <w:numPr>
          <w:ilvl w:val="2"/>
          <w:numId w:val="8"/>
        </w:numPr>
      </w:pPr>
      <w:bookmarkStart w:id="21" w:name="_Ref489856561"/>
      <w:bookmarkStart w:id="22" w:name="_Ref489856565"/>
      <w:bookmarkStart w:id="23" w:name="_Toc80348251"/>
      <w:r>
        <w:t>M</w:t>
      </w:r>
      <w:r w:rsidRPr="00E53AB6">
        <w:t xml:space="preserve">edical </w:t>
      </w:r>
      <w:r w:rsidR="009121A0">
        <w:t>E</w:t>
      </w:r>
      <w:r w:rsidRPr="00E53AB6">
        <w:t xml:space="preserve">xpenses for </w:t>
      </w:r>
      <w:r w:rsidR="009121A0">
        <w:t>P</w:t>
      </w:r>
      <w:r w:rsidR="001701AB" w:rsidRPr="00E53AB6">
        <w:t xml:space="preserve">rivate </w:t>
      </w:r>
      <w:r w:rsidRPr="00E53AB6">
        <w:t xml:space="preserve">and </w:t>
      </w:r>
      <w:r w:rsidR="009121A0">
        <w:t>P</w:t>
      </w:r>
      <w:r w:rsidR="001701AB" w:rsidRPr="00E53AB6">
        <w:t xml:space="preserve">ublic </w:t>
      </w:r>
      <w:bookmarkEnd w:id="19"/>
      <w:bookmarkEnd w:id="21"/>
      <w:bookmarkEnd w:id="22"/>
      <w:r w:rsidR="009121A0">
        <w:t>P</w:t>
      </w:r>
      <w:r w:rsidR="001701AB" w:rsidRPr="00E53AB6">
        <w:t>atients</w:t>
      </w:r>
      <w:bookmarkEnd w:id="23"/>
    </w:p>
    <w:p w14:paraId="27302329" w14:textId="77777777" w:rsidR="00DB58FF" w:rsidRPr="00A175F9" w:rsidRDefault="00DB58FF" w:rsidP="00F27A6D">
      <w:pPr>
        <w:pStyle w:val="Heading3"/>
      </w:pPr>
      <w:r w:rsidRPr="00A175F9">
        <w:t>Scope</w:t>
      </w:r>
    </w:p>
    <w:p w14:paraId="7CC195E3" w14:textId="4A07BC5C" w:rsidR="00E53AB6" w:rsidRPr="00D45B1A" w:rsidRDefault="00E53AB6" w:rsidP="00F27A6D">
      <w:r w:rsidRPr="00D45B1A">
        <w:t xml:space="preserve">This </w:t>
      </w:r>
      <w:r w:rsidR="00B06B5E">
        <w:t>B</w:t>
      </w:r>
      <w:r w:rsidR="001701AB">
        <w:t xml:space="preserve">usiness </w:t>
      </w:r>
      <w:r w:rsidR="00B06B5E">
        <w:t>R</w:t>
      </w:r>
      <w:r w:rsidR="001701AB">
        <w:t>ule</w:t>
      </w:r>
      <w:r w:rsidRPr="00D45B1A">
        <w:t xml:space="preserve"> </w:t>
      </w:r>
      <w:r>
        <w:t>relates to the</w:t>
      </w:r>
      <w:r w:rsidRPr="00D45B1A">
        <w:t xml:space="preserve"> treatment of medical and other expenses found in </w:t>
      </w:r>
      <w:r>
        <w:t xml:space="preserve">Special Purpose </w:t>
      </w:r>
      <w:r w:rsidRPr="00BA13B1">
        <w:t>Accounts (SPA), which are created to manage Rights of Private Practice (RoPP) arrangements</w:t>
      </w:r>
      <w:r w:rsidRPr="00D45B1A">
        <w:t>.</w:t>
      </w:r>
    </w:p>
    <w:p w14:paraId="29A015EF" w14:textId="77777777" w:rsidR="00DB58FF" w:rsidRPr="00D45B1A" w:rsidRDefault="00DB58FF" w:rsidP="00A175F9">
      <w:pPr>
        <w:pStyle w:val="Heading3"/>
      </w:pPr>
      <w:r w:rsidRPr="00D45B1A">
        <w:t>Objective</w:t>
      </w:r>
    </w:p>
    <w:p w14:paraId="7D763E06" w14:textId="042A941E" w:rsidR="00DB58FF" w:rsidRPr="00D45B1A" w:rsidRDefault="00DB58FF" w:rsidP="00554A66">
      <w:r w:rsidRPr="00D45B1A">
        <w:t xml:space="preserve">The objective of this </w:t>
      </w:r>
      <w:r w:rsidR="001701AB">
        <w:t>rule</w:t>
      </w:r>
      <w:r w:rsidRPr="00D45B1A">
        <w:t xml:space="preserve"> is to ensure that all expenses, regardless of their funding </w:t>
      </w:r>
      <w:r w:rsidRPr="00AE7261">
        <w:t>source</w:t>
      </w:r>
      <w:r w:rsidRPr="00D45B1A">
        <w:t xml:space="preserve">, </w:t>
      </w:r>
      <w:r w:rsidRPr="00AE7261">
        <w:t>that</w:t>
      </w:r>
      <w:r w:rsidRPr="00D45B1A">
        <w:t xml:space="preserve"> contribute to hospital activities are identified and included in the patient costing process.</w:t>
      </w:r>
    </w:p>
    <w:p w14:paraId="3C3661F8" w14:textId="7080E8BC" w:rsidR="00DB58FF" w:rsidRPr="00D45B1A" w:rsidRDefault="001701AB" w:rsidP="00A175F9">
      <w:pPr>
        <w:pStyle w:val="Heading3"/>
      </w:pPr>
      <w:r>
        <w:t xml:space="preserve">Business </w:t>
      </w:r>
      <w:r w:rsidR="00B06B5E">
        <w:t>Ru</w:t>
      </w:r>
      <w:r>
        <w:t>le</w:t>
      </w:r>
    </w:p>
    <w:p w14:paraId="0D592F41" w14:textId="77777777" w:rsidR="00DB58FF" w:rsidRPr="00AE7261" w:rsidRDefault="00E53AB6" w:rsidP="00554A66">
      <w:r w:rsidRPr="00AE7261">
        <w:t>The S</w:t>
      </w:r>
      <w:r w:rsidR="00DB58FF" w:rsidRPr="00AE7261">
        <w:t>tandards state that the hospital’s cost of production will include all hospital expenses, found on the hospital’s general ledger, and other inclusions, such as third party costs, that contributed to the hospital’s full cost of production.</w:t>
      </w:r>
    </w:p>
    <w:p w14:paraId="31768105" w14:textId="77777777" w:rsidR="00DB58FF" w:rsidRPr="00AE7261" w:rsidRDefault="00DB58FF" w:rsidP="00554A66">
      <w:r w:rsidRPr="00AE7261">
        <w:t>This means that where funds have been paid from any SPA, including trust a</w:t>
      </w:r>
      <w:r w:rsidR="00A07EEA" w:rsidRPr="00AE7261">
        <w:t>ccounts, t</w:t>
      </w:r>
      <w:r w:rsidRPr="00AE7261">
        <w:t xml:space="preserve">he associated </w:t>
      </w:r>
      <w:r w:rsidR="00A07EEA" w:rsidRPr="00AE7261">
        <w:t xml:space="preserve">hospital activities </w:t>
      </w:r>
      <w:r w:rsidRPr="00AE7261">
        <w:t xml:space="preserve">expenses need to be included in the cost of production as they relate to hospital activities. </w:t>
      </w:r>
    </w:p>
    <w:p w14:paraId="2A405D55" w14:textId="35853FDA" w:rsidR="00DB58FF" w:rsidRPr="00AE7261" w:rsidRDefault="00DB58FF" w:rsidP="00554A66">
      <w:r w:rsidRPr="00AE7261">
        <w:t xml:space="preserve">In broad terms, the source of the fund is not </w:t>
      </w:r>
      <w:r w:rsidR="00A175F9" w:rsidRPr="00AE7261">
        <w:t>important;</w:t>
      </w:r>
      <w:r w:rsidRPr="00AE7261">
        <w:t xml:space="preserve"> however how these funds are used is important to the cost of production. Expenses in SPA need to be reviewed by </w:t>
      </w:r>
      <w:r w:rsidR="00886A62">
        <w:t xml:space="preserve">relevant stakeholders, who have an understanding of the details involved, </w:t>
      </w:r>
      <w:r w:rsidRPr="00AE7261">
        <w:t xml:space="preserve">to understand if they relate to hospital activities. </w:t>
      </w:r>
    </w:p>
    <w:p w14:paraId="0249486B" w14:textId="77777777" w:rsidR="00DB58FF" w:rsidRPr="00AE7261" w:rsidRDefault="00DB58FF" w:rsidP="00554A66">
      <w:r w:rsidRPr="00AE7261">
        <w:t>At a patient level, where a patient consumes medical resources</w:t>
      </w:r>
      <w:r w:rsidR="00A07EEA" w:rsidRPr="00AE7261">
        <w:t>,</w:t>
      </w:r>
      <w:r w:rsidRPr="00AE7261">
        <w:t xml:space="preserve"> a cost is associated with this consumption and these costs should be allocated to the patient irrespective of funding source.</w:t>
      </w:r>
    </w:p>
    <w:p w14:paraId="506BEFBC" w14:textId="77777777" w:rsidR="00DB58FF" w:rsidRPr="00AE7261" w:rsidRDefault="00DB58FF" w:rsidP="00554A66">
      <w:r w:rsidRPr="00AE7261">
        <w:t xml:space="preserve">Expenses that require close consideration are those in SPAs created to manage monies generated from RoPP. </w:t>
      </w:r>
    </w:p>
    <w:p w14:paraId="57D8E859" w14:textId="77777777" w:rsidR="00DB58FF" w:rsidRPr="00AE7261" w:rsidRDefault="00DB58FF" w:rsidP="00554A66">
      <w:r w:rsidRPr="00AE7261">
        <w:t xml:space="preserve">These SPAs would generally accumulate income generated from RoPP and paid to specialists as an expense to the trust account. Other payments may also be made for goods and services that relate to hospital activities depending on restrictions of the agreements. </w:t>
      </w:r>
    </w:p>
    <w:p w14:paraId="37568223" w14:textId="6DACF138" w:rsidR="00DB58FF" w:rsidRPr="00AE7261" w:rsidRDefault="00DB58FF" w:rsidP="00554A66">
      <w:r w:rsidRPr="00AE7261">
        <w:t xml:space="preserve">Expenses to specialists are effectively salary expenses and </w:t>
      </w:r>
      <w:r w:rsidR="00886A62">
        <w:t>relevant stakeholders, who have an understanding of the details involved,</w:t>
      </w:r>
      <w:r w:rsidRPr="00AE7261">
        <w:t xml:space="preserve"> will need to review the nature of these transactions from SPA to ensure these expenses are considered as salaries where appropriate.</w:t>
      </w:r>
    </w:p>
    <w:p w14:paraId="0CCB5076" w14:textId="77777777" w:rsidR="00DB58FF" w:rsidRPr="00AE7261" w:rsidRDefault="00DB58FF" w:rsidP="00554A66">
      <w:r w:rsidRPr="00AE7261">
        <w:t>In this example:</w:t>
      </w:r>
    </w:p>
    <w:p w14:paraId="6EDA66E0" w14:textId="381FB598" w:rsidR="00DB58FF" w:rsidRPr="00D45B1A" w:rsidRDefault="00452945" w:rsidP="00636603">
      <w:pPr>
        <w:pStyle w:val="Bullet-text"/>
      </w:pPr>
      <w:r>
        <w:t>t</w:t>
      </w:r>
      <w:r w:rsidR="00DB58FF" w:rsidRPr="00D45B1A">
        <w:t xml:space="preserve">he payment to specialists </w:t>
      </w:r>
      <w:r w:rsidR="00702703" w:rsidRPr="00D45B1A">
        <w:t>is</w:t>
      </w:r>
      <w:r w:rsidR="00DB58FF" w:rsidRPr="00D45B1A">
        <w:t xml:space="preserve"> recognised as a salary expense and are considered third party costs as the expenses reflects services p</w:t>
      </w:r>
      <w:r>
        <w:t>rovided to a hospital’s patient</w:t>
      </w:r>
    </w:p>
    <w:p w14:paraId="4BA99F6D" w14:textId="0EE2AA18" w:rsidR="00DB58FF" w:rsidRPr="00D45B1A" w:rsidRDefault="00452945" w:rsidP="00636603">
      <w:pPr>
        <w:pStyle w:val="Bullet-text"/>
      </w:pPr>
      <w:r>
        <w:t>f</w:t>
      </w:r>
      <w:r w:rsidR="00DB58FF" w:rsidRPr="00D45B1A">
        <w:t>unds that are used on other activities are also in scope as these are hospital activities.</w:t>
      </w:r>
    </w:p>
    <w:p w14:paraId="455602C5" w14:textId="4073FB2F" w:rsidR="00DB58FF" w:rsidRPr="00AE7261" w:rsidRDefault="00804C84" w:rsidP="00554A66">
      <w:r>
        <w:t>Income under the 100 per cent</w:t>
      </w:r>
      <w:r w:rsidR="00DB58FF" w:rsidRPr="00AE7261">
        <w:t xml:space="preserve"> retention model and billed directly by the specialist and which are not managed in a SPA by the hospital should not be imputed as a cost. </w:t>
      </w:r>
    </w:p>
    <w:p w14:paraId="0FB5282B" w14:textId="77777777" w:rsidR="00DB58FF" w:rsidRPr="00AE7261" w:rsidRDefault="00DB58FF" w:rsidP="00554A66">
      <w:r w:rsidRPr="00AE7261">
        <w:lastRenderedPageBreak/>
        <w:t xml:space="preserve">Income generated by the hospital as a facility fee should also not be offset against expense. </w:t>
      </w:r>
    </w:p>
    <w:p w14:paraId="33D2C2FA" w14:textId="1EAEF2AC" w:rsidR="00DB58FF" w:rsidRPr="00AE7261" w:rsidRDefault="00886A62" w:rsidP="00554A66">
      <w:r>
        <w:t>Relevant stakeholders</w:t>
      </w:r>
      <w:r w:rsidR="00DB58FF" w:rsidRPr="00AE7261">
        <w:t xml:space="preserve"> will need to review and understand the purpose of expenses in SPA accounts and the various RoPP agreements as to align the appropriate expenses to final cost centres for product costing purposes.</w:t>
      </w:r>
    </w:p>
    <w:p w14:paraId="378EC3FE" w14:textId="38A07798" w:rsidR="0097769A" w:rsidRPr="00AE7261" w:rsidRDefault="00886A62" w:rsidP="00554A66">
      <w:r>
        <w:t>Relevant stakeholders</w:t>
      </w:r>
      <w:r w:rsidR="00DB58FF" w:rsidRPr="00AE7261">
        <w:t xml:space="preserve"> should </w:t>
      </w:r>
      <w:r w:rsidR="00546DF5">
        <w:t xml:space="preserve">maintain documentation of the salary arrangements and </w:t>
      </w:r>
      <w:r w:rsidR="00DB58FF" w:rsidRPr="00AE7261">
        <w:t>the allocation method</w:t>
      </w:r>
      <w:r w:rsidR="00546DF5">
        <w:t xml:space="preserve">s applied </w:t>
      </w:r>
      <w:r w:rsidR="00DB58FF" w:rsidRPr="00AE7261">
        <w:t>as part of the product costing proce</w:t>
      </w:r>
      <w:r w:rsidR="00C9390B">
        <w:t xml:space="preserve">ss and review at each costing </w:t>
      </w:r>
      <w:r w:rsidR="00DB58FF" w:rsidRPr="00AE7261">
        <w:t>iteration.</w:t>
      </w:r>
      <w:r w:rsidR="00546DF5" w:rsidRPr="00546DF5">
        <w:rPr>
          <w:rFonts w:cs="Arial"/>
          <w:sz w:val="18"/>
          <w:szCs w:val="18"/>
          <w:highlight w:val="yellow"/>
        </w:rPr>
        <w:t xml:space="preserve"> </w:t>
      </w:r>
    </w:p>
    <w:p w14:paraId="7B01B293" w14:textId="77777777" w:rsidR="0097769A" w:rsidRDefault="0097769A" w:rsidP="00554A66">
      <w:pPr>
        <w:rPr>
          <w:lang w:eastAsia="ja-JP"/>
        </w:rPr>
      </w:pPr>
      <w:r>
        <w:rPr>
          <w:lang w:eastAsia="ja-JP"/>
        </w:rPr>
        <w:br w:type="page"/>
      </w:r>
    </w:p>
    <w:p w14:paraId="0B2CA04D" w14:textId="2264F5EB" w:rsidR="0097769A" w:rsidRPr="001C25DD" w:rsidRDefault="00AE7261" w:rsidP="00A175F9">
      <w:pPr>
        <w:pStyle w:val="Heading2"/>
      </w:pPr>
      <w:bookmarkStart w:id="24" w:name="_Ref489856587"/>
      <w:bookmarkStart w:id="25" w:name="_Ref489856596"/>
      <w:bookmarkStart w:id="26" w:name="_Toc80348252"/>
      <w:bookmarkStart w:id="27" w:name="_Toc480492959"/>
      <w:r>
        <w:lastRenderedPageBreak/>
        <w:t xml:space="preserve">Capital </w:t>
      </w:r>
      <w:r w:rsidR="009121A0">
        <w:t>E</w:t>
      </w:r>
      <w:r>
        <w:t>xpenses:</w:t>
      </w:r>
      <w:r w:rsidR="0097769A" w:rsidRPr="001C25DD">
        <w:t xml:space="preserve"> </w:t>
      </w:r>
      <w:r w:rsidR="009121A0">
        <w:t>A</w:t>
      </w:r>
      <w:r w:rsidR="0097769A" w:rsidRPr="001C25DD">
        <w:t xml:space="preserve">sset </w:t>
      </w:r>
      <w:r w:rsidR="009121A0">
        <w:t>R</w:t>
      </w:r>
      <w:r w:rsidR="0097769A" w:rsidRPr="001C25DD">
        <w:t>ecognition</w:t>
      </w:r>
      <w:bookmarkEnd w:id="24"/>
      <w:bookmarkEnd w:id="25"/>
      <w:bookmarkEnd w:id="26"/>
    </w:p>
    <w:bookmarkEnd w:id="27"/>
    <w:p w14:paraId="4A0E56DB" w14:textId="77777777" w:rsidR="0097769A" w:rsidRPr="00D45B1A" w:rsidRDefault="0097769A" w:rsidP="00A175F9">
      <w:pPr>
        <w:pStyle w:val="Heading3"/>
      </w:pPr>
      <w:r w:rsidRPr="00D45B1A">
        <w:t>Scope</w:t>
      </w:r>
    </w:p>
    <w:p w14:paraId="2326E1D5" w14:textId="63C35125" w:rsidR="0097769A" w:rsidRPr="00554A66" w:rsidRDefault="0097769A" w:rsidP="00554A66">
      <w:r w:rsidRPr="00554A66">
        <w:t xml:space="preserve">This </w:t>
      </w:r>
      <w:r w:rsidR="001701AB">
        <w:t xml:space="preserve">Business </w:t>
      </w:r>
      <w:r w:rsidR="00B720FB">
        <w:t>R</w:t>
      </w:r>
      <w:r w:rsidR="001701AB">
        <w:t>ule</w:t>
      </w:r>
      <w:r w:rsidRPr="00554A66">
        <w:t xml:space="preserve"> specifies guidelines for identifying the scope and source of expenses related to the reporting of recognised assets.</w:t>
      </w:r>
    </w:p>
    <w:p w14:paraId="25B26CCA" w14:textId="570CE144" w:rsidR="0097769A" w:rsidRPr="00554A66" w:rsidRDefault="0097769A" w:rsidP="00554A66">
      <w:r w:rsidRPr="00554A66">
        <w:t xml:space="preserve">This </w:t>
      </w:r>
      <w:r w:rsidR="001701AB">
        <w:t xml:space="preserve">Business </w:t>
      </w:r>
      <w:r w:rsidR="00B720FB">
        <w:t>R</w:t>
      </w:r>
      <w:r w:rsidR="001701AB">
        <w:t>ule</w:t>
      </w:r>
      <w:r w:rsidRPr="00554A66">
        <w:t xml:space="preserve"> provides a guideline on defining expenses and thresholds for those recognised assets that should be allocated to final products. </w:t>
      </w:r>
    </w:p>
    <w:p w14:paraId="49045501" w14:textId="242ACBF7" w:rsidR="0097769A" w:rsidRPr="00554A66" w:rsidRDefault="0097769A" w:rsidP="00554A66">
      <w:r w:rsidRPr="00554A66">
        <w:t xml:space="preserve">This </w:t>
      </w:r>
      <w:r w:rsidR="00286BD1">
        <w:t>b</w:t>
      </w:r>
      <w:r w:rsidR="001701AB">
        <w:t>usiness rule</w:t>
      </w:r>
      <w:r w:rsidRPr="00554A66">
        <w:t xml:space="preserve"> is reliant on Australian Accounting Standards - AASB 116 Property, Plant and Equipment and AASB 16 Leases. </w:t>
      </w:r>
    </w:p>
    <w:p w14:paraId="463DD61D" w14:textId="77777777" w:rsidR="0097769A" w:rsidRPr="00D45B1A" w:rsidRDefault="0097769A" w:rsidP="00AE7261">
      <w:pPr>
        <w:pStyle w:val="Heading3"/>
      </w:pPr>
      <w:r w:rsidRPr="00D45B1A">
        <w:t>Objective</w:t>
      </w:r>
    </w:p>
    <w:p w14:paraId="4D4BECB4" w14:textId="237BC6F3" w:rsidR="0097769A" w:rsidRPr="00554A66" w:rsidRDefault="0097769A" w:rsidP="00554A66">
      <w:r w:rsidRPr="00554A66">
        <w:t>Thi</w:t>
      </w:r>
      <w:r w:rsidR="00AE7403">
        <w:t>s</w:t>
      </w:r>
      <w:r w:rsidR="001701AB">
        <w:t xml:space="preserve"> rule</w:t>
      </w:r>
      <w:r w:rsidRPr="00554A66">
        <w:t xml:space="preserve"> seeks to improve the consistency of asset r</w:t>
      </w:r>
      <w:r w:rsidR="00F1314D">
        <w:t>ecognition policies across all j</w:t>
      </w:r>
      <w:r w:rsidRPr="00554A66">
        <w:t xml:space="preserve">urisdictions to ensure comparability of inputs held within patient level costing data. </w:t>
      </w:r>
    </w:p>
    <w:p w14:paraId="74C48AE2" w14:textId="4320BDEF" w:rsidR="0097769A" w:rsidRPr="00554A66" w:rsidRDefault="0097769A" w:rsidP="00554A66">
      <w:r w:rsidRPr="00554A66">
        <w:t xml:space="preserve">This </w:t>
      </w:r>
      <w:r w:rsidR="001701AB">
        <w:t>rule</w:t>
      </w:r>
      <w:r w:rsidRPr="00554A66">
        <w:t xml:space="preserve"> provides clarification on when to capitalise or expense the amount spent on capital expenses; it defines the asset recognition threshold for AASB 116 and specifies the amount for an asset to be considered ‘low value’ and hence exempt from AASB 16. </w:t>
      </w:r>
    </w:p>
    <w:p w14:paraId="3310E39C" w14:textId="77777777" w:rsidR="0097769A" w:rsidRPr="00554A66" w:rsidRDefault="0097769A" w:rsidP="00554A66">
      <w:r w:rsidRPr="00554A66">
        <w:t xml:space="preserve">To ensure the asset acquisition or improvement recognition threshold for all hospital property, plant and equipment be no greater than $10,000. </w:t>
      </w:r>
    </w:p>
    <w:p w14:paraId="29F8938B" w14:textId="5A234B45" w:rsidR="0097769A" w:rsidRPr="00D45B1A" w:rsidRDefault="001701AB" w:rsidP="00AE7261">
      <w:pPr>
        <w:pStyle w:val="Heading3"/>
      </w:pPr>
      <w:r>
        <w:t xml:space="preserve">Business </w:t>
      </w:r>
      <w:r w:rsidR="00AE7403">
        <w:t>R</w:t>
      </w:r>
      <w:r>
        <w:t>ule</w:t>
      </w:r>
    </w:p>
    <w:p w14:paraId="4040F3FE" w14:textId="20086FD0" w:rsidR="0097769A" w:rsidRPr="00D45B1A" w:rsidRDefault="0097769A" w:rsidP="00554A66">
      <w:r w:rsidRPr="00D45B1A">
        <w:rPr>
          <w:rFonts w:eastAsia="Calibri"/>
        </w:rPr>
        <w:t xml:space="preserve">Costing </w:t>
      </w:r>
      <w:r w:rsidR="00286BD1">
        <w:rPr>
          <w:rFonts w:eastAsia="Calibri"/>
        </w:rPr>
        <w:t>p</w:t>
      </w:r>
      <w:r w:rsidRPr="00D45B1A">
        <w:rPr>
          <w:rFonts w:eastAsia="Calibri"/>
        </w:rPr>
        <w:t xml:space="preserve">ractitioners should consult their relevant </w:t>
      </w:r>
      <w:r w:rsidR="00804C84">
        <w:rPr>
          <w:rFonts w:eastAsia="Calibri"/>
        </w:rPr>
        <w:t>f</w:t>
      </w:r>
      <w:r w:rsidRPr="00D45B1A">
        <w:rPr>
          <w:rFonts w:eastAsia="Calibri"/>
        </w:rPr>
        <w:t>inance stakeholder to receive advice on how assets are recognised.</w:t>
      </w:r>
    </w:p>
    <w:p w14:paraId="16DD2F78" w14:textId="77777777" w:rsidR="0097769A" w:rsidRPr="00D45B1A" w:rsidRDefault="0097769A" w:rsidP="00554A66">
      <w:r w:rsidRPr="00D45B1A">
        <w:rPr>
          <w:rFonts w:eastAsia="Calibri"/>
        </w:rPr>
        <w:t>The decision whether to capitalise or expense the maintenance of an asset is based on whether the maintenance serves only to maintain the asset’s original service potential or whether it improves it. The accounting standards provide guidance only and the decision remains subjective.</w:t>
      </w:r>
    </w:p>
    <w:p w14:paraId="3E72BA0D" w14:textId="111673D2" w:rsidR="0097769A" w:rsidRPr="00D45B1A" w:rsidRDefault="0097769A" w:rsidP="00554A66">
      <w:pPr>
        <w:rPr>
          <w:rFonts w:eastAsia="Calibri"/>
        </w:rPr>
      </w:pPr>
      <w:r w:rsidRPr="00D45B1A">
        <w:rPr>
          <w:rFonts w:eastAsia="Calibri"/>
        </w:rPr>
        <w:t>The asset acquisition or improvement recognition threshol</w:t>
      </w:r>
      <w:r w:rsidRPr="005C2F23">
        <w:rPr>
          <w:rFonts w:eastAsia="Calibri"/>
        </w:rPr>
        <w:t>d for all hospital property, plant and equipment sh</w:t>
      </w:r>
      <w:r w:rsidR="00636603">
        <w:rPr>
          <w:rFonts w:eastAsia="Calibri"/>
        </w:rPr>
        <w:t>ould be no greater than $10,000</w:t>
      </w:r>
      <w:r w:rsidRPr="005C2F23">
        <w:rPr>
          <w:rFonts w:eastAsia="Calibri"/>
        </w:rPr>
        <w:t xml:space="preserve"> (AASB 1</w:t>
      </w:r>
      <w:r w:rsidR="00C70A93">
        <w:rPr>
          <w:rFonts w:eastAsia="Calibri"/>
        </w:rPr>
        <w:t>1</w:t>
      </w:r>
      <w:r w:rsidRPr="005C2F23">
        <w:rPr>
          <w:rFonts w:eastAsia="Calibri"/>
        </w:rPr>
        <w:t>6 Property, Plant and Equipment). Therefore, any expense on assets greater than</w:t>
      </w:r>
      <w:r w:rsidRPr="00D45B1A">
        <w:rPr>
          <w:rFonts w:eastAsia="Calibri"/>
        </w:rPr>
        <w:t xml:space="preserve"> $10,000 will be required to be capitalised.</w:t>
      </w:r>
    </w:p>
    <w:p w14:paraId="52586C0C" w14:textId="62A85CA5" w:rsidR="0097769A" w:rsidRPr="00D45B1A" w:rsidRDefault="0097769A" w:rsidP="00554A66">
      <w:r w:rsidRPr="00D45B1A">
        <w:rPr>
          <w:rFonts w:eastAsia="Calibri"/>
        </w:rPr>
        <w:t>Each subsequent amount over the $10,000 threshold will need to be considered on a case-by-case basis</w:t>
      </w:r>
      <w:r w:rsidR="002F5C51">
        <w:rPr>
          <w:rFonts w:eastAsia="Calibri"/>
        </w:rPr>
        <w:t>.</w:t>
      </w:r>
    </w:p>
    <w:p w14:paraId="2535F4B5" w14:textId="77777777" w:rsidR="0097769A" w:rsidRPr="00D45B1A" w:rsidRDefault="0097769A" w:rsidP="00554A66">
      <w:r w:rsidRPr="00D45B1A">
        <w:t xml:space="preserve">It is the jurisdiction’s discretion to set the threshold amount below $10,000. The nominated threshold amount and the reason for the deviation from the normal threshold amount are usually reported in the published accounts. </w:t>
      </w:r>
    </w:p>
    <w:p w14:paraId="21F99042" w14:textId="0521C766" w:rsidR="0097769A" w:rsidRPr="00D45B1A" w:rsidRDefault="0097769A" w:rsidP="00554A66">
      <w:r w:rsidRPr="00D45B1A">
        <w:t xml:space="preserve">Expense that falls below the jurisdiction’s asset capitalisation threshold or does not meet asset recognition criteria will be expensed in the general ledger (such as repairs and maintenance and minor equipment accounts). Costing </w:t>
      </w:r>
      <w:r w:rsidR="002F5C51">
        <w:t>p</w:t>
      </w:r>
      <w:r w:rsidR="002F5C51" w:rsidRPr="00D45B1A">
        <w:t xml:space="preserve">ractitioners </w:t>
      </w:r>
      <w:r w:rsidRPr="00D45B1A">
        <w:t xml:space="preserve">should consult their </w:t>
      </w:r>
      <w:r w:rsidR="002F5C51">
        <w:t>f</w:t>
      </w:r>
      <w:r w:rsidRPr="00D45B1A">
        <w:t xml:space="preserve">inance stakeholder </w:t>
      </w:r>
      <w:r w:rsidR="002E36E3">
        <w:t xml:space="preserve">to confirm that these expenses </w:t>
      </w:r>
      <w:r w:rsidRPr="00D45B1A">
        <w:t>have been correctly grouped and allocated accordingly.</w:t>
      </w:r>
    </w:p>
    <w:p w14:paraId="7E1FF8E8" w14:textId="7BEB5085" w:rsidR="0097769A" w:rsidRPr="00D45B1A" w:rsidRDefault="0097769A" w:rsidP="00554A66">
      <w:r w:rsidRPr="00D45B1A">
        <w:t xml:space="preserve">Items or components with individual value of under $10,000 may be grouped and capitalised </w:t>
      </w:r>
      <w:r w:rsidR="00F8177A">
        <w:t xml:space="preserve">only </w:t>
      </w:r>
      <w:r w:rsidRPr="00D45B1A">
        <w:t>if the sum of the individual values adds up to more than $10,000.</w:t>
      </w:r>
    </w:p>
    <w:p w14:paraId="2B9CE0AE" w14:textId="055EF813" w:rsidR="0097769A" w:rsidRPr="001F1DFB" w:rsidRDefault="0097769A" w:rsidP="001F1DFB">
      <w:pPr>
        <w:rPr>
          <w:i/>
        </w:rPr>
      </w:pPr>
      <w:r w:rsidRPr="00D45B1A">
        <w:t xml:space="preserve">Hospitals as </w:t>
      </w:r>
      <w:r w:rsidR="00F17A9B" w:rsidRPr="00D45B1A">
        <w:t>lessees</w:t>
      </w:r>
      <w:r w:rsidRPr="00D45B1A">
        <w:t xml:space="preserve"> should recognise </w:t>
      </w:r>
      <w:r w:rsidR="004B4AE1">
        <w:t>r</w:t>
      </w:r>
      <w:r w:rsidR="00393E5F">
        <w:t xml:space="preserve">ight-of-use </w:t>
      </w:r>
      <w:r w:rsidRPr="00D45B1A">
        <w:t xml:space="preserve">assets and </w:t>
      </w:r>
      <w:r w:rsidR="00393E5F">
        <w:t xml:space="preserve">lease </w:t>
      </w:r>
      <w:r w:rsidRPr="00D45B1A">
        <w:t>liabilities for all</w:t>
      </w:r>
      <w:r w:rsidR="002E36E3">
        <w:t xml:space="preserve"> </w:t>
      </w:r>
      <w:r w:rsidRPr="00D45B1A">
        <w:t>leases with a term of more than 12 months</w:t>
      </w:r>
      <w:r w:rsidR="00393E5F">
        <w:t xml:space="preserve"> (short-term)</w:t>
      </w:r>
      <w:r w:rsidRPr="00D45B1A">
        <w:t xml:space="preserve">, unless the </w:t>
      </w:r>
      <w:r w:rsidRPr="00D45B1A">
        <w:lastRenderedPageBreak/>
        <w:t>underlying asset is of low value</w:t>
      </w:r>
      <w:r w:rsidR="00160603">
        <w:t xml:space="preserve"> (no greater than $10,000)</w:t>
      </w:r>
      <w:r w:rsidR="006D69C5">
        <w:t xml:space="preserve"> or the </w:t>
      </w:r>
      <w:r w:rsidR="006E3908">
        <w:t>payments are entirely variable.</w:t>
      </w:r>
      <w:r w:rsidRPr="00D45B1A">
        <w:t xml:space="preserve"> </w:t>
      </w:r>
    </w:p>
    <w:p w14:paraId="3C644B8D" w14:textId="267D88E6" w:rsidR="0097769A" w:rsidRPr="00D45B1A" w:rsidRDefault="0097769A" w:rsidP="00F4148E">
      <w:r w:rsidRPr="00D45B1A">
        <w:t xml:space="preserve">Where jurisdictions have applied different asset capitalisation thresholds, </w:t>
      </w:r>
      <w:r w:rsidR="00014B5A">
        <w:t>c</w:t>
      </w:r>
      <w:r w:rsidRPr="00D45B1A">
        <w:t xml:space="preserve">osting </w:t>
      </w:r>
      <w:r w:rsidR="002F5C51">
        <w:t>p</w:t>
      </w:r>
      <w:r w:rsidRPr="00D45B1A">
        <w:t xml:space="preserve">ractitioners </w:t>
      </w:r>
      <w:r w:rsidR="00F4148E">
        <w:t xml:space="preserve">must seek to understand the deviation and </w:t>
      </w:r>
      <w:r w:rsidR="00F4148E" w:rsidRPr="00EE5038">
        <w:t>state th</w:t>
      </w:r>
      <w:r w:rsidR="00F4148E">
        <w:t xml:space="preserve">is when </w:t>
      </w:r>
      <w:r w:rsidR="00F4148E" w:rsidRPr="00EE5038">
        <w:t>submi</w:t>
      </w:r>
      <w:r w:rsidR="00F4148E">
        <w:t>tting cost data for external use</w:t>
      </w:r>
      <w:r w:rsidR="002F5C51">
        <w:t>.</w:t>
      </w:r>
    </w:p>
    <w:p w14:paraId="6EB33FFA" w14:textId="77777777" w:rsidR="0097769A" w:rsidRPr="00D45B1A" w:rsidRDefault="0097769A" w:rsidP="00554A66">
      <w:r w:rsidRPr="00D45B1A">
        <w:br w:type="page"/>
      </w:r>
    </w:p>
    <w:p w14:paraId="6DAA5F44" w14:textId="41B6C929" w:rsidR="0097769A" w:rsidRPr="001C25DD" w:rsidRDefault="00554A66" w:rsidP="00554A66">
      <w:pPr>
        <w:pStyle w:val="Heading2"/>
      </w:pPr>
      <w:bookmarkStart w:id="28" w:name="_Toc480492960"/>
      <w:bookmarkStart w:id="29" w:name="_Ref489856605"/>
      <w:bookmarkStart w:id="30" w:name="_Ref489856612"/>
      <w:bookmarkStart w:id="31" w:name="_Toc80348253"/>
      <w:r>
        <w:lastRenderedPageBreak/>
        <w:t xml:space="preserve">Capital </w:t>
      </w:r>
      <w:r w:rsidR="009121A0">
        <w:t>E</w:t>
      </w:r>
      <w:r>
        <w:t>xpenses:</w:t>
      </w:r>
      <w:r w:rsidR="0097769A" w:rsidRPr="001C25DD">
        <w:t xml:space="preserve"> </w:t>
      </w:r>
      <w:r w:rsidR="009121A0">
        <w:t>R</w:t>
      </w:r>
      <w:r w:rsidR="0097769A" w:rsidRPr="001C25DD">
        <w:t xml:space="preserve">evaluation of </w:t>
      </w:r>
      <w:r w:rsidR="009121A0">
        <w:t>A</w:t>
      </w:r>
      <w:r w:rsidR="0097769A" w:rsidRPr="001C25DD">
        <w:t>ssets</w:t>
      </w:r>
      <w:bookmarkEnd w:id="28"/>
      <w:bookmarkEnd w:id="29"/>
      <w:bookmarkEnd w:id="30"/>
      <w:bookmarkEnd w:id="31"/>
    </w:p>
    <w:p w14:paraId="3C15A0E0" w14:textId="77777777" w:rsidR="0097769A" w:rsidRPr="00D45B1A" w:rsidRDefault="0097769A" w:rsidP="00554A66">
      <w:pPr>
        <w:pStyle w:val="Heading3"/>
      </w:pPr>
      <w:r w:rsidRPr="00D45B1A">
        <w:t>Scope</w:t>
      </w:r>
    </w:p>
    <w:p w14:paraId="24C97DE1" w14:textId="6AC666AE" w:rsidR="0097769A" w:rsidRPr="00D45B1A" w:rsidRDefault="0097769A" w:rsidP="00554A66">
      <w:r w:rsidRPr="00D45B1A">
        <w:t xml:space="preserve">This </w:t>
      </w:r>
      <w:r w:rsidR="00AE7403">
        <w:t>B</w:t>
      </w:r>
      <w:r w:rsidR="001701AB">
        <w:t xml:space="preserve">usiness </w:t>
      </w:r>
      <w:r w:rsidR="00AE7403">
        <w:t>R</w:t>
      </w:r>
      <w:r w:rsidR="001701AB">
        <w:t>ule</w:t>
      </w:r>
      <w:r w:rsidRPr="00D45B1A">
        <w:t xml:space="preserve"> specifies </w:t>
      </w:r>
      <w:r w:rsidR="00BB52D3">
        <w:t xml:space="preserve">costing </w:t>
      </w:r>
      <w:r w:rsidRPr="00D45B1A">
        <w:t>guidelines for identifying the scope and source of expenses related to the reporting of recognised assets.</w:t>
      </w:r>
    </w:p>
    <w:p w14:paraId="60EEE5AC" w14:textId="2D96984B" w:rsidR="0097769A" w:rsidRPr="00636603" w:rsidRDefault="0097769A" w:rsidP="00554A66">
      <w:r w:rsidRPr="00D45B1A">
        <w:t xml:space="preserve">This </w:t>
      </w:r>
      <w:r w:rsidR="001701AB">
        <w:t>rule</w:t>
      </w:r>
      <w:r w:rsidRPr="00D45B1A">
        <w:t xml:space="preserve"> provides a </w:t>
      </w:r>
      <w:r w:rsidR="00BB52D3">
        <w:t xml:space="preserve">costing </w:t>
      </w:r>
      <w:r w:rsidRPr="00D45B1A">
        <w:t>guideline on defining recognised assets that sh</w:t>
      </w:r>
      <w:r w:rsidRPr="00636603">
        <w:t xml:space="preserve">ould be allocated to final products. </w:t>
      </w:r>
    </w:p>
    <w:p w14:paraId="47EDD585" w14:textId="67177784" w:rsidR="0097769A" w:rsidRPr="00636603" w:rsidRDefault="0097769A" w:rsidP="00554A66">
      <w:r w:rsidRPr="00636603">
        <w:t xml:space="preserve">This </w:t>
      </w:r>
      <w:r w:rsidR="001701AB">
        <w:t>rule</w:t>
      </w:r>
      <w:r w:rsidRPr="00636603">
        <w:t xml:space="preserve"> is reliant on Australian Accounting Standards - AASB 116 Property, Plant and Equipment and AASB 16 Leases. </w:t>
      </w:r>
    </w:p>
    <w:p w14:paraId="0A252796" w14:textId="77777777" w:rsidR="0097769A" w:rsidRPr="00D45B1A" w:rsidRDefault="0097769A" w:rsidP="00554A66">
      <w:pPr>
        <w:pStyle w:val="Heading3"/>
      </w:pPr>
      <w:r w:rsidRPr="00D45B1A">
        <w:t>Objective</w:t>
      </w:r>
    </w:p>
    <w:p w14:paraId="4E6C57EB" w14:textId="424F1E4B" w:rsidR="0097769A" w:rsidRPr="00D45B1A" w:rsidRDefault="0097769A" w:rsidP="00554A66">
      <w:r w:rsidRPr="00D45B1A">
        <w:t xml:space="preserve">To ensure that all assets requiring revaluation are on the same valuation cycle </w:t>
      </w:r>
      <w:r w:rsidR="00F149DC">
        <w:t>to ensure comparability across j</w:t>
      </w:r>
      <w:r w:rsidRPr="00D45B1A">
        <w:t>urisdictions.</w:t>
      </w:r>
    </w:p>
    <w:p w14:paraId="2D75B594" w14:textId="0A50F6F2" w:rsidR="0097769A" w:rsidRPr="00D45B1A" w:rsidRDefault="001701AB" w:rsidP="00554A66">
      <w:pPr>
        <w:pStyle w:val="Heading3"/>
      </w:pPr>
      <w:r>
        <w:t xml:space="preserve">Business </w:t>
      </w:r>
      <w:r w:rsidR="00AE7403">
        <w:t>R</w:t>
      </w:r>
      <w:r>
        <w:t>ule</w:t>
      </w:r>
    </w:p>
    <w:p w14:paraId="17C3B520" w14:textId="2AC7231B" w:rsidR="0097769A" w:rsidRPr="00D45B1A" w:rsidRDefault="0097769A" w:rsidP="00554A66">
      <w:r w:rsidRPr="00D45B1A">
        <w:rPr>
          <w:rFonts w:eastAsia="Calibri"/>
        </w:rPr>
        <w:t xml:space="preserve">Costing </w:t>
      </w:r>
      <w:r w:rsidR="00AB5895">
        <w:rPr>
          <w:rFonts w:eastAsia="Calibri"/>
        </w:rPr>
        <w:t>p</w:t>
      </w:r>
      <w:r w:rsidR="00AB5895" w:rsidRPr="00D45B1A">
        <w:rPr>
          <w:rFonts w:eastAsia="Calibri"/>
        </w:rPr>
        <w:t xml:space="preserve">ractitioners </w:t>
      </w:r>
      <w:r w:rsidRPr="00D45B1A">
        <w:rPr>
          <w:rFonts w:eastAsia="Calibri"/>
        </w:rPr>
        <w:t xml:space="preserve">should consult their relevant </w:t>
      </w:r>
      <w:r w:rsidR="007377F8">
        <w:rPr>
          <w:rFonts w:eastAsia="Calibri"/>
        </w:rPr>
        <w:t>f</w:t>
      </w:r>
      <w:r w:rsidRPr="00D45B1A">
        <w:rPr>
          <w:rFonts w:eastAsia="Calibri"/>
        </w:rPr>
        <w:t xml:space="preserve">inance stakeholder to receive advice on the application of this </w:t>
      </w:r>
      <w:r w:rsidR="001701AB">
        <w:rPr>
          <w:rFonts w:eastAsia="Calibri"/>
        </w:rPr>
        <w:t>rule</w:t>
      </w:r>
      <w:r w:rsidRPr="00D45B1A">
        <w:rPr>
          <w:rFonts w:eastAsia="Calibri"/>
        </w:rPr>
        <w:t xml:space="preserve"> on asset revaluation.</w:t>
      </w:r>
    </w:p>
    <w:p w14:paraId="3CC8F200" w14:textId="349A7A55" w:rsidR="0097769A" w:rsidRPr="00D45B1A" w:rsidRDefault="00C43D61" w:rsidP="00554A66">
      <w:r>
        <w:t>A</w:t>
      </w:r>
      <w:r w:rsidR="0097769A" w:rsidRPr="00D45B1A">
        <w:t xml:space="preserve">ny adjustments to the useful life on individual assets should be made prior to the asset being fully depreciated. Costing </w:t>
      </w:r>
      <w:r w:rsidR="007377F8">
        <w:t>p</w:t>
      </w:r>
      <w:r w:rsidR="0097769A" w:rsidRPr="005C2F23">
        <w:t xml:space="preserve">ractitioners should also consult </w:t>
      </w:r>
      <w:r w:rsidR="001701AB">
        <w:t xml:space="preserve">Business </w:t>
      </w:r>
      <w:r w:rsidR="00AE7403">
        <w:t>R</w:t>
      </w:r>
      <w:r w:rsidR="001701AB">
        <w:t>ule</w:t>
      </w:r>
      <w:r w:rsidR="005C2F23">
        <w:t> </w:t>
      </w:r>
      <w:r w:rsidR="00A97DAC">
        <w:fldChar w:fldCharType="begin"/>
      </w:r>
      <w:r w:rsidR="00A97DAC">
        <w:instrText xml:space="preserve"> REF  _Ref478653172 \r </w:instrText>
      </w:r>
      <w:r w:rsidR="00A97DAC">
        <w:fldChar w:fldCharType="separate"/>
      </w:r>
      <w:r w:rsidR="00274998">
        <w:t>1.1D</w:t>
      </w:r>
      <w:r w:rsidR="00A97DAC">
        <w:fldChar w:fldCharType="end"/>
      </w:r>
      <w:r w:rsidR="0097769A" w:rsidRPr="005C2F23">
        <w:t xml:space="preserve"> </w:t>
      </w:r>
      <w:r w:rsidR="00A97DAC">
        <w:fldChar w:fldCharType="begin"/>
      </w:r>
      <w:r w:rsidR="00A97DAC">
        <w:instrText xml:space="preserve"> REF  _Ref478653172  \* MERGEFORMAT </w:instrText>
      </w:r>
      <w:r w:rsidR="00A97DAC">
        <w:fldChar w:fldCharType="separate"/>
      </w:r>
      <w:r w:rsidR="00274998">
        <w:t>Capital expenses:</w:t>
      </w:r>
      <w:r w:rsidR="00274998" w:rsidRPr="001C25DD">
        <w:t xml:space="preserve"> Useful </w:t>
      </w:r>
      <w:r w:rsidR="00274998">
        <w:t>l</w:t>
      </w:r>
      <w:r w:rsidR="00274998" w:rsidRPr="001C25DD">
        <w:t>ife</w:t>
      </w:r>
      <w:r w:rsidR="00A97DAC">
        <w:fldChar w:fldCharType="end"/>
      </w:r>
      <w:r w:rsidR="0097769A" w:rsidRPr="00D45B1A">
        <w:t xml:space="preserve"> for guidance on determining the useful life of assets. </w:t>
      </w:r>
    </w:p>
    <w:p w14:paraId="03F8C9EA" w14:textId="653FFF8B" w:rsidR="0097769A" w:rsidRPr="00D45B1A" w:rsidRDefault="0097769A" w:rsidP="00554A66">
      <w:r w:rsidRPr="00D45B1A">
        <w:t>Revaluation methodology must follow the</w:t>
      </w:r>
      <w:r w:rsidR="00BB52D3">
        <w:t xml:space="preserve"> costing</w:t>
      </w:r>
      <w:r w:rsidRPr="00D45B1A">
        <w:t xml:space="preserve"> guideline of the relevant </w:t>
      </w:r>
      <w:r w:rsidR="007377F8">
        <w:t>j</w:t>
      </w:r>
      <w:r w:rsidRPr="00D45B1A">
        <w:t xml:space="preserve">urisdiction. </w:t>
      </w:r>
    </w:p>
    <w:p w14:paraId="7A66B64C" w14:textId="77777777" w:rsidR="0097769A" w:rsidRPr="00D45B1A" w:rsidRDefault="0097769A" w:rsidP="00554A66">
      <w:r w:rsidRPr="00D45B1A">
        <w:t>Revaluation i</w:t>
      </w:r>
      <w:r w:rsidRPr="005C2F23">
        <w:t xml:space="preserve">ncrements recorded in the profit and loss of a hospital in accordance with </w:t>
      </w:r>
      <w:r w:rsidR="005C2F23" w:rsidRPr="005C2F23">
        <w:t>Australian A</w:t>
      </w:r>
      <w:r w:rsidRPr="005C2F23">
        <w:t xml:space="preserve">ccounting </w:t>
      </w:r>
      <w:r w:rsidR="005C2F23" w:rsidRPr="005C2F23">
        <w:t>S</w:t>
      </w:r>
      <w:r w:rsidRPr="005C2F23">
        <w:t>tandards should be offset against the depreciation for the asset to which the incre</w:t>
      </w:r>
      <w:r w:rsidRPr="00D45B1A">
        <w:t>ment relates, prior to depreciation being costed in respect of that asset.</w:t>
      </w:r>
    </w:p>
    <w:p w14:paraId="516C8CD3" w14:textId="77777777" w:rsidR="0097769A" w:rsidRPr="00D45B1A" w:rsidRDefault="0097769A" w:rsidP="00554A66">
      <w:r w:rsidRPr="00D45B1A">
        <w:t>Revaluation of assets should occur as per the revaluation mod</w:t>
      </w:r>
      <w:r w:rsidRPr="005C2F23">
        <w:t>el in AASB 116. The frequency of asset revaluations varies depending upon changes in the asset’s fair value for property, plant and equipment. Revaluation may be necessary ever</w:t>
      </w:r>
      <w:r w:rsidRPr="00D45B1A">
        <w:t xml:space="preserve">y three to five years. </w:t>
      </w:r>
    </w:p>
    <w:p w14:paraId="4C63675F" w14:textId="28E5E50D" w:rsidR="0097769A" w:rsidRPr="00D45B1A" w:rsidRDefault="0097769A" w:rsidP="00554A66">
      <w:r w:rsidRPr="00D45B1A">
        <w:t xml:space="preserve">The information on revaluation are reported in the published accounts, </w:t>
      </w:r>
      <w:r w:rsidR="007377F8">
        <w:t>c</w:t>
      </w:r>
      <w:r w:rsidRPr="00D45B1A">
        <w:t>osting practitioners should report the revalua</w:t>
      </w:r>
      <w:r w:rsidRPr="00636603">
        <w:t xml:space="preserve">tion methodology as per Standard </w:t>
      </w:r>
      <w:r w:rsidR="00463D56" w:rsidRPr="00636603">
        <w:t>6.2</w:t>
      </w:r>
      <w:r w:rsidRPr="00636603">
        <w:t xml:space="preserve"> Reconciliation to Source Data</w:t>
      </w:r>
      <w:r w:rsidR="00636603">
        <w:t>.</w:t>
      </w:r>
    </w:p>
    <w:p w14:paraId="1C8196DC" w14:textId="77777777" w:rsidR="0097769A" w:rsidRPr="00D45B1A" w:rsidRDefault="0097769A" w:rsidP="00554A66">
      <w:r w:rsidRPr="00D45B1A">
        <w:br w:type="page"/>
      </w:r>
    </w:p>
    <w:p w14:paraId="32852640" w14:textId="25DE7DFA" w:rsidR="0097769A" w:rsidRPr="001C25DD" w:rsidRDefault="00554A66" w:rsidP="00554A66">
      <w:pPr>
        <w:pStyle w:val="Heading2"/>
      </w:pPr>
      <w:bookmarkStart w:id="32" w:name="_Ref478653172"/>
      <w:bookmarkStart w:id="33" w:name="_Toc480492961"/>
      <w:bookmarkStart w:id="34" w:name="_Toc80348254"/>
      <w:r>
        <w:lastRenderedPageBreak/>
        <w:t xml:space="preserve">Capital </w:t>
      </w:r>
      <w:r w:rsidR="009121A0">
        <w:t>E</w:t>
      </w:r>
      <w:r>
        <w:t>xpenses:</w:t>
      </w:r>
      <w:r w:rsidR="0097769A" w:rsidRPr="001C25DD">
        <w:t xml:space="preserve"> </w:t>
      </w:r>
      <w:r w:rsidR="009121A0">
        <w:t>U</w:t>
      </w:r>
      <w:r w:rsidR="0097769A" w:rsidRPr="001C25DD">
        <w:t xml:space="preserve">seful </w:t>
      </w:r>
      <w:r w:rsidR="009121A0">
        <w:t>L</w:t>
      </w:r>
      <w:r w:rsidR="0097769A" w:rsidRPr="001C25DD">
        <w:t>ife</w:t>
      </w:r>
      <w:bookmarkEnd w:id="32"/>
      <w:bookmarkEnd w:id="33"/>
      <w:bookmarkEnd w:id="34"/>
    </w:p>
    <w:p w14:paraId="39194529" w14:textId="77777777" w:rsidR="0097769A" w:rsidRPr="00D45B1A" w:rsidRDefault="0097769A" w:rsidP="00554A66">
      <w:pPr>
        <w:pStyle w:val="Heading3"/>
      </w:pPr>
      <w:r w:rsidRPr="00D45B1A">
        <w:t>Scope</w:t>
      </w:r>
    </w:p>
    <w:p w14:paraId="197EFC8E" w14:textId="31059012" w:rsidR="0097769A" w:rsidRPr="00D45B1A" w:rsidRDefault="0097769A" w:rsidP="00554A66">
      <w:r w:rsidRPr="00D45B1A">
        <w:t xml:space="preserve">This </w:t>
      </w:r>
      <w:r w:rsidR="00286BD1">
        <w:t>b</w:t>
      </w:r>
      <w:r w:rsidR="001701AB">
        <w:t>usiness rule</w:t>
      </w:r>
      <w:r w:rsidRPr="00D45B1A">
        <w:t xml:space="preserve"> specifies </w:t>
      </w:r>
      <w:r w:rsidR="00BB52D3">
        <w:t xml:space="preserve">costing </w:t>
      </w:r>
      <w:r w:rsidRPr="00D45B1A">
        <w:t>guidelines for identifying the scope and source of expenses related to the useful life of recognised assets.</w:t>
      </w:r>
    </w:p>
    <w:p w14:paraId="37AB9214" w14:textId="5AAFD75D" w:rsidR="0097769A" w:rsidRPr="00D45B1A" w:rsidRDefault="0097769A" w:rsidP="00554A66">
      <w:r w:rsidRPr="00D45B1A">
        <w:t xml:space="preserve">This </w:t>
      </w:r>
      <w:r w:rsidR="001701AB">
        <w:t>rule</w:t>
      </w:r>
      <w:r w:rsidRPr="00D45B1A">
        <w:t xml:space="preserve"> provides a</w:t>
      </w:r>
      <w:r w:rsidR="00BB52D3">
        <w:t xml:space="preserve"> costing</w:t>
      </w:r>
      <w:r w:rsidRPr="00D45B1A">
        <w:t xml:space="preserve"> guideline on defining expenses and thresholds for the useful life of recognised assets that should be allocated to final products. </w:t>
      </w:r>
    </w:p>
    <w:p w14:paraId="4C0FCF79" w14:textId="5C893F68" w:rsidR="0097769A" w:rsidRPr="00D51DEF" w:rsidRDefault="0097769A" w:rsidP="00554A66">
      <w:r w:rsidRPr="00D45B1A">
        <w:t xml:space="preserve">This </w:t>
      </w:r>
      <w:r w:rsidR="001701AB">
        <w:t>rule</w:t>
      </w:r>
      <w:r w:rsidRPr="00D45B1A">
        <w:t xml:space="preserve"> is reliant on </w:t>
      </w:r>
      <w:r w:rsidRPr="00F97E63">
        <w:t>Australian Accounting Standards - AASB 116 Property, Plant and Equipment and AASB 16 Leases.</w:t>
      </w:r>
    </w:p>
    <w:p w14:paraId="1597365E" w14:textId="77777777" w:rsidR="0097769A" w:rsidRPr="00D45B1A" w:rsidRDefault="0097769A" w:rsidP="00554A66">
      <w:pPr>
        <w:pStyle w:val="Heading3"/>
      </w:pPr>
      <w:r w:rsidRPr="00D45B1A">
        <w:t>Objective</w:t>
      </w:r>
    </w:p>
    <w:p w14:paraId="650D6CB8" w14:textId="2D0CA356" w:rsidR="0097769A" w:rsidRPr="00D45B1A" w:rsidRDefault="0097769A" w:rsidP="00554A66">
      <w:r w:rsidRPr="00D45B1A">
        <w:t xml:space="preserve">This </w:t>
      </w:r>
      <w:r w:rsidR="001701AB">
        <w:t>rule</w:t>
      </w:r>
      <w:r w:rsidRPr="00D45B1A">
        <w:t xml:space="preserve"> seeks to ensure that useful lives used in calculating depreciation or amortisation of recognised assets are relevant and applied consistently among hospitals and from period to period.</w:t>
      </w:r>
    </w:p>
    <w:p w14:paraId="4F10AE01" w14:textId="58E2DB6E" w:rsidR="0097769A" w:rsidRPr="00D45B1A" w:rsidRDefault="001701AB" w:rsidP="00554A66">
      <w:pPr>
        <w:pStyle w:val="Heading3"/>
      </w:pPr>
      <w:r>
        <w:t xml:space="preserve">Business </w:t>
      </w:r>
      <w:r w:rsidR="00AE7403">
        <w:t>R</w:t>
      </w:r>
      <w:r>
        <w:t>ule</w:t>
      </w:r>
    </w:p>
    <w:p w14:paraId="4DF02A10" w14:textId="7FA39088" w:rsidR="0097769A" w:rsidRPr="00D45B1A" w:rsidRDefault="0097769A" w:rsidP="00554A66">
      <w:pPr>
        <w:rPr>
          <w:lang w:eastAsia="ja-JP"/>
        </w:rPr>
      </w:pPr>
      <w:r w:rsidRPr="00D45B1A">
        <w:rPr>
          <w:lang w:eastAsia="ja-JP"/>
        </w:rPr>
        <w:t xml:space="preserve">The useful life of assets assigned by hospitals should be based on the minimum useful lives provided in </w:t>
      </w:r>
      <w:r w:rsidRPr="00F97E63">
        <w:rPr>
          <w:lang w:eastAsia="ja-JP"/>
        </w:rPr>
        <w:t>A</w:t>
      </w:r>
      <w:r w:rsidR="00636603">
        <w:rPr>
          <w:lang w:eastAsia="ja-JP"/>
        </w:rPr>
        <w:t xml:space="preserve">TO </w:t>
      </w:r>
      <w:r w:rsidRPr="00F97E63">
        <w:rPr>
          <w:lang w:eastAsia="ja-JP"/>
        </w:rPr>
        <w:t>Tax Ruling 2016/1.</w:t>
      </w:r>
      <w:r w:rsidRPr="00D45B1A">
        <w:rPr>
          <w:lang w:eastAsia="ja-JP"/>
        </w:rPr>
        <w:t xml:space="preserve"> This ruling specifies the minimum useful life to be assigned to classes of asset</w:t>
      </w:r>
      <w:r w:rsidR="00636603">
        <w:rPr>
          <w:lang w:eastAsia="ja-JP"/>
        </w:rPr>
        <w:t>s that are acquired from 1</w:t>
      </w:r>
      <w:r w:rsidRPr="00D45B1A">
        <w:rPr>
          <w:lang w:eastAsia="ja-JP"/>
        </w:rPr>
        <w:t xml:space="preserve"> July 2011 onwards.</w:t>
      </w:r>
    </w:p>
    <w:p w14:paraId="118A8F84" w14:textId="77777777" w:rsidR="0097769A" w:rsidRPr="00D45B1A" w:rsidRDefault="0097769A" w:rsidP="00554A66">
      <w:pPr>
        <w:rPr>
          <w:lang w:eastAsia="ja-JP"/>
        </w:rPr>
      </w:pPr>
      <w:r w:rsidRPr="00D45B1A">
        <w:rPr>
          <w:lang w:eastAsia="ja-JP"/>
        </w:rPr>
        <w:t>The useful life of a leased asset, which is to be capitalised as per AASB 16, should be equivalent to the length of the lease.</w:t>
      </w:r>
    </w:p>
    <w:p w14:paraId="0BB07D6B" w14:textId="77777777" w:rsidR="0097769A" w:rsidRPr="00D45B1A" w:rsidRDefault="0097769A" w:rsidP="00554A66">
      <w:r w:rsidRPr="00D45B1A">
        <w:t>H</w:t>
      </w:r>
      <w:r w:rsidRPr="00D45B1A">
        <w:rPr>
          <w:lang w:eastAsia="ja-JP"/>
        </w:rPr>
        <w:t>ospitals may select a different useful life if this better reflects the service capacity of the asset</w:t>
      </w:r>
      <w:r w:rsidRPr="00D45B1A">
        <w:t>.</w:t>
      </w:r>
    </w:p>
    <w:p w14:paraId="0CC829C5" w14:textId="3844EE19" w:rsidR="0097769A" w:rsidRPr="00D45B1A" w:rsidRDefault="0097769A" w:rsidP="00554A66">
      <w:r w:rsidRPr="00D45B1A">
        <w:t xml:space="preserve">Although the useful life has been pre-determined by the </w:t>
      </w:r>
      <w:r w:rsidR="007377F8">
        <w:t>f</w:t>
      </w:r>
      <w:r w:rsidRPr="00D45B1A">
        <w:t xml:space="preserve">inance </w:t>
      </w:r>
      <w:r w:rsidR="00C70A93">
        <w:t>staff</w:t>
      </w:r>
      <w:r w:rsidRPr="00D45B1A">
        <w:t xml:space="preserve">, costing practitioners should review with their relevant </w:t>
      </w:r>
      <w:r w:rsidR="007377F8">
        <w:t>f</w:t>
      </w:r>
      <w:r w:rsidRPr="00D45B1A">
        <w:t xml:space="preserve">inance </w:t>
      </w:r>
      <w:r w:rsidR="00C70A93">
        <w:t>staff</w:t>
      </w:r>
      <w:r w:rsidR="00C70A93" w:rsidRPr="00D45B1A">
        <w:t xml:space="preserve"> </w:t>
      </w:r>
      <w:r w:rsidRPr="00D45B1A">
        <w:t xml:space="preserve">to </w:t>
      </w:r>
      <w:r w:rsidR="00D51DEF">
        <w:t xml:space="preserve">understand any deviation from the requirement for </w:t>
      </w:r>
      <w:r w:rsidRPr="00D45B1A">
        <w:t xml:space="preserve">minimum life </w:t>
      </w:r>
      <w:r w:rsidR="00D51DEF">
        <w:t xml:space="preserve">to </w:t>
      </w:r>
      <w:r w:rsidRPr="00D45B1A">
        <w:t>reflect the service capacity of the asset</w:t>
      </w:r>
      <w:r w:rsidR="00D51DEF">
        <w:t xml:space="preserve"> and </w:t>
      </w:r>
      <w:r w:rsidR="00D51DEF" w:rsidRPr="00EE5038">
        <w:t>state th</w:t>
      </w:r>
      <w:r w:rsidR="00D51DEF">
        <w:t xml:space="preserve">is when </w:t>
      </w:r>
      <w:r w:rsidR="00D51DEF" w:rsidRPr="00EE5038">
        <w:t>submi</w:t>
      </w:r>
      <w:r w:rsidR="00D51DEF">
        <w:t>tting cost data for external use.</w:t>
      </w:r>
    </w:p>
    <w:p w14:paraId="75F7315F" w14:textId="77777777" w:rsidR="0097769A" w:rsidRPr="00D45B1A" w:rsidRDefault="0097769A" w:rsidP="00554A66">
      <w:r w:rsidRPr="00D45B1A">
        <w:rPr>
          <w:lang w:eastAsia="ja-JP"/>
        </w:rPr>
        <w:t>Reassessment of useful life is permitted where an asset has serviceability longer than its remaining useful life. A hospital can choose to depreciate an asset’s written down value over the adjusted remaining years of serviceability. The reassessment must be performed in accordance with accounting standards.</w:t>
      </w:r>
    </w:p>
    <w:p w14:paraId="272DFC4E" w14:textId="476F003C" w:rsidR="0097769A" w:rsidRPr="00D45B1A" w:rsidRDefault="00780164" w:rsidP="00554A66">
      <w:r>
        <w:rPr>
          <w:lang w:eastAsia="ja-JP"/>
        </w:rPr>
        <w:t>A</w:t>
      </w:r>
      <w:r w:rsidRPr="00D45B1A">
        <w:rPr>
          <w:lang w:eastAsia="ja-JP"/>
        </w:rPr>
        <w:t xml:space="preserve">s per AASB </w:t>
      </w:r>
      <w:r>
        <w:rPr>
          <w:lang w:eastAsia="ja-JP"/>
        </w:rPr>
        <w:t>1</w:t>
      </w:r>
      <w:r w:rsidRPr="00D45B1A">
        <w:rPr>
          <w:lang w:eastAsia="ja-JP"/>
        </w:rPr>
        <w:t>16</w:t>
      </w:r>
      <w:r>
        <w:rPr>
          <w:lang w:eastAsia="ja-JP"/>
        </w:rPr>
        <w:t>, t</w:t>
      </w:r>
      <w:r w:rsidR="0097769A" w:rsidRPr="00D45B1A">
        <w:rPr>
          <w:lang w:eastAsia="ja-JP"/>
        </w:rPr>
        <w:t>he reassessment of useful life cannot be performed on assets that are fully written down without revaluing all assets in that class.</w:t>
      </w:r>
    </w:p>
    <w:p w14:paraId="2A34FA4E" w14:textId="5686406C" w:rsidR="0097769A" w:rsidRPr="00D45B1A" w:rsidRDefault="0097769A" w:rsidP="00554A66">
      <w:r w:rsidRPr="00D45B1A">
        <w:t xml:space="preserve">Where hospitals have applied different useful lives from </w:t>
      </w:r>
      <w:r w:rsidR="00804C84">
        <w:t xml:space="preserve">the </w:t>
      </w:r>
      <w:r w:rsidRPr="00D45B1A">
        <w:rPr>
          <w:lang w:eastAsia="ja-JP"/>
        </w:rPr>
        <w:t>A</w:t>
      </w:r>
      <w:r w:rsidR="00804C84">
        <w:rPr>
          <w:lang w:eastAsia="ja-JP"/>
        </w:rPr>
        <w:t xml:space="preserve">ustralian </w:t>
      </w:r>
      <w:r w:rsidRPr="00D45B1A">
        <w:rPr>
          <w:lang w:eastAsia="ja-JP"/>
        </w:rPr>
        <w:t>T</w:t>
      </w:r>
      <w:r w:rsidR="00804C84">
        <w:rPr>
          <w:lang w:eastAsia="ja-JP"/>
        </w:rPr>
        <w:t xml:space="preserve">axation </w:t>
      </w:r>
      <w:r w:rsidRPr="00D45B1A">
        <w:rPr>
          <w:lang w:eastAsia="ja-JP"/>
        </w:rPr>
        <w:t>O</w:t>
      </w:r>
      <w:r w:rsidR="00804C84">
        <w:rPr>
          <w:lang w:eastAsia="ja-JP"/>
        </w:rPr>
        <w:t>ffice</w:t>
      </w:r>
      <w:r w:rsidRPr="00D45B1A">
        <w:rPr>
          <w:lang w:eastAsia="ja-JP"/>
        </w:rPr>
        <w:t xml:space="preserve"> Taxation Ruling TR 2016/1</w:t>
      </w:r>
      <w:r w:rsidRPr="00D45B1A">
        <w:t xml:space="preserve">, costing practitioners </w:t>
      </w:r>
      <w:r w:rsidR="009E242E">
        <w:t xml:space="preserve">must seek to understand the deviation and </w:t>
      </w:r>
      <w:r w:rsidR="009E242E" w:rsidRPr="00EE5038">
        <w:t>state th</w:t>
      </w:r>
      <w:r w:rsidR="009E242E">
        <w:t xml:space="preserve">is when </w:t>
      </w:r>
      <w:r w:rsidR="009E242E" w:rsidRPr="00EE5038">
        <w:t>submi</w:t>
      </w:r>
      <w:r w:rsidR="009E242E">
        <w:t>tting cost data for external use</w:t>
      </w:r>
      <w:r w:rsidR="003F1BF5">
        <w:t>.</w:t>
      </w:r>
    </w:p>
    <w:p w14:paraId="4D733E21" w14:textId="77777777" w:rsidR="0097769A" w:rsidRPr="00D45B1A" w:rsidRDefault="0097769A" w:rsidP="00554A66">
      <w:r w:rsidRPr="00D45B1A">
        <w:br w:type="page"/>
      </w:r>
    </w:p>
    <w:p w14:paraId="59234FE1" w14:textId="4D88554D" w:rsidR="0097769A" w:rsidRPr="0097769A" w:rsidRDefault="0097769A" w:rsidP="00554A66">
      <w:pPr>
        <w:pStyle w:val="Heading2"/>
      </w:pPr>
      <w:bookmarkStart w:id="35" w:name="_Toc480492962"/>
      <w:bookmarkStart w:id="36" w:name="_Ref489856670"/>
      <w:bookmarkStart w:id="37" w:name="_Ref489856673"/>
      <w:bookmarkStart w:id="38" w:name="_Toc80348255"/>
      <w:r w:rsidRPr="0097769A">
        <w:lastRenderedPageBreak/>
        <w:t>Ca</w:t>
      </w:r>
      <w:r w:rsidR="00554A66">
        <w:t xml:space="preserve">pital </w:t>
      </w:r>
      <w:r w:rsidR="009121A0">
        <w:t>E</w:t>
      </w:r>
      <w:r w:rsidR="00554A66">
        <w:t>xpenses:</w:t>
      </w:r>
      <w:r w:rsidRPr="0097769A">
        <w:t xml:space="preserve"> </w:t>
      </w:r>
      <w:r w:rsidR="009121A0">
        <w:t>C</w:t>
      </w:r>
      <w:r w:rsidRPr="0097769A">
        <w:t xml:space="preserve">lasses of </w:t>
      </w:r>
      <w:bookmarkEnd w:id="35"/>
      <w:bookmarkEnd w:id="36"/>
      <w:bookmarkEnd w:id="37"/>
      <w:r w:rsidR="009121A0">
        <w:t>A</w:t>
      </w:r>
      <w:r w:rsidR="001701AB" w:rsidRPr="0097769A">
        <w:t>ssets</w:t>
      </w:r>
      <w:bookmarkEnd w:id="38"/>
    </w:p>
    <w:p w14:paraId="3ABC470D" w14:textId="77777777" w:rsidR="0097769A" w:rsidRPr="00D45B1A" w:rsidRDefault="0097769A" w:rsidP="00554A66">
      <w:pPr>
        <w:pStyle w:val="Heading3"/>
      </w:pPr>
      <w:r w:rsidRPr="00D45B1A">
        <w:t>Scope</w:t>
      </w:r>
    </w:p>
    <w:p w14:paraId="63FE8F2B" w14:textId="5F3EBCB3" w:rsidR="0097769A" w:rsidRPr="00D45B1A" w:rsidRDefault="0097769A" w:rsidP="00554A66">
      <w:r w:rsidRPr="00D45B1A">
        <w:t xml:space="preserve">This </w:t>
      </w:r>
      <w:r w:rsidR="00AE7403">
        <w:t>B</w:t>
      </w:r>
      <w:r w:rsidR="00804C84">
        <w:t>usiness R</w:t>
      </w:r>
      <w:r w:rsidR="001701AB">
        <w:t>ule</w:t>
      </w:r>
      <w:r w:rsidRPr="00D45B1A">
        <w:t xml:space="preserve"> specifies</w:t>
      </w:r>
      <w:r w:rsidR="00BB52D3">
        <w:t xml:space="preserve"> costing</w:t>
      </w:r>
      <w:r w:rsidRPr="00D45B1A">
        <w:t xml:space="preserve"> guidelines for identifying the scope and source of expenses related to the reporting of recognised assets.</w:t>
      </w:r>
    </w:p>
    <w:p w14:paraId="37C74F78" w14:textId="10B9A961" w:rsidR="0097769A" w:rsidRPr="00D45B1A" w:rsidRDefault="0097769A" w:rsidP="00554A66">
      <w:r w:rsidRPr="00D45B1A">
        <w:t>T</w:t>
      </w:r>
      <w:r w:rsidRPr="00D45B1A">
        <w:rPr>
          <w:lang w:eastAsia="ja-JP"/>
        </w:rPr>
        <w:t xml:space="preserve">his </w:t>
      </w:r>
      <w:r w:rsidR="001701AB">
        <w:rPr>
          <w:lang w:eastAsia="ja-JP"/>
        </w:rPr>
        <w:t>rule</w:t>
      </w:r>
      <w:r w:rsidRPr="00D45B1A">
        <w:rPr>
          <w:lang w:eastAsia="ja-JP"/>
        </w:rPr>
        <w:t xml:space="preserve"> provide</w:t>
      </w:r>
      <w:r w:rsidR="00BB52D3">
        <w:rPr>
          <w:lang w:eastAsia="ja-JP"/>
        </w:rPr>
        <w:t>s costing</w:t>
      </w:r>
      <w:r w:rsidRPr="00D45B1A">
        <w:rPr>
          <w:lang w:eastAsia="ja-JP"/>
        </w:rPr>
        <w:t xml:space="preserve"> guidelines on grouping of assets into classes that will assist with the allocation of capital-related (depreciation) expenses to final cost centres.</w:t>
      </w:r>
    </w:p>
    <w:p w14:paraId="7440892E" w14:textId="77777777" w:rsidR="0097769A" w:rsidRPr="00D45B1A" w:rsidRDefault="0097769A" w:rsidP="00554A66">
      <w:pPr>
        <w:pStyle w:val="Heading3"/>
      </w:pPr>
      <w:r w:rsidRPr="00D45B1A">
        <w:t>Objective</w:t>
      </w:r>
    </w:p>
    <w:p w14:paraId="6ADB9AB3" w14:textId="77777777" w:rsidR="0097769A" w:rsidRPr="00D45B1A" w:rsidRDefault="0097769A" w:rsidP="00554A66">
      <w:r w:rsidRPr="00D45B1A">
        <w:t>To ensure that all depreciation and amortisation incurred in the production of hospital products are grouped, allocated and reported.</w:t>
      </w:r>
    </w:p>
    <w:p w14:paraId="05CAC1F0" w14:textId="3DA3B259" w:rsidR="0097769A" w:rsidRPr="00D45B1A" w:rsidRDefault="001701AB" w:rsidP="00554A66">
      <w:pPr>
        <w:pStyle w:val="Heading3"/>
      </w:pPr>
      <w:r>
        <w:t xml:space="preserve">Business </w:t>
      </w:r>
      <w:r w:rsidR="00AE7403">
        <w:t>R</w:t>
      </w:r>
      <w:r>
        <w:t>ule</w:t>
      </w:r>
    </w:p>
    <w:p w14:paraId="4E7EBFDF" w14:textId="303EDBD4" w:rsidR="0097769A" w:rsidRPr="00D45B1A" w:rsidRDefault="00C779CE" w:rsidP="00554A66">
      <w:pPr>
        <w:rPr>
          <w:lang w:eastAsia="ja-JP"/>
        </w:rPr>
      </w:pPr>
      <w:r>
        <w:rPr>
          <w:lang w:eastAsia="ja-JP"/>
        </w:rPr>
        <w:t>For t</w:t>
      </w:r>
      <w:r w:rsidR="0097769A" w:rsidRPr="00D45B1A">
        <w:rPr>
          <w:lang w:eastAsia="ja-JP"/>
        </w:rPr>
        <w:t xml:space="preserve">he purposes of cost </w:t>
      </w:r>
      <w:r w:rsidR="00B76DA7">
        <w:rPr>
          <w:lang w:eastAsia="ja-JP"/>
        </w:rPr>
        <w:t>allocation</w:t>
      </w:r>
      <w:r w:rsidR="0097769A" w:rsidRPr="00D45B1A">
        <w:rPr>
          <w:lang w:eastAsia="ja-JP"/>
        </w:rPr>
        <w:t>, assets will be generally categorised into the following classes:</w:t>
      </w:r>
    </w:p>
    <w:p w14:paraId="59FE10CB" w14:textId="77777777" w:rsidR="00804C84" w:rsidRPr="00D45B1A" w:rsidRDefault="00804C84" w:rsidP="00804C84">
      <w:pPr>
        <w:pStyle w:val="Bullet-text"/>
      </w:pPr>
      <w:r w:rsidRPr="00D45B1A">
        <w:t>buildings and improvements</w:t>
      </w:r>
    </w:p>
    <w:p w14:paraId="62574E50" w14:textId="4C472F8D" w:rsidR="00804C84" w:rsidRDefault="00804C84" w:rsidP="00804C84">
      <w:pPr>
        <w:pStyle w:val="Bullet-text"/>
      </w:pPr>
      <w:r w:rsidRPr="00D45B1A">
        <w:t>intangibles</w:t>
      </w:r>
      <w:r>
        <w:t>, consistent with the definition of Intangible Assets per AAS 138</w:t>
      </w:r>
    </w:p>
    <w:p w14:paraId="6F93A3E1" w14:textId="0A6BBDA6" w:rsidR="0097769A" w:rsidRPr="00D45B1A" w:rsidRDefault="0097769A" w:rsidP="00636603">
      <w:pPr>
        <w:pStyle w:val="Bullet-text"/>
      </w:pPr>
      <w:r w:rsidRPr="00D45B1A">
        <w:t>medical equipment</w:t>
      </w:r>
    </w:p>
    <w:p w14:paraId="0E02CEBA" w14:textId="77777777" w:rsidR="0097769A" w:rsidRPr="00D45B1A" w:rsidRDefault="0097769A" w:rsidP="00636603">
      <w:pPr>
        <w:pStyle w:val="Bullet-text"/>
      </w:pPr>
      <w:r w:rsidRPr="00D45B1A">
        <w:t>plant and non-medical equipment</w:t>
      </w:r>
    </w:p>
    <w:p w14:paraId="07A2E103" w14:textId="4B7D6882" w:rsidR="0097769A" w:rsidRPr="00D45B1A" w:rsidRDefault="0097769A" w:rsidP="00636603">
      <w:pPr>
        <w:pStyle w:val="Bullet-text"/>
      </w:pPr>
      <w:r w:rsidRPr="00D45B1A">
        <w:t>right-</w:t>
      </w:r>
      <w:r w:rsidR="001D2740">
        <w:t>of</w:t>
      </w:r>
      <w:r w:rsidRPr="00D45B1A">
        <w:t>-use</w:t>
      </w:r>
      <w:r w:rsidR="00C43D61">
        <w:t xml:space="preserve">, </w:t>
      </w:r>
      <w:r w:rsidR="001149F9">
        <w:t>where a</w:t>
      </w:r>
      <w:r w:rsidR="00C43D61">
        <w:t xml:space="preserve"> lessor </w:t>
      </w:r>
      <w:r w:rsidR="001149F9">
        <w:t xml:space="preserve">agrees to give a lessee the </w:t>
      </w:r>
      <w:r w:rsidR="00C43D61">
        <w:t xml:space="preserve">right to use an asset for an agreed period of time in return for </w:t>
      </w:r>
      <w:r w:rsidR="001149F9">
        <w:t>a payment or series of payments</w:t>
      </w:r>
      <w:r w:rsidR="00286BD1">
        <w:t>.</w:t>
      </w:r>
    </w:p>
    <w:p w14:paraId="0E9EE7FD" w14:textId="76841F04" w:rsidR="0097769A" w:rsidRPr="00D45B1A" w:rsidRDefault="0097769A" w:rsidP="00554A66">
      <w:r w:rsidRPr="00D45B1A">
        <w:rPr>
          <w:lang w:eastAsia="ja-JP"/>
        </w:rPr>
        <w:t xml:space="preserve">Costing practitioners should consult with their </w:t>
      </w:r>
      <w:r w:rsidRPr="00D45B1A">
        <w:rPr>
          <w:rFonts w:eastAsia="Calibri"/>
        </w:rPr>
        <w:t xml:space="preserve">relevant </w:t>
      </w:r>
      <w:r w:rsidR="007377F8">
        <w:rPr>
          <w:rFonts w:eastAsia="Calibri"/>
        </w:rPr>
        <w:t>f</w:t>
      </w:r>
      <w:r w:rsidRPr="00D45B1A">
        <w:rPr>
          <w:rFonts w:eastAsia="Calibri"/>
        </w:rPr>
        <w:t xml:space="preserve">inance stakeholder on how assets and depreciation expenses </w:t>
      </w:r>
      <w:r w:rsidRPr="00D45B1A">
        <w:rPr>
          <w:lang w:eastAsia="ja-JP"/>
        </w:rPr>
        <w:t>are grouped within the hospital’s financial reporting.</w:t>
      </w:r>
    </w:p>
    <w:p w14:paraId="01369BB9" w14:textId="77777777" w:rsidR="0097769A" w:rsidRPr="00D45B1A" w:rsidRDefault="0097769A" w:rsidP="00554A66">
      <w:r w:rsidRPr="00D45B1A">
        <w:rPr>
          <w:lang w:eastAsia="ja-JP"/>
        </w:rPr>
        <w:t xml:space="preserve">For costing purposes, regardless of how the assets are grouped and reported in the published accounts, costing practitioners should ensure that assets of </w:t>
      </w:r>
      <w:r w:rsidRPr="00D45B1A">
        <w:t xml:space="preserve">a similar nature are grouped as per their use in the hospital. </w:t>
      </w:r>
    </w:p>
    <w:p w14:paraId="2700AE46" w14:textId="2E1F92A9" w:rsidR="0097769A" w:rsidRPr="00D45B1A" w:rsidRDefault="0097769A" w:rsidP="00554A66">
      <w:r w:rsidRPr="00D45B1A">
        <w:t xml:space="preserve">Sub-groups may be created for each of the asset classes listed above if different allocation methodologies or cost drivers can be applied for various sub-groups. For example, medical equipment in </w:t>
      </w:r>
      <w:r w:rsidR="007377F8">
        <w:t>r</w:t>
      </w:r>
      <w:r w:rsidRPr="00D45B1A">
        <w:t xml:space="preserve">adiology </w:t>
      </w:r>
      <w:r w:rsidR="007377F8">
        <w:t>d</w:t>
      </w:r>
      <w:r w:rsidRPr="00D45B1A">
        <w:t>epartment are further grouped based on the specific equipment used in different tests/treatment:</w:t>
      </w:r>
    </w:p>
    <w:p w14:paraId="602A7165" w14:textId="0FD6EBF6" w:rsidR="0097769A" w:rsidRPr="00D45B1A" w:rsidRDefault="0097769A" w:rsidP="00636603">
      <w:pPr>
        <w:pStyle w:val="Bullet-text"/>
      </w:pPr>
      <w:r w:rsidRPr="00D45B1A">
        <w:t>medical equipment – X</w:t>
      </w:r>
      <w:r w:rsidR="002A1D2E">
        <w:t>-</w:t>
      </w:r>
      <w:r w:rsidRPr="00D45B1A">
        <w:t>ray</w:t>
      </w:r>
    </w:p>
    <w:p w14:paraId="574D1D59" w14:textId="77777777" w:rsidR="0097769A" w:rsidRPr="00D45B1A" w:rsidRDefault="0097769A" w:rsidP="00636603">
      <w:pPr>
        <w:pStyle w:val="Bullet-text"/>
      </w:pPr>
      <w:r w:rsidRPr="00D45B1A">
        <w:t>medical equipment – MRI</w:t>
      </w:r>
    </w:p>
    <w:p w14:paraId="446BC5D6" w14:textId="64C059BD" w:rsidR="0097769A" w:rsidRPr="00D45B1A" w:rsidRDefault="0097769A" w:rsidP="00636603">
      <w:pPr>
        <w:pStyle w:val="Bullet-text"/>
      </w:pPr>
      <w:r w:rsidRPr="00D45B1A">
        <w:t>medical equipment – CT</w:t>
      </w:r>
      <w:r w:rsidR="004C21C6">
        <w:t>.</w:t>
      </w:r>
    </w:p>
    <w:p w14:paraId="759168CC" w14:textId="77777777" w:rsidR="0097769A" w:rsidRDefault="0097769A" w:rsidP="00554A66">
      <w:r w:rsidRPr="00D45B1A">
        <w:t>Costing practitioners should re-categorise assets to the correct categories if the assets reported in the general ledger are not consistent with costing requirements.</w:t>
      </w:r>
    </w:p>
    <w:p w14:paraId="666E53F1" w14:textId="77777777" w:rsidR="0097769A" w:rsidRDefault="0097769A" w:rsidP="00554A66">
      <w:r>
        <w:br w:type="page"/>
      </w:r>
    </w:p>
    <w:p w14:paraId="31972BE1" w14:textId="654B7448" w:rsidR="0097769A" w:rsidRPr="00293D8F" w:rsidRDefault="0097769A" w:rsidP="00554A66">
      <w:pPr>
        <w:pStyle w:val="Heading2"/>
      </w:pPr>
      <w:bookmarkStart w:id="39" w:name="_Ref478652171"/>
      <w:bookmarkStart w:id="40" w:name="_Toc480492939"/>
      <w:bookmarkStart w:id="41" w:name="_Ref489856698"/>
      <w:bookmarkStart w:id="42" w:name="_Ref489856701"/>
      <w:bookmarkStart w:id="43" w:name="_Toc80348256"/>
      <w:r w:rsidRPr="00293D8F">
        <w:lastRenderedPageBreak/>
        <w:t xml:space="preserve">Commercial </w:t>
      </w:r>
      <w:r w:rsidR="009121A0">
        <w:t>B</w:t>
      </w:r>
      <w:r w:rsidRPr="00293D8F">
        <w:t xml:space="preserve">usiness </w:t>
      </w:r>
      <w:bookmarkEnd w:id="39"/>
      <w:r w:rsidR="009121A0">
        <w:t>U</w:t>
      </w:r>
      <w:r w:rsidRPr="00293D8F">
        <w:t>nits</w:t>
      </w:r>
      <w:bookmarkEnd w:id="40"/>
      <w:bookmarkEnd w:id="41"/>
      <w:bookmarkEnd w:id="42"/>
      <w:bookmarkEnd w:id="43"/>
    </w:p>
    <w:p w14:paraId="0F7B1CB9" w14:textId="77777777" w:rsidR="0097769A" w:rsidRPr="00D45B1A" w:rsidRDefault="0097769A" w:rsidP="00554A66">
      <w:pPr>
        <w:pStyle w:val="Heading3"/>
      </w:pPr>
      <w:r w:rsidRPr="00D45B1A">
        <w:t>Scope</w:t>
      </w:r>
    </w:p>
    <w:p w14:paraId="0109B1B7" w14:textId="4B708342" w:rsidR="0097769A" w:rsidRPr="00D45B1A" w:rsidRDefault="0097769A" w:rsidP="00554A66">
      <w:r w:rsidRPr="00D45B1A">
        <w:t xml:space="preserve">This </w:t>
      </w:r>
      <w:r w:rsidR="00AE7403">
        <w:t>B</w:t>
      </w:r>
      <w:r w:rsidR="001701AB">
        <w:t xml:space="preserve">usiness </w:t>
      </w:r>
      <w:r w:rsidR="00AE7403">
        <w:t>R</w:t>
      </w:r>
      <w:r w:rsidR="001701AB">
        <w:t>ule</w:t>
      </w:r>
      <w:r w:rsidRPr="00D45B1A">
        <w:t xml:space="preserve"> provides a </w:t>
      </w:r>
      <w:r w:rsidR="00BB52D3">
        <w:t xml:space="preserve">costing </w:t>
      </w:r>
      <w:r w:rsidRPr="00D45B1A">
        <w:t>guideline to identify expenses associated with commercial business entities.</w:t>
      </w:r>
    </w:p>
    <w:p w14:paraId="6BF3580D" w14:textId="5CA751CC" w:rsidR="0097769A" w:rsidRPr="00D45B1A" w:rsidRDefault="0097769A" w:rsidP="00554A66">
      <w:r w:rsidRPr="00D45B1A">
        <w:t xml:space="preserve">This </w:t>
      </w:r>
      <w:r w:rsidR="001701AB">
        <w:t>rule</w:t>
      </w:r>
      <w:r w:rsidRPr="00D45B1A">
        <w:t xml:space="preserve"> provides practical examples to guide staff on the process of identifying these expenses.</w:t>
      </w:r>
    </w:p>
    <w:p w14:paraId="7185C8C2" w14:textId="77777777" w:rsidR="0097769A" w:rsidRPr="00D45B1A" w:rsidRDefault="0097769A" w:rsidP="00554A66">
      <w:pPr>
        <w:pStyle w:val="Heading3"/>
      </w:pPr>
      <w:r w:rsidRPr="00D45B1A">
        <w:t>Objective</w:t>
      </w:r>
    </w:p>
    <w:p w14:paraId="11571CCF" w14:textId="2EFB24C3" w:rsidR="00485F9B" w:rsidRDefault="0097769A" w:rsidP="00554A66">
      <w:r w:rsidRPr="00D45B1A">
        <w:t xml:space="preserve">The objective of this </w:t>
      </w:r>
      <w:r w:rsidR="001701AB">
        <w:t>rule</w:t>
      </w:r>
      <w:r w:rsidRPr="00D45B1A">
        <w:t xml:space="preserve"> is to ensure that all commercial business entity expenses which cont</w:t>
      </w:r>
      <w:r w:rsidR="00804C84">
        <w:t>ribute to an organisation’s day-to-</w:t>
      </w:r>
      <w:r w:rsidRPr="00D45B1A">
        <w:t xml:space="preserve">day production of final products are included </w:t>
      </w:r>
      <w:r w:rsidR="00485F9B">
        <w:t>in the costing general ledger and used for costing allocation to determine the full cost of production.</w:t>
      </w:r>
    </w:p>
    <w:p w14:paraId="528EE7D8" w14:textId="03B81C84" w:rsidR="0097769A" w:rsidRPr="00D45B1A" w:rsidRDefault="0097769A" w:rsidP="00554A66">
      <w:r w:rsidRPr="00D45B1A">
        <w:t xml:space="preserve">This </w:t>
      </w:r>
      <w:r w:rsidR="001701AB">
        <w:t>rule</w:t>
      </w:r>
      <w:r w:rsidRPr="00D45B1A">
        <w:t xml:space="preserve"> also aims to provide a resource for staff to assist them undertaking a patient level costing exercise by providing practical examples of commercial business entities.</w:t>
      </w:r>
    </w:p>
    <w:p w14:paraId="4F611AB1" w14:textId="492AAC39" w:rsidR="0097769A" w:rsidRPr="00D45B1A" w:rsidRDefault="001701AB" w:rsidP="00554A66">
      <w:pPr>
        <w:pStyle w:val="Heading3"/>
      </w:pPr>
      <w:r>
        <w:t xml:space="preserve">Business </w:t>
      </w:r>
      <w:r w:rsidR="00AE7403">
        <w:t>R</w:t>
      </w:r>
      <w:r>
        <w:t>ule</w:t>
      </w:r>
    </w:p>
    <w:p w14:paraId="5B49CE3E" w14:textId="77777777" w:rsidR="0097769A" w:rsidRPr="00D45B1A" w:rsidRDefault="0097769A" w:rsidP="00554A66">
      <w:r w:rsidRPr="00D45B1A">
        <w:t xml:space="preserve">Many hospital commercial business units do not generate products that are used in the production of the hospital’s patient products. Examples of commercial business units include the: </w:t>
      </w:r>
    </w:p>
    <w:p w14:paraId="68FC9DE6" w14:textId="77777777" w:rsidR="00804C84" w:rsidRPr="00C70B7A" w:rsidRDefault="00804C84" w:rsidP="00804C84">
      <w:pPr>
        <w:pStyle w:val="Bullet-text"/>
      </w:pPr>
      <w:r>
        <w:t>car parking</w:t>
      </w:r>
    </w:p>
    <w:p w14:paraId="3E425EE4" w14:textId="77777777" w:rsidR="00804C84" w:rsidRPr="00C70B7A" w:rsidRDefault="00804C84" w:rsidP="00804C84">
      <w:pPr>
        <w:pStyle w:val="Bullet-text"/>
      </w:pPr>
      <w:r w:rsidRPr="00C70B7A">
        <w:t>childcare centres, and leasing of retail (</w:t>
      </w:r>
      <w:r>
        <w:t>for example,</w:t>
      </w:r>
      <w:r w:rsidRPr="00C70B7A">
        <w:t xml:space="preserve"> for the operation of on-site cafes)</w:t>
      </w:r>
    </w:p>
    <w:p w14:paraId="74994573" w14:textId="6B673DA8" w:rsidR="00804C84" w:rsidRDefault="00804C84" w:rsidP="00804C84">
      <w:pPr>
        <w:pStyle w:val="Bullet-text"/>
      </w:pPr>
      <w:r w:rsidRPr="00C70B7A">
        <w:t>commercial space (</w:t>
      </w:r>
      <w:r>
        <w:t>for example,</w:t>
      </w:r>
      <w:r w:rsidRPr="00C70B7A">
        <w:t xml:space="preserve"> for </w:t>
      </w:r>
      <w:r>
        <w:t>on-site private medical suites)</w:t>
      </w:r>
    </w:p>
    <w:p w14:paraId="397A077A" w14:textId="448E45BE" w:rsidR="0097769A" w:rsidRPr="00C70B7A" w:rsidRDefault="003F1BF5" w:rsidP="00636603">
      <w:pPr>
        <w:pStyle w:val="Bullet-text"/>
      </w:pPr>
      <w:r>
        <w:t>florist shop</w:t>
      </w:r>
      <w:r w:rsidR="00804C84">
        <w:t>.</w:t>
      </w:r>
    </w:p>
    <w:p w14:paraId="5AB85933" w14:textId="77777777" w:rsidR="0097769A" w:rsidRPr="00D45B1A" w:rsidRDefault="0097769A" w:rsidP="00554A66">
      <w:pPr>
        <w:rPr>
          <w:lang w:eastAsia="ja-JP"/>
        </w:rPr>
      </w:pPr>
      <w:r w:rsidRPr="00D45B1A">
        <w:rPr>
          <w:lang w:eastAsia="ja-JP"/>
        </w:rPr>
        <w:t>Where commercial business units do not generate products that are used in the production of the hospital’s patient products and these expenses are held within the hospital's general ledger, these costed entities should be treated as non-patient products.</w:t>
      </w:r>
    </w:p>
    <w:p w14:paraId="6D42DCBB" w14:textId="77777777" w:rsidR="0097769A" w:rsidRPr="00D45B1A" w:rsidRDefault="0097769A" w:rsidP="00554A66">
      <w:r w:rsidRPr="00D45B1A">
        <w:rPr>
          <w:lang w:eastAsia="ja-JP"/>
        </w:rPr>
        <w:t>Commercial units may produce products that are also used in generating patient products, such as:</w:t>
      </w:r>
    </w:p>
    <w:p w14:paraId="391ADEA8" w14:textId="59166601" w:rsidR="0097769A" w:rsidRPr="00D45B1A" w:rsidRDefault="0097769A" w:rsidP="00636603">
      <w:pPr>
        <w:pStyle w:val="Bullet-text"/>
      </w:pPr>
      <w:r w:rsidRPr="00D45B1A">
        <w:t xml:space="preserve">commercial kitchens (for example, bulk food production) </w:t>
      </w:r>
    </w:p>
    <w:p w14:paraId="30D3487A" w14:textId="3F9148D6" w:rsidR="00804C84" w:rsidRDefault="00804C84" w:rsidP="00804C84">
      <w:pPr>
        <w:pStyle w:val="Bullet-text"/>
      </w:pPr>
      <w:r>
        <w:t>commercial linen services</w:t>
      </w:r>
    </w:p>
    <w:p w14:paraId="56DC9C16" w14:textId="666E4ED6" w:rsidR="0097769A" w:rsidRPr="00D45B1A" w:rsidRDefault="0097769A" w:rsidP="00636603">
      <w:pPr>
        <w:pStyle w:val="Bullet-text"/>
      </w:pPr>
      <w:r w:rsidRPr="00D45B1A">
        <w:t>diagnostic services (for example, pathology and diagnostic imaging)</w:t>
      </w:r>
    </w:p>
    <w:p w14:paraId="4C7D4374" w14:textId="77777777" w:rsidR="0097769A" w:rsidRPr="00D45B1A" w:rsidRDefault="0097769A" w:rsidP="00636603">
      <w:pPr>
        <w:pStyle w:val="Bullet-text"/>
      </w:pPr>
      <w:r w:rsidRPr="00D45B1A">
        <w:t>other non-patient related business units.</w:t>
      </w:r>
    </w:p>
    <w:p w14:paraId="7C91A688" w14:textId="35595DE0" w:rsidR="0097769A" w:rsidRPr="00D45B1A" w:rsidRDefault="0097769A" w:rsidP="00554A66">
      <w:r w:rsidRPr="00D45B1A">
        <w:rPr>
          <w:lang w:eastAsia="ja-JP"/>
        </w:rPr>
        <w:t xml:space="preserve">These expenses must be included in the product costing process and partitioned into commercial (non-patient) and patient related activities. </w:t>
      </w:r>
      <w:r w:rsidRPr="00D45B1A">
        <w:t xml:space="preserve">Costing practitioners should meet with the finance department, as owners of the general ledger, to document those cost centres and/or </w:t>
      </w:r>
      <w:r w:rsidR="007377F8">
        <w:t>a</w:t>
      </w:r>
      <w:r w:rsidR="007377F8" w:rsidRPr="00F97E63">
        <w:t xml:space="preserve">ccount </w:t>
      </w:r>
      <w:r w:rsidR="007377F8">
        <w:t>c</w:t>
      </w:r>
      <w:r w:rsidR="007377F8" w:rsidRPr="00F97E63">
        <w:t>odes</w:t>
      </w:r>
      <w:r w:rsidR="007377F8" w:rsidRPr="00D45B1A">
        <w:t xml:space="preserve"> </w:t>
      </w:r>
      <w:r w:rsidRPr="00D45B1A">
        <w:t>that directly relate to this expense</w:t>
      </w:r>
      <w:r w:rsidRPr="00D45B1A" w:rsidDel="0002272D">
        <w:t>.</w:t>
      </w:r>
    </w:p>
    <w:p w14:paraId="7AAEB719" w14:textId="366476E2" w:rsidR="0097769A" w:rsidRPr="00D45B1A" w:rsidRDefault="0097769A" w:rsidP="00554A66">
      <w:r w:rsidRPr="00D45B1A">
        <w:t>Practical example</w:t>
      </w:r>
      <w:r w:rsidR="006936A0">
        <w:t>s</w:t>
      </w:r>
      <w:r w:rsidRPr="00D45B1A">
        <w:t xml:space="preserve"> to consider are where</w:t>
      </w:r>
      <w:r w:rsidR="007377F8">
        <w:t>:</w:t>
      </w:r>
    </w:p>
    <w:p w14:paraId="1BB3387D" w14:textId="0FE8BAEB" w:rsidR="0097769A" w:rsidRPr="00D45B1A" w:rsidRDefault="0097769A" w:rsidP="00636603">
      <w:pPr>
        <w:pStyle w:val="Bullet-text"/>
      </w:pPr>
      <w:r w:rsidRPr="00D45B1A">
        <w:t xml:space="preserve">a bulk food production facility attached to a hospital will provide patient meal portions to patient encounters at that </w:t>
      </w:r>
      <w:r w:rsidR="00702703" w:rsidRPr="00D45B1A">
        <w:t>hospital but</w:t>
      </w:r>
      <w:r w:rsidRPr="00D45B1A">
        <w:t xml:space="preserve"> may also have commercial agreements to supply patient meal po</w:t>
      </w:r>
      <w:r w:rsidR="003B36BB">
        <w:t>rtions to other health services</w:t>
      </w:r>
    </w:p>
    <w:p w14:paraId="458AD75F" w14:textId="77777777" w:rsidR="0097769A" w:rsidRPr="00D45B1A" w:rsidRDefault="0097769A" w:rsidP="00636603">
      <w:pPr>
        <w:pStyle w:val="Bullet-text"/>
      </w:pPr>
      <w:r w:rsidRPr="00D45B1A">
        <w:lastRenderedPageBreak/>
        <w:t>similarly, a commercial linen service on the premises of a hospital will provide linen services to the hospital and other non-related hospitals or organisations.</w:t>
      </w:r>
    </w:p>
    <w:p w14:paraId="7A7527AF" w14:textId="77777777" w:rsidR="0097769A" w:rsidRPr="00D45B1A" w:rsidRDefault="0097769A" w:rsidP="00554A66">
      <w:r w:rsidRPr="00D45B1A">
        <w:t xml:space="preserve">After documenting the commercial business unit expenses, costing practitioners should meet with the relevant cost centre managers to discuss any partition that is required between patient products and non-patient products. </w:t>
      </w:r>
    </w:p>
    <w:p w14:paraId="7B804C0C" w14:textId="62375228" w:rsidR="00DB58FF" w:rsidRPr="00D45B1A" w:rsidRDefault="0097769A" w:rsidP="00554A66">
      <w:r w:rsidRPr="00D45B1A">
        <w:t xml:space="preserve">For reconciliation purposes, costing practitioners should ensure that expenses related to corporate and shared services are specified as per </w:t>
      </w:r>
      <w:r w:rsidR="00636603" w:rsidRPr="00636603">
        <w:t>Standard 6.2 Reconciliation to Source Data</w:t>
      </w:r>
      <w:r w:rsidR="00636603">
        <w:t>.</w:t>
      </w:r>
    </w:p>
    <w:p w14:paraId="434D3B00" w14:textId="77777777" w:rsidR="009750E4" w:rsidRDefault="009750E4" w:rsidP="00554A66">
      <w:r>
        <w:br w:type="page"/>
      </w:r>
    </w:p>
    <w:p w14:paraId="2AA35E20" w14:textId="227A191F" w:rsidR="009750E4" w:rsidRPr="00293D8F" w:rsidRDefault="009750E4" w:rsidP="009750E4">
      <w:pPr>
        <w:pStyle w:val="Heading2"/>
      </w:pPr>
      <w:bookmarkStart w:id="44" w:name="_Toc80348257"/>
      <w:r>
        <w:lastRenderedPageBreak/>
        <w:t xml:space="preserve">Lease </w:t>
      </w:r>
      <w:r w:rsidR="009121A0">
        <w:t>C</w:t>
      </w:r>
      <w:r>
        <w:t>osts</w:t>
      </w:r>
      <w:bookmarkEnd w:id="44"/>
    </w:p>
    <w:p w14:paraId="585EAE9E" w14:textId="77777777" w:rsidR="009750E4" w:rsidRPr="00D45B1A" w:rsidRDefault="009750E4" w:rsidP="009750E4">
      <w:pPr>
        <w:pStyle w:val="Heading3"/>
      </w:pPr>
      <w:r w:rsidRPr="00D45B1A">
        <w:t>Scope</w:t>
      </w:r>
    </w:p>
    <w:p w14:paraId="435DB7B1" w14:textId="0A679167" w:rsidR="009750E4" w:rsidRPr="00D45B1A" w:rsidRDefault="009750E4" w:rsidP="009750E4">
      <w:r w:rsidRPr="00D45B1A">
        <w:t xml:space="preserve">This </w:t>
      </w:r>
      <w:r w:rsidR="00AE7403">
        <w:t>B</w:t>
      </w:r>
      <w:r>
        <w:t xml:space="preserve">usiness </w:t>
      </w:r>
      <w:r w:rsidR="00AE7403">
        <w:t>R</w:t>
      </w:r>
      <w:r>
        <w:t>ule</w:t>
      </w:r>
      <w:r w:rsidRPr="00D45B1A">
        <w:t xml:space="preserve"> provides a </w:t>
      </w:r>
      <w:r>
        <w:t xml:space="preserve">costing </w:t>
      </w:r>
      <w:r w:rsidRPr="00D45B1A">
        <w:t xml:space="preserve">guideline to identify expenses associated with </w:t>
      </w:r>
      <w:r w:rsidR="004A1164">
        <w:t>lease costs</w:t>
      </w:r>
      <w:r w:rsidRPr="00D45B1A">
        <w:t>.</w:t>
      </w:r>
    </w:p>
    <w:p w14:paraId="7D5CE866" w14:textId="732A4657" w:rsidR="009750E4" w:rsidRPr="00D45B1A" w:rsidRDefault="009750E4" w:rsidP="009750E4">
      <w:r w:rsidRPr="00D45B1A">
        <w:t xml:space="preserve">This </w:t>
      </w:r>
      <w:r>
        <w:t>rule</w:t>
      </w:r>
      <w:r w:rsidRPr="00D45B1A">
        <w:t xml:space="preserve"> provides practical examples to guide staff on the process of identifying these expenses.</w:t>
      </w:r>
    </w:p>
    <w:p w14:paraId="704C8EDB" w14:textId="77777777" w:rsidR="009750E4" w:rsidRPr="00D45B1A" w:rsidRDefault="009750E4" w:rsidP="009750E4">
      <w:pPr>
        <w:pStyle w:val="Heading3"/>
      </w:pPr>
      <w:r w:rsidRPr="00D45B1A">
        <w:t>Objective</w:t>
      </w:r>
    </w:p>
    <w:p w14:paraId="441166DD" w14:textId="2D65CB7B" w:rsidR="009750E4" w:rsidRDefault="009750E4" w:rsidP="009750E4">
      <w:r w:rsidRPr="00D45B1A">
        <w:t xml:space="preserve">The objective of this </w:t>
      </w:r>
      <w:r>
        <w:t>rule</w:t>
      </w:r>
      <w:r w:rsidRPr="00D45B1A">
        <w:t xml:space="preserve"> is to ensure that all </w:t>
      </w:r>
      <w:r w:rsidR="004A1164">
        <w:t>lease costs</w:t>
      </w:r>
      <w:r w:rsidRPr="00D45B1A">
        <w:t xml:space="preserve"> which contribute to an organisation’s day to day production of final products are included </w:t>
      </w:r>
      <w:r>
        <w:t>in the costing general ledger and used for costing allocation to determine the full cost of production.</w:t>
      </w:r>
    </w:p>
    <w:p w14:paraId="2F4CE52A" w14:textId="353BFFCE" w:rsidR="009750E4" w:rsidRPr="00D45B1A" w:rsidRDefault="009750E4" w:rsidP="009750E4">
      <w:pPr>
        <w:pStyle w:val="Heading3"/>
      </w:pPr>
      <w:r>
        <w:t xml:space="preserve">Business </w:t>
      </w:r>
      <w:r w:rsidR="00AE7403">
        <w:t>R</w:t>
      </w:r>
      <w:r>
        <w:t>ule</w:t>
      </w:r>
    </w:p>
    <w:p w14:paraId="398F8952" w14:textId="128CE185" w:rsidR="00893334" w:rsidRDefault="00893334" w:rsidP="00893334">
      <w:r>
        <w:t>All lease costs are within scope for patient costing purposes.</w:t>
      </w:r>
    </w:p>
    <w:p w14:paraId="5F2C05FA" w14:textId="40B19FBC" w:rsidR="00364B49" w:rsidRDefault="00893334" w:rsidP="00893334">
      <w:r>
        <w:t>Lease cost expenses include</w:t>
      </w:r>
      <w:r w:rsidR="00804C84">
        <w:t>:</w:t>
      </w:r>
    </w:p>
    <w:p w14:paraId="6CC492DC" w14:textId="4F580E4B" w:rsidR="00364B49" w:rsidRDefault="00893334" w:rsidP="00364B49">
      <w:pPr>
        <w:pStyle w:val="ListParagraph"/>
        <w:numPr>
          <w:ilvl w:val="0"/>
          <w:numId w:val="27"/>
        </w:numPr>
      </w:pPr>
      <w:r>
        <w:t xml:space="preserve">interest expense </w:t>
      </w:r>
      <w:r w:rsidR="003F71A8">
        <w:t xml:space="preserve">arising </w:t>
      </w:r>
      <w:r>
        <w:t>on lease liabilit</w:t>
      </w:r>
      <w:r w:rsidR="00364B49">
        <w:t>ies</w:t>
      </w:r>
      <w:r>
        <w:t xml:space="preserve"> </w:t>
      </w:r>
    </w:p>
    <w:p w14:paraId="4F56531F" w14:textId="56D5D852" w:rsidR="00364B49" w:rsidRDefault="00893334" w:rsidP="00364B49">
      <w:pPr>
        <w:pStyle w:val="ListParagraph"/>
        <w:numPr>
          <w:ilvl w:val="0"/>
          <w:numId w:val="27"/>
        </w:numPr>
      </w:pPr>
      <w:r>
        <w:t>expense</w:t>
      </w:r>
      <w:r w:rsidR="00364B49">
        <w:t>s</w:t>
      </w:r>
      <w:r>
        <w:t xml:space="preserve"> related to low value</w:t>
      </w:r>
      <w:r w:rsidR="00364B49">
        <w:t xml:space="preserve"> leases not capitalised</w:t>
      </w:r>
    </w:p>
    <w:p w14:paraId="4C5142EC" w14:textId="0B745C9A" w:rsidR="00804C84" w:rsidRDefault="00804C84" w:rsidP="00804C84">
      <w:pPr>
        <w:pStyle w:val="ListParagraph"/>
        <w:numPr>
          <w:ilvl w:val="0"/>
          <w:numId w:val="27"/>
        </w:numPr>
      </w:pPr>
      <w:r>
        <w:t xml:space="preserve">leases with entirely variable payments </w:t>
      </w:r>
    </w:p>
    <w:p w14:paraId="7B4EB06F" w14:textId="0AE3AEB2" w:rsidR="00364B49" w:rsidRDefault="00893334" w:rsidP="00364B49">
      <w:pPr>
        <w:pStyle w:val="ListParagraph"/>
        <w:numPr>
          <w:ilvl w:val="0"/>
          <w:numId w:val="27"/>
        </w:numPr>
      </w:pPr>
      <w:r>
        <w:t xml:space="preserve">short term </w:t>
      </w:r>
      <w:r w:rsidR="003F1BF5">
        <w:t>leases</w:t>
      </w:r>
      <w:r w:rsidR="00804C84">
        <w:t>.</w:t>
      </w:r>
    </w:p>
    <w:p w14:paraId="5293ECC0" w14:textId="04F208C6" w:rsidR="00893334" w:rsidRDefault="00893334" w:rsidP="00364B49">
      <w:pPr>
        <w:numPr>
          <w:ilvl w:val="0"/>
          <w:numId w:val="0"/>
        </w:numPr>
        <w:ind w:left="1843"/>
      </w:pPr>
      <w:r>
        <w:t xml:space="preserve">These expenses </w:t>
      </w:r>
      <w:r w:rsidR="00364B49">
        <w:t>are</w:t>
      </w:r>
      <w:r>
        <w:t xml:space="preserve"> allocated to the line item called lease costs at the final cost centre level.</w:t>
      </w:r>
    </w:p>
    <w:p w14:paraId="7EE6C9E5" w14:textId="070AEAEE" w:rsidR="00893334" w:rsidRPr="006A4ACE" w:rsidRDefault="00893334" w:rsidP="00893334">
      <w:r w:rsidRPr="006A4ACE">
        <w:t>Costing practitioners should obtain jurisdictional advice with regards to the treatment of lease costs (including its scope, where it is reported and the method adopted) for its own jurisdictional reporting purposes.</w:t>
      </w:r>
    </w:p>
    <w:p w14:paraId="7B86EE0E" w14:textId="0ABFD44D" w:rsidR="00893334" w:rsidRDefault="00893334" w:rsidP="00893334">
      <w:r>
        <w:t>Costing practi</w:t>
      </w:r>
      <w:r w:rsidR="00342B27">
        <w:t>tioners should meet with their f</w:t>
      </w:r>
      <w:r>
        <w:t>inance staff to understand how lease costs are handled within the general ledger.</w:t>
      </w:r>
    </w:p>
    <w:p w14:paraId="392832BB" w14:textId="52271F29" w:rsidR="00893334" w:rsidRDefault="00957D62" w:rsidP="00893334">
      <w:r>
        <w:t>Lease costs</w:t>
      </w:r>
      <w:r w:rsidR="00893334">
        <w:t xml:space="preserve"> reported in cost centres should be allocated to final or overhead cost centres (based on an appropriate allocation statistic or actual general ledger cost assigned to the production cost centre through a general ledger transaction, where appropriate). </w:t>
      </w:r>
    </w:p>
    <w:p w14:paraId="562EF145" w14:textId="7B692B8A" w:rsidR="00893334" w:rsidRPr="001B00C7" w:rsidRDefault="00893334" w:rsidP="00893334">
      <w:r w:rsidRPr="001B00C7">
        <w:t xml:space="preserve">Where </w:t>
      </w:r>
      <w:r w:rsidR="00957D62" w:rsidRPr="001B00C7">
        <w:t xml:space="preserve">lease costs are </w:t>
      </w:r>
      <w:r w:rsidRPr="001B00C7">
        <w:t xml:space="preserve">included in capital cost centres, this expense should be </w:t>
      </w:r>
      <w:r w:rsidR="00957D62" w:rsidRPr="001B00C7">
        <w:t>identified,</w:t>
      </w:r>
      <w:r w:rsidRPr="001B00C7">
        <w:t xml:space="preserve"> and costing practitioners should transfer these expenses to the appropriate cost centre and </w:t>
      </w:r>
      <w:r w:rsidR="00957D62" w:rsidRPr="001B00C7">
        <w:t xml:space="preserve">lease costs </w:t>
      </w:r>
      <w:r w:rsidRPr="001B00C7">
        <w:t>related line items.</w:t>
      </w:r>
    </w:p>
    <w:p w14:paraId="2058CC20" w14:textId="03C46C4D" w:rsidR="00957D62" w:rsidRPr="00957D62" w:rsidRDefault="00957D62" w:rsidP="00957D62">
      <w:r w:rsidRPr="00957D62">
        <w:t xml:space="preserve">Costing practitioners should meet with their appropriate finance staff to discuss the most appropriate methods of identifying and allocating </w:t>
      </w:r>
      <w:r>
        <w:t>lease costs</w:t>
      </w:r>
      <w:r w:rsidRPr="00957D62">
        <w:t xml:space="preserve"> to relevant final cost centres.</w:t>
      </w:r>
    </w:p>
    <w:p w14:paraId="4A75B0C9" w14:textId="77777777" w:rsidR="00957D62" w:rsidRDefault="00957D62" w:rsidP="00957D62">
      <w:pPr>
        <w:numPr>
          <w:ilvl w:val="0"/>
          <w:numId w:val="0"/>
        </w:numPr>
        <w:ind w:left="1843"/>
      </w:pPr>
    </w:p>
    <w:p w14:paraId="03F262B9" w14:textId="311BE64B" w:rsidR="00DB58FF" w:rsidRPr="00D45B1A" w:rsidRDefault="009750E4" w:rsidP="009750E4">
      <w:pPr>
        <w:numPr>
          <w:ilvl w:val="0"/>
          <w:numId w:val="0"/>
        </w:numPr>
        <w:ind w:left="851"/>
      </w:pPr>
      <w:r w:rsidRPr="00D45B1A">
        <w:br w:type="page"/>
      </w:r>
    </w:p>
    <w:p w14:paraId="04C1F827" w14:textId="5029C859" w:rsidR="00BA13B1" w:rsidRPr="00BA13B1" w:rsidRDefault="000529C2" w:rsidP="00631701">
      <w:pPr>
        <w:pStyle w:val="Heading2"/>
        <w:numPr>
          <w:ilvl w:val="1"/>
          <w:numId w:val="7"/>
        </w:numPr>
        <w:spacing w:after="240"/>
        <w:contextualSpacing w:val="0"/>
      </w:pPr>
      <w:bookmarkStart w:id="45" w:name="_Toc80348258"/>
      <w:bookmarkStart w:id="46" w:name="_Toc480492935"/>
      <w:r>
        <w:lastRenderedPageBreak/>
        <w:t xml:space="preserve">Third </w:t>
      </w:r>
      <w:r w:rsidR="009121A0">
        <w:t>P</w:t>
      </w:r>
      <w:r>
        <w:t xml:space="preserve">arty </w:t>
      </w:r>
      <w:r w:rsidR="009121A0">
        <w:t>E</w:t>
      </w:r>
      <w:r>
        <w:t>xpenses</w:t>
      </w:r>
      <w:bookmarkEnd w:id="45"/>
    </w:p>
    <w:p w14:paraId="20599256" w14:textId="1344A23E" w:rsidR="00DB58FF" w:rsidRPr="005930A1" w:rsidRDefault="00DB58FF" w:rsidP="00BA13B1">
      <w:pPr>
        <w:pStyle w:val="Heading2"/>
      </w:pPr>
      <w:bookmarkStart w:id="47" w:name="_Toc80348259"/>
      <w:r w:rsidRPr="005930A1">
        <w:t xml:space="preserve">Corporate and </w:t>
      </w:r>
      <w:r w:rsidR="00DC1841">
        <w:t>s</w:t>
      </w:r>
      <w:r w:rsidRPr="005930A1">
        <w:t xml:space="preserve">hared </w:t>
      </w:r>
      <w:r w:rsidR="00DC1841">
        <w:t>s</w:t>
      </w:r>
      <w:r w:rsidRPr="005930A1">
        <w:t>ervices</w:t>
      </w:r>
      <w:bookmarkEnd w:id="46"/>
      <w:bookmarkEnd w:id="47"/>
    </w:p>
    <w:p w14:paraId="274FC07D" w14:textId="77777777" w:rsidR="00DB58FF" w:rsidRPr="00D45B1A" w:rsidRDefault="00DB58FF" w:rsidP="00554A66">
      <w:pPr>
        <w:pStyle w:val="Heading3"/>
      </w:pPr>
      <w:r w:rsidRPr="00D45B1A">
        <w:t>Scope</w:t>
      </w:r>
    </w:p>
    <w:p w14:paraId="39984DAF" w14:textId="294DC32B" w:rsidR="00DB58FF" w:rsidRPr="00D45B1A" w:rsidRDefault="00DB58FF" w:rsidP="00554A66">
      <w:r w:rsidRPr="00D45B1A">
        <w:t xml:space="preserve">This </w:t>
      </w:r>
      <w:r w:rsidR="00AE7403">
        <w:t>B</w:t>
      </w:r>
      <w:r w:rsidR="001701AB">
        <w:t xml:space="preserve">usiness </w:t>
      </w:r>
      <w:r w:rsidR="00AE7403">
        <w:t>R</w:t>
      </w:r>
      <w:r w:rsidR="001701AB">
        <w:t>ule</w:t>
      </w:r>
      <w:r w:rsidRPr="00D45B1A">
        <w:t xml:space="preserve"> provides a</w:t>
      </w:r>
      <w:r w:rsidR="00BB52D3">
        <w:t xml:space="preserve"> costing</w:t>
      </w:r>
      <w:r w:rsidRPr="00D45B1A">
        <w:t xml:space="preserve"> guideline to identify those corporate and shared services that may be defined as third party expenses that should be considered by an organisation in determining the full cost of providing products. </w:t>
      </w:r>
    </w:p>
    <w:p w14:paraId="22E8F6FC" w14:textId="1DB8CF0C" w:rsidR="00DB58FF" w:rsidRPr="00D45B1A" w:rsidRDefault="00DB58FF" w:rsidP="00554A66">
      <w:r w:rsidRPr="00D45B1A">
        <w:t xml:space="preserve">This </w:t>
      </w:r>
      <w:r w:rsidR="001701AB">
        <w:t>rule</w:t>
      </w:r>
      <w:r w:rsidRPr="00D45B1A">
        <w:t xml:space="preserve"> also provides practical examples to guide staff on the process of identifying these expenses.</w:t>
      </w:r>
    </w:p>
    <w:p w14:paraId="5E57F52A" w14:textId="77777777" w:rsidR="00DB58FF" w:rsidRPr="00D45B1A" w:rsidRDefault="00DB58FF" w:rsidP="00554A66">
      <w:pPr>
        <w:pStyle w:val="Heading3"/>
      </w:pPr>
      <w:r w:rsidRPr="00D45B1A">
        <w:t>Objective</w:t>
      </w:r>
    </w:p>
    <w:p w14:paraId="6F65415E" w14:textId="51ADE595" w:rsidR="00DB58FF" w:rsidRPr="00D45B1A" w:rsidRDefault="00DB58FF" w:rsidP="00554A66">
      <w:r w:rsidRPr="00D45B1A">
        <w:t xml:space="preserve">The objective of this </w:t>
      </w:r>
      <w:r w:rsidR="001701AB">
        <w:t>rule</w:t>
      </w:r>
      <w:r w:rsidRPr="00D45B1A">
        <w:t xml:space="preserve"> is to ensure that all corporate and shared services which contribute to an organisation’s day to day production of final products are included in patient costing and in determining the full cost of production.</w:t>
      </w:r>
    </w:p>
    <w:p w14:paraId="1A89AFAF" w14:textId="0DB1683C" w:rsidR="00DB58FF" w:rsidRPr="00D45B1A" w:rsidRDefault="00DB58FF" w:rsidP="00554A66">
      <w:r w:rsidRPr="00D45B1A">
        <w:t xml:space="preserve">This </w:t>
      </w:r>
      <w:r w:rsidR="001701AB">
        <w:t>rule</w:t>
      </w:r>
      <w:r w:rsidRPr="00D45B1A">
        <w:t xml:space="preserve"> also aims to provide a resource for staff to assist them undertake a patient level costing exercise by providing practical examples of corporate and shared services.</w:t>
      </w:r>
    </w:p>
    <w:p w14:paraId="2F257BDB" w14:textId="74083DFE" w:rsidR="00DB58FF" w:rsidRPr="00D45B1A" w:rsidRDefault="001701AB" w:rsidP="00554A66">
      <w:pPr>
        <w:pStyle w:val="Heading3"/>
      </w:pPr>
      <w:r>
        <w:t>Business rule</w:t>
      </w:r>
    </w:p>
    <w:p w14:paraId="4C0D4BA3" w14:textId="4A32ABBB" w:rsidR="00DB58FF" w:rsidRPr="00D45B1A" w:rsidRDefault="00DB58FF" w:rsidP="00554A66">
      <w:r w:rsidRPr="00D45B1A">
        <w:t>A hos</w:t>
      </w:r>
      <w:r w:rsidR="00804C84">
        <w:t xml:space="preserve">pital may receive corporate </w:t>
      </w:r>
      <w:r w:rsidRPr="00D45B1A">
        <w:t>or shared services that are provided by another hospital, health service or government department or parent company. A number of these services may form an integral part of the hospital’s day to day functions and may be an important input to patient care.</w:t>
      </w:r>
    </w:p>
    <w:p w14:paraId="351B8634" w14:textId="77777777" w:rsidR="00DB58FF" w:rsidRPr="00D45B1A" w:rsidRDefault="00DB58FF" w:rsidP="00554A66">
      <w:r w:rsidRPr="00D45B1A">
        <w:t>Should these services not be provided, the hospital may be obligated to replace these services internally or reduce its scope of services and net outputs. For these reasons, expenses that relate to such services need to be identified and included in the full cost of the hospital’s products.</w:t>
      </w:r>
    </w:p>
    <w:p w14:paraId="7BF8587F" w14:textId="1B9636F6" w:rsidR="00DB58FF" w:rsidRPr="00D45B1A" w:rsidRDefault="00DB58FF" w:rsidP="00554A66">
      <w:pPr>
        <w:rPr>
          <w:lang w:eastAsia="ja-JP"/>
        </w:rPr>
      </w:pPr>
      <w:r w:rsidRPr="00D45B1A">
        <w:rPr>
          <w:lang w:eastAsia="ja-JP"/>
        </w:rPr>
        <w:t xml:space="preserve">To identify such services, the costing practitioners should meet with their </w:t>
      </w:r>
      <w:r w:rsidR="004417A5">
        <w:rPr>
          <w:lang w:eastAsia="ja-JP"/>
        </w:rPr>
        <w:t>relevant stakeholder</w:t>
      </w:r>
      <w:r w:rsidR="00C70A93" w:rsidRPr="00D45B1A">
        <w:rPr>
          <w:lang w:eastAsia="ja-JP"/>
        </w:rPr>
        <w:t xml:space="preserve"> </w:t>
      </w:r>
      <w:r w:rsidRPr="00D45B1A">
        <w:rPr>
          <w:lang w:eastAsia="ja-JP"/>
        </w:rPr>
        <w:t xml:space="preserve">to help determine the appropriate expenses for both corporate and shared services. </w:t>
      </w:r>
    </w:p>
    <w:p w14:paraId="0167F7A7" w14:textId="3D1C7765" w:rsidR="00DB58FF" w:rsidRPr="00D45B1A" w:rsidRDefault="00DB58FF" w:rsidP="00554A66">
      <w:pPr>
        <w:rPr>
          <w:lang w:eastAsia="ja-JP"/>
        </w:rPr>
      </w:pPr>
      <w:r w:rsidRPr="00D45B1A">
        <w:rPr>
          <w:lang w:eastAsia="ja-JP"/>
        </w:rPr>
        <w:t>In the case for corporate services, the responsibility or the details of these service arrangements may be held externally (for example</w:t>
      </w:r>
      <w:r w:rsidR="00342B27">
        <w:rPr>
          <w:lang w:eastAsia="ja-JP"/>
        </w:rPr>
        <w:t>,</w:t>
      </w:r>
      <w:r w:rsidRPr="00D45B1A">
        <w:rPr>
          <w:lang w:eastAsia="ja-JP"/>
        </w:rPr>
        <w:t xml:space="preserve"> the Jurisdictional Health Authority). The costing practitioner should identify and meet with relevant </w:t>
      </w:r>
      <w:r w:rsidR="00C70A93">
        <w:rPr>
          <w:lang w:eastAsia="ja-JP"/>
        </w:rPr>
        <w:t>suppliers</w:t>
      </w:r>
      <w:r w:rsidR="00C70A93" w:rsidRPr="00D45B1A">
        <w:rPr>
          <w:lang w:eastAsia="ja-JP"/>
        </w:rPr>
        <w:t xml:space="preserve"> </w:t>
      </w:r>
      <w:r w:rsidRPr="00D45B1A">
        <w:rPr>
          <w:lang w:eastAsia="ja-JP"/>
        </w:rPr>
        <w:t>to ascertain these details. The external organisation may also provide the costing practitioner with guidance on how to allocate these expenses in their costing system.</w:t>
      </w:r>
    </w:p>
    <w:p w14:paraId="0C946A5C" w14:textId="5BEBB302" w:rsidR="00DB58FF" w:rsidRPr="00D45B1A" w:rsidRDefault="00DB58FF" w:rsidP="00554A66">
      <w:r w:rsidRPr="00D45B1A">
        <w:rPr>
          <w:lang w:eastAsia="ja-JP"/>
        </w:rPr>
        <w:t>In the case of share</w:t>
      </w:r>
      <w:r w:rsidR="00F220C7">
        <w:rPr>
          <w:lang w:eastAsia="ja-JP"/>
        </w:rPr>
        <w:t>d</w:t>
      </w:r>
      <w:r w:rsidRPr="00D45B1A">
        <w:rPr>
          <w:lang w:eastAsia="ja-JP"/>
        </w:rPr>
        <w:t xml:space="preserve"> services, a hospital may either host the service or be the recipient of the</w:t>
      </w:r>
      <w:r w:rsidRPr="00D45B1A">
        <w:t xml:space="preserve"> shared service.</w:t>
      </w:r>
      <w:r w:rsidRPr="00D45B1A">
        <w:rPr>
          <w:lang w:val="en-US"/>
        </w:rPr>
        <w:t xml:space="preserve"> Where possible the host hospital should provide expense detail to the receiving hospital</w:t>
      </w:r>
      <w:r w:rsidR="001149F9">
        <w:rPr>
          <w:lang w:val="en-US"/>
        </w:rPr>
        <w:t>. The host hospital should offset expenses that do not relate to the provision of its own product.</w:t>
      </w:r>
      <w:r w:rsidRPr="00D45B1A">
        <w:rPr>
          <w:lang w:val="en-US"/>
        </w:rPr>
        <w:t xml:space="preserve"> </w:t>
      </w:r>
      <w:r w:rsidRPr="00D45B1A">
        <w:t>Some Jurisdictional Health Authorities will provide guidance on how to account for and allocate expenses associated with shared services. Costing practitioners should seek guidance where appropriate.</w:t>
      </w:r>
    </w:p>
    <w:p w14:paraId="34C0F0BD" w14:textId="77777777" w:rsidR="00DB58FF" w:rsidRPr="00D45B1A" w:rsidRDefault="00DB58FF" w:rsidP="00554A66">
      <w:r w:rsidRPr="00D45B1A">
        <w:t>To ensure that inclusions identified as corporate or shared services are relevant to production of hospital products, the costing practitioner must provide an objective basis for including these expenses. This is achieved by receiving advice from the service provider:</w:t>
      </w:r>
    </w:p>
    <w:p w14:paraId="68E0532B" w14:textId="010126F5" w:rsidR="00DB58FF" w:rsidRPr="00D45B1A" w:rsidRDefault="00DB58FF" w:rsidP="00636603">
      <w:pPr>
        <w:pStyle w:val="Bullet-text"/>
      </w:pPr>
      <w:r w:rsidRPr="00D45B1A">
        <w:lastRenderedPageBreak/>
        <w:t>on the nature of the services, to ensure that they contribute to the production of hospital outputs and are not associated to general support services or a third</w:t>
      </w:r>
      <w:r w:rsidR="003F1BF5">
        <w:t xml:space="preserve"> party governance structure</w:t>
      </w:r>
    </w:p>
    <w:p w14:paraId="00E38C47" w14:textId="69F8870F" w:rsidR="00DB58FF" w:rsidRPr="00D45B1A" w:rsidRDefault="00DB58FF" w:rsidP="00636603">
      <w:pPr>
        <w:pStyle w:val="Bullet-text"/>
      </w:pPr>
      <w:r w:rsidRPr="00D45B1A">
        <w:t xml:space="preserve">on their total value and whether these expenses can be measured with reasonable precision to ensure the full cost is defendable and free of bias </w:t>
      </w:r>
    </w:p>
    <w:p w14:paraId="34892DF3" w14:textId="637DBFD5" w:rsidR="00DB58FF" w:rsidRPr="00D45B1A" w:rsidRDefault="00DB58FF" w:rsidP="00554A66">
      <w:r w:rsidRPr="00D45B1A">
        <w:t xml:space="preserve">For reconciliation purposes, costing practitioners should ensure that expenses related to corporate and shared services are specified as per </w:t>
      </w:r>
      <w:r w:rsidR="00636603" w:rsidRPr="00636603">
        <w:t>Standard 6.2 Reconciliation to Source Data</w:t>
      </w:r>
      <w:r w:rsidR="00636603">
        <w:t>.</w:t>
      </w:r>
    </w:p>
    <w:p w14:paraId="0DB498ED" w14:textId="77777777" w:rsidR="00DB58FF" w:rsidRPr="00D45B1A" w:rsidRDefault="00DB58FF" w:rsidP="00CB7371">
      <w:pPr>
        <w:numPr>
          <w:ilvl w:val="0"/>
          <w:numId w:val="0"/>
        </w:numPr>
        <w:ind w:left="1843"/>
      </w:pPr>
    </w:p>
    <w:p w14:paraId="645B6C50" w14:textId="77777777" w:rsidR="00DB58FF" w:rsidRPr="00D45B1A" w:rsidRDefault="00DB58FF" w:rsidP="00554A66">
      <w:r w:rsidRPr="00D45B1A">
        <w:br w:type="page"/>
      </w:r>
    </w:p>
    <w:p w14:paraId="225721B4" w14:textId="2251EF5A" w:rsidR="00DB58FF" w:rsidRPr="00256C12" w:rsidRDefault="00DB58FF" w:rsidP="000529C2">
      <w:pPr>
        <w:pStyle w:val="Heading2"/>
      </w:pPr>
      <w:bookmarkStart w:id="48" w:name="_Toc480492936"/>
      <w:bookmarkStart w:id="49" w:name="_Toc80348260"/>
      <w:r w:rsidRPr="00256C12">
        <w:lastRenderedPageBreak/>
        <w:t xml:space="preserve">Ambulance and </w:t>
      </w:r>
      <w:r w:rsidR="009121A0">
        <w:t>P</w:t>
      </w:r>
      <w:r w:rsidRPr="00256C12">
        <w:t xml:space="preserve">atient </w:t>
      </w:r>
      <w:r w:rsidR="009121A0">
        <w:t>T</w:t>
      </w:r>
      <w:r w:rsidR="00DC1841" w:rsidRPr="00256C12">
        <w:t xml:space="preserve">ransport </w:t>
      </w:r>
      <w:r w:rsidR="009121A0">
        <w:t>S</w:t>
      </w:r>
      <w:r w:rsidRPr="00256C12">
        <w:t>ervices</w:t>
      </w:r>
      <w:bookmarkEnd w:id="48"/>
      <w:bookmarkEnd w:id="49"/>
    </w:p>
    <w:p w14:paraId="03B4B017" w14:textId="77777777" w:rsidR="00DB58FF" w:rsidRPr="00D45B1A" w:rsidRDefault="00DB58FF" w:rsidP="00554A66">
      <w:pPr>
        <w:pStyle w:val="Heading3"/>
      </w:pPr>
      <w:r w:rsidRPr="00D45B1A">
        <w:t>Scope</w:t>
      </w:r>
    </w:p>
    <w:p w14:paraId="45D41096" w14:textId="5487A1CF" w:rsidR="00DB58FF" w:rsidRPr="00D45B1A" w:rsidRDefault="00DB58FF" w:rsidP="00554A66">
      <w:r w:rsidRPr="00D45B1A">
        <w:t xml:space="preserve">This </w:t>
      </w:r>
      <w:r w:rsidR="00AE7403">
        <w:t>B</w:t>
      </w:r>
      <w:r w:rsidR="001701AB">
        <w:t xml:space="preserve">usiness </w:t>
      </w:r>
      <w:r w:rsidR="00AE7403">
        <w:t>R</w:t>
      </w:r>
      <w:r w:rsidR="001701AB">
        <w:t>ule</w:t>
      </w:r>
      <w:r w:rsidRPr="00D45B1A">
        <w:t xml:space="preserve"> provides a</w:t>
      </w:r>
      <w:r w:rsidR="00BB52D3">
        <w:t xml:space="preserve"> costing</w:t>
      </w:r>
      <w:r w:rsidRPr="00D45B1A">
        <w:t xml:space="preserve"> guideline to identify those ambulance and patient transport services</w:t>
      </w:r>
      <w:r w:rsidR="00EF0D39">
        <w:t xml:space="preserve">, </w:t>
      </w:r>
      <w:r w:rsidR="00293D8F" w:rsidRPr="00293D8F">
        <w:t xml:space="preserve">including </w:t>
      </w:r>
      <w:r w:rsidR="00286BD1">
        <w:t>a</w:t>
      </w:r>
      <w:r w:rsidR="00293D8F" w:rsidRPr="00293D8F">
        <w:t xml:space="preserve">erial </w:t>
      </w:r>
      <w:r w:rsidR="00286BD1">
        <w:t>r</w:t>
      </w:r>
      <w:r w:rsidR="00293D8F" w:rsidRPr="00293D8F">
        <w:t xml:space="preserve">etrieval </w:t>
      </w:r>
      <w:r w:rsidR="00EF0D39">
        <w:t>and Royal Flying Doctor Service,</w:t>
      </w:r>
      <w:r w:rsidR="00EF0D39" w:rsidRPr="00D45B1A">
        <w:t xml:space="preserve"> which</w:t>
      </w:r>
      <w:r w:rsidRPr="00D45B1A">
        <w:t xml:space="preserve"> may be defined as third party expenses that should be considered by an organisation in determining the full cost of providing products.</w:t>
      </w:r>
    </w:p>
    <w:p w14:paraId="738D271A" w14:textId="1F77FA85" w:rsidR="00DB58FF" w:rsidRPr="00D45B1A" w:rsidRDefault="00DB58FF" w:rsidP="00554A66">
      <w:r w:rsidRPr="00D45B1A">
        <w:t xml:space="preserve">This </w:t>
      </w:r>
      <w:r w:rsidR="001701AB">
        <w:t>rule</w:t>
      </w:r>
      <w:r w:rsidRPr="00D45B1A">
        <w:t xml:space="preserve"> also provides practical examples to guide staff on the process of identifying these expenses.</w:t>
      </w:r>
    </w:p>
    <w:p w14:paraId="0921FDC5" w14:textId="77777777" w:rsidR="00DB58FF" w:rsidRPr="00D45B1A" w:rsidRDefault="00DB58FF" w:rsidP="00554A66">
      <w:pPr>
        <w:pStyle w:val="Heading3"/>
      </w:pPr>
      <w:r w:rsidRPr="00D45B1A">
        <w:t>Objective</w:t>
      </w:r>
    </w:p>
    <w:p w14:paraId="781122A3" w14:textId="1D3AFE36" w:rsidR="00DB58FF" w:rsidRPr="00D45B1A" w:rsidRDefault="00DB58FF" w:rsidP="00554A66">
      <w:r w:rsidRPr="00D45B1A">
        <w:t xml:space="preserve">The objective of this </w:t>
      </w:r>
      <w:r w:rsidR="001701AB">
        <w:t>rule</w:t>
      </w:r>
      <w:r w:rsidRPr="00D45B1A">
        <w:t xml:space="preserve"> is to ensure that all ambulance and patient transport services which contribute to an organisation’s day to day production of final products are included in patient costing and in determining the full cost of production.</w:t>
      </w:r>
    </w:p>
    <w:p w14:paraId="446AD0A2" w14:textId="0F60204D" w:rsidR="00DB58FF" w:rsidRPr="00D45B1A" w:rsidRDefault="00DB58FF" w:rsidP="00554A66">
      <w:r w:rsidRPr="00D45B1A">
        <w:t xml:space="preserve">This </w:t>
      </w:r>
      <w:r w:rsidR="001701AB">
        <w:t>rule</w:t>
      </w:r>
      <w:r w:rsidRPr="00D45B1A">
        <w:t xml:space="preserve"> also aims to provide a resource for staff to assist them undertaking a patient level costing exercise by providing practical examples of ambulance and patient transport services.</w:t>
      </w:r>
    </w:p>
    <w:p w14:paraId="50D2B5C9" w14:textId="75C3E623" w:rsidR="00DB58FF" w:rsidRPr="00D45B1A" w:rsidRDefault="001701AB" w:rsidP="00554A66">
      <w:pPr>
        <w:pStyle w:val="Heading3"/>
      </w:pPr>
      <w:r>
        <w:t xml:space="preserve">Business </w:t>
      </w:r>
      <w:r w:rsidR="00AE7403">
        <w:t>R</w:t>
      </w:r>
      <w:r>
        <w:t>ule</w:t>
      </w:r>
    </w:p>
    <w:p w14:paraId="3E94BF2E" w14:textId="77777777" w:rsidR="00DB58FF" w:rsidRPr="00D45B1A" w:rsidRDefault="00DB58FF" w:rsidP="00554A66">
      <w:r w:rsidRPr="00D45B1A">
        <w:t>A hospital may engage or receive ambulance and patient transport services that are provided by a third party provider.</w:t>
      </w:r>
    </w:p>
    <w:p w14:paraId="6B771569" w14:textId="5574B044" w:rsidR="00DB58FF" w:rsidRPr="00D45B1A" w:rsidRDefault="003B36BB" w:rsidP="00554A66">
      <w:r>
        <w:t>Ambulance services within each jurisdiction are regulated by j</w:t>
      </w:r>
      <w:r w:rsidR="00DB58FF" w:rsidRPr="00D45B1A">
        <w:t xml:space="preserve">urisdictional legislation and guidelines on the level of service to be provided and payment arrangements for ambulance and patient transport services across facilities. </w:t>
      </w:r>
    </w:p>
    <w:p w14:paraId="527D44D8" w14:textId="045B278C" w:rsidR="00DB58FF" w:rsidRPr="00D45B1A" w:rsidRDefault="00DB58FF" w:rsidP="00554A66">
      <w:r w:rsidRPr="00D45B1A">
        <w:t>Consideration should be given to emergency transport services and t</w:t>
      </w:r>
      <w:r w:rsidR="00844101">
        <w:t>heir related expenses (such as a</w:t>
      </w:r>
      <w:r w:rsidRPr="00D45B1A">
        <w:t>mbulance) that are managed outside of the hospital but are expenses integral to patient care. Should these services not be provided, the hospital may be obligated to replace these services internally or reduce its scope of services and net outputs. These expenses need to be identified and included in the full cost of the hospital’s products.</w:t>
      </w:r>
      <w:r w:rsidR="001701AB">
        <w:t xml:space="preserve"> </w:t>
      </w:r>
      <w:r w:rsidR="00CA472F">
        <w:t xml:space="preserve">It is noted that this expense may be material especially when the </w:t>
      </w:r>
      <w:r w:rsidR="00B77AAC">
        <w:t>patient receiving the service is from a remote geographical region.</w:t>
      </w:r>
    </w:p>
    <w:p w14:paraId="2AC6FB4C" w14:textId="5DCDE505" w:rsidR="00DB58FF" w:rsidRPr="00CB7371" w:rsidRDefault="00DB58FF" w:rsidP="00554A66">
      <w:r w:rsidRPr="00D45B1A">
        <w:t xml:space="preserve">Costing practitioners should also be aware of other patient transport models within the hospital such </w:t>
      </w:r>
      <w:r w:rsidR="00342B27">
        <w:t>as non-emergency patient transport (NEPTS) and internal p</w:t>
      </w:r>
      <w:r w:rsidRPr="00CB7371">
        <w:t>a</w:t>
      </w:r>
      <w:r w:rsidR="00342B27">
        <w:t>tient t</w:t>
      </w:r>
      <w:r w:rsidRPr="00CB7371">
        <w:t>ransport and identify these expenses for co</w:t>
      </w:r>
      <w:r w:rsidR="00653FEF" w:rsidRPr="00CB7371">
        <w:t>s</w:t>
      </w:r>
      <w:r w:rsidRPr="00CB7371">
        <w:t>ting purposes.</w:t>
      </w:r>
    </w:p>
    <w:p w14:paraId="2EA34A82" w14:textId="63703725" w:rsidR="00DB58FF" w:rsidRPr="00CB7371" w:rsidRDefault="00DB58FF" w:rsidP="00554A66">
      <w:r w:rsidRPr="00CB7371">
        <w:t xml:space="preserve">Jurisdictions have various financial assistance schemes to </w:t>
      </w:r>
      <w:r w:rsidR="00342B27">
        <w:t>subsidise a portion of the ‘out-of-</w:t>
      </w:r>
      <w:r w:rsidRPr="00CB7371">
        <w:t>pocket’ expenses</w:t>
      </w:r>
      <w:r w:rsidRPr="00CB7371">
        <w:rPr>
          <w:sz w:val="20"/>
          <w:szCs w:val="20"/>
        </w:rPr>
        <w:t xml:space="preserve"> </w:t>
      </w:r>
      <w:r w:rsidRPr="00CB7371">
        <w:t xml:space="preserve">incurred when patients travel to approved specialist medical services. </w:t>
      </w:r>
      <w:r w:rsidR="00CB6A8E">
        <w:t>An e</w:t>
      </w:r>
      <w:r w:rsidRPr="00CB7371">
        <w:t xml:space="preserve">xample of </w:t>
      </w:r>
      <w:r w:rsidR="00CB6A8E">
        <w:t>this is</w:t>
      </w:r>
      <w:r w:rsidR="00CB6A8E" w:rsidRPr="00CB7371">
        <w:t xml:space="preserve"> </w:t>
      </w:r>
      <w:r w:rsidRPr="00CB7371">
        <w:t>Isolated Patients Travel and Accommodation Assistance Scheme (IPTAAS). These</w:t>
      </w:r>
      <w:r w:rsidR="00CB6A8E">
        <w:t xml:space="preserve"> types of</w:t>
      </w:r>
      <w:r w:rsidRPr="00CB7371">
        <w:t xml:space="preserve"> expenses are in scope</w:t>
      </w:r>
      <w:r w:rsidR="00F516F9">
        <w:t xml:space="preserve"> and should be allocated to non-p</w:t>
      </w:r>
      <w:r w:rsidRPr="00CB7371">
        <w:t xml:space="preserve">atient </w:t>
      </w:r>
      <w:r w:rsidR="00F516F9">
        <w:t>p</w:t>
      </w:r>
      <w:r w:rsidR="001719D5" w:rsidRPr="00CB7371">
        <w:t>roducts</w:t>
      </w:r>
      <w:r w:rsidR="001719D5">
        <w:t>.</w:t>
      </w:r>
      <w:r w:rsidR="001719D5" w:rsidRPr="00CB7371">
        <w:t xml:space="preserve"> </w:t>
      </w:r>
    </w:p>
    <w:p w14:paraId="496E2409" w14:textId="77777777" w:rsidR="00DB58FF" w:rsidRPr="00CB7371" w:rsidRDefault="00DB58FF" w:rsidP="00554A66">
      <w:r w:rsidRPr="00CB7371">
        <w:t>Costing practitioners should also be aware of their jurisdictional arrangements regarding aerial retrieval and the Royal Flying Doctor Service. These expenses should be identified and costs assigned to the non-patient product.</w:t>
      </w:r>
    </w:p>
    <w:p w14:paraId="216939B3" w14:textId="61B33655" w:rsidR="00DB58FF" w:rsidRPr="00CB7371" w:rsidRDefault="00DB58FF" w:rsidP="00554A66">
      <w:r w:rsidRPr="00CB7371">
        <w:t>To ensure that inclusion of ambulance services and other transport services costs are relevant to production of hospital products, the costing practitioner must provide an object</w:t>
      </w:r>
      <w:r w:rsidR="00AC790F">
        <w:t xml:space="preserve">ive </w:t>
      </w:r>
      <w:r w:rsidRPr="00CB7371">
        <w:t>basis to include these expenses.</w:t>
      </w:r>
    </w:p>
    <w:p w14:paraId="5CD745FE" w14:textId="77777777" w:rsidR="00DB58FF" w:rsidRPr="00D45B1A" w:rsidRDefault="00DB58FF" w:rsidP="00554A66">
      <w:r w:rsidRPr="00CB7371">
        <w:lastRenderedPageBreak/>
        <w:t xml:space="preserve">In the case where a third party provider of transport services bills a patient directly, the associated expenses are deemed out of scope and are to be excluded. For example, other than clinically necessary inter-hospital transfers, overseas visitors will be billed directly for all expenses by the patient transport provider. Costing practitioners should not impute these expenses. </w:t>
      </w:r>
    </w:p>
    <w:p w14:paraId="49A5036E" w14:textId="170C5EB9" w:rsidR="00DB58FF" w:rsidRPr="00D45B1A" w:rsidRDefault="00DB58FF" w:rsidP="00554A66">
      <w:r w:rsidRPr="00D45B1A">
        <w:t xml:space="preserve">For reconciliation purposes, costing practitioners should ensure that expenses related to ambulance and patient transport services (including aerial retrieval and Royal Flying Doctor Services) are specified as per </w:t>
      </w:r>
      <w:r w:rsidR="00636603" w:rsidRPr="00636603">
        <w:t>Standard 6.2 Reconciliation to Source Data</w:t>
      </w:r>
      <w:r w:rsidR="00636603">
        <w:t>.</w:t>
      </w:r>
    </w:p>
    <w:p w14:paraId="5A816ADA" w14:textId="77777777" w:rsidR="00DB58FF" w:rsidRPr="00D45B1A" w:rsidRDefault="00DB58FF" w:rsidP="00554A66">
      <w:r w:rsidRPr="00D45B1A">
        <w:br w:type="page"/>
      </w:r>
    </w:p>
    <w:p w14:paraId="31ED0982" w14:textId="77777777" w:rsidR="00DB58FF" w:rsidRPr="00256C12" w:rsidRDefault="00DB58FF" w:rsidP="000529C2">
      <w:pPr>
        <w:pStyle w:val="Heading2"/>
      </w:pPr>
      <w:bookmarkStart w:id="50" w:name="_Toc480492937"/>
      <w:bookmarkStart w:id="51" w:name="_Toc80348261"/>
      <w:r w:rsidRPr="00256C12">
        <w:lastRenderedPageBreak/>
        <w:t>Insurance</w:t>
      </w:r>
      <w:bookmarkEnd w:id="50"/>
      <w:bookmarkEnd w:id="51"/>
    </w:p>
    <w:p w14:paraId="6D9291AC" w14:textId="77777777" w:rsidR="00DB58FF" w:rsidRPr="00D45B1A" w:rsidRDefault="00DB58FF" w:rsidP="00554A66">
      <w:pPr>
        <w:pStyle w:val="Heading3"/>
      </w:pPr>
      <w:r w:rsidRPr="00D45B1A">
        <w:t>Scope</w:t>
      </w:r>
    </w:p>
    <w:p w14:paraId="2AEB5E55" w14:textId="10657E30" w:rsidR="00DB58FF" w:rsidRPr="00D45B1A" w:rsidRDefault="00DB58FF" w:rsidP="00554A66">
      <w:r w:rsidRPr="00D45B1A">
        <w:t xml:space="preserve">This </w:t>
      </w:r>
      <w:r w:rsidR="00AE7403">
        <w:t>B</w:t>
      </w:r>
      <w:r w:rsidR="001701AB">
        <w:t xml:space="preserve">usiness </w:t>
      </w:r>
      <w:r w:rsidR="00AE7403">
        <w:t>R</w:t>
      </w:r>
      <w:r w:rsidR="001701AB">
        <w:t>ule</w:t>
      </w:r>
      <w:r w:rsidRPr="00D45B1A">
        <w:t xml:space="preserve"> provides a</w:t>
      </w:r>
      <w:r w:rsidR="00BB52D3">
        <w:t xml:space="preserve"> costing</w:t>
      </w:r>
      <w:r w:rsidRPr="00D45B1A">
        <w:t xml:space="preserve"> guideline to identify insurance expenses that may be defined as third party expenses that should be considered by an organisation in determining the full cost of providing products.</w:t>
      </w:r>
    </w:p>
    <w:p w14:paraId="228EBD9F" w14:textId="34AFC7EA" w:rsidR="00DB58FF" w:rsidRPr="00D45B1A" w:rsidRDefault="00DB58FF" w:rsidP="00554A66">
      <w:r w:rsidRPr="00D45B1A">
        <w:t xml:space="preserve">This </w:t>
      </w:r>
      <w:r w:rsidR="001701AB">
        <w:t>rule</w:t>
      </w:r>
      <w:r w:rsidRPr="00D45B1A">
        <w:t xml:space="preserve"> also provides practical examples to guide staff on the process of identifying these expenses.</w:t>
      </w:r>
    </w:p>
    <w:p w14:paraId="590D2EF6" w14:textId="77777777" w:rsidR="00DB58FF" w:rsidRPr="00D45B1A" w:rsidRDefault="00DB58FF" w:rsidP="00554A66">
      <w:pPr>
        <w:pStyle w:val="Heading3"/>
      </w:pPr>
      <w:r w:rsidRPr="00D45B1A">
        <w:t>Objective</w:t>
      </w:r>
    </w:p>
    <w:p w14:paraId="69CF8807" w14:textId="1050E9FD" w:rsidR="00DB58FF" w:rsidRPr="00D45B1A" w:rsidRDefault="00DB58FF" w:rsidP="00554A66">
      <w:r w:rsidRPr="00D45B1A">
        <w:t xml:space="preserve">The objective of this </w:t>
      </w:r>
      <w:r w:rsidR="001701AB">
        <w:t>rule</w:t>
      </w:r>
      <w:r w:rsidRPr="00D45B1A">
        <w:t xml:space="preserve"> is to ensure that all insurance expenses which cont</w:t>
      </w:r>
      <w:r w:rsidR="00804C84">
        <w:t>ribute to an organisation’s day-to-</w:t>
      </w:r>
      <w:r w:rsidRPr="00D45B1A">
        <w:t>day production of final products are included in patient costing and in determining the full cost of production.</w:t>
      </w:r>
    </w:p>
    <w:p w14:paraId="59A26DA0" w14:textId="003B7EFB" w:rsidR="00DB58FF" w:rsidRPr="00D45B1A" w:rsidRDefault="00DB58FF" w:rsidP="00554A66">
      <w:r w:rsidRPr="00D45B1A">
        <w:t xml:space="preserve">This </w:t>
      </w:r>
      <w:r w:rsidR="001701AB">
        <w:t>rule</w:t>
      </w:r>
      <w:r w:rsidRPr="00D45B1A">
        <w:t xml:space="preserve"> also aims to provide a resource for staff to assist them undertaking a patient level costing exercise by providing practical examples of insurance.</w:t>
      </w:r>
    </w:p>
    <w:p w14:paraId="47548158" w14:textId="05831551" w:rsidR="00DB58FF" w:rsidRPr="00D45B1A" w:rsidRDefault="001701AB" w:rsidP="00554A66">
      <w:pPr>
        <w:pStyle w:val="Heading3"/>
      </w:pPr>
      <w:r>
        <w:t xml:space="preserve">Business </w:t>
      </w:r>
      <w:r w:rsidR="002F1176">
        <w:t>R</w:t>
      </w:r>
      <w:r>
        <w:t>ule</w:t>
      </w:r>
    </w:p>
    <w:p w14:paraId="0FF2EE3B" w14:textId="77777777" w:rsidR="00DB58FF" w:rsidRPr="00D45B1A" w:rsidRDefault="00DB58FF" w:rsidP="00554A66">
      <w:r w:rsidRPr="00D45B1A">
        <w:t>Depending on the type and nature of its business, a hospital may have all or part of its insurance coverage provided by a third party organisation, such as the Jurisdictional Health Authority.</w:t>
      </w:r>
    </w:p>
    <w:p w14:paraId="75A9F811" w14:textId="77777777" w:rsidR="00DB58FF" w:rsidRPr="00D45B1A" w:rsidRDefault="00DB58FF" w:rsidP="00554A66">
      <w:r w:rsidRPr="00D45B1A">
        <w:t xml:space="preserve">The insurance coverage obtained is generally related to the services that form an integral part of the hospital’s day to day functions and may be an important input to patient care. </w:t>
      </w:r>
    </w:p>
    <w:p w14:paraId="149E8B94" w14:textId="4FE86C4A" w:rsidR="00DB58FF" w:rsidRPr="00D45B1A" w:rsidRDefault="00DB58FF" w:rsidP="00554A66">
      <w:r w:rsidRPr="00D45B1A">
        <w:t xml:space="preserve">The following </w:t>
      </w:r>
      <w:r w:rsidR="00B417C6">
        <w:t xml:space="preserve">list includes examples of </w:t>
      </w:r>
      <w:r w:rsidRPr="00D45B1A">
        <w:t xml:space="preserve">insurance incurred by third parties that are part of the day-to-day production of hospital outputs </w:t>
      </w:r>
      <w:r w:rsidR="00B417C6">
        <w:t xml:space="preserve">and </w:t>
      </w:r>
      <w:r w:rsidRPr="00D45B1A">
        <w:t>should be included in the costing process:</w:t>
      </w:r>
    </w:p>
    <w:p w14:paraId="215D79B8" w14:textId="77777777" w:rsidR="00DB58FF" w:rsidRPr="00D45B1A" w:rsidRDefault="00DB58FF" w:rsidP="00636603">
      <w:pPr>
        <w:pStyle w:val="Bullet-text"/>
      </w:pPr>
      <w:r w:rsidRPr="00D45B1A">
        <w:t>Insurance – Building</w:t>
      </w:r>
    </w:p>
    <w:p w14:paraId="1A13503A" w14:textId="77777777" w:rsidR="00DB58FF" w:rsidRPr="00D45B1A" w:rsidRDefault="00DB58FF" w:rsidP="00636603">
      <w:pPr>
        <w:pStyle w:val="Bullet-text"/>
      </w:pPr>
      <w:r w:rsidRPr="00D45B1A">
        <w:t>Insurance – Equipment</w:t>
      </w:r>
    </w:p>
    <w:p w14:paraId="71F98660" w14:textId="77777777" w:rsidR="00DB58FF" w:rsidRPr="00D45B1A" w:rsidRDefault="00DB58FF" w:rsidP="00636603">
      <w:pPr>
        <w:pStyle w:val="Bullet-text"/>
      </w:pPr>
      <w:r w:rsidRPr="00D45B1A">
        <w:t>Insurance – Medical indemnity</w:t>
      </w:r>
    </w:p>
    <w:p w14:paraId="0CA511C1" w14:textId="3A1C1FB5" w:rsidR="00DB58FF" w:rsidRPr="00D45B1A" w:rsidRDefault="00DB58FF" w:rsidP="00636603">
      <w:pPr>
        <w:pStyle w:val="Bullet-text"/>
      </w:pPr>
      <w:r w:rsidRPr="00D45B1A">
        <w:t>Insurance – Workers’ Compensation</w:t>
      </w:r>
      <w:r w:rsidR="00B720FB">
        <w:t>.</w:t>
      </w:r>
    </w:p>
    <w:p w14:paraId="33A6DCC6" w14:textId="77777777" w:rsidR="00DB58FF" w:rsidRPr="00D45B1A" w:rsidRDefault="00DB58FF" w:rsidP="00554A66">
      <w:r w:rsidRPr="00D45B1A">
        <w:t>Jurisdictions may take responsibility to manage their risk by engaging into various forms of insurance and these arrangements may comprise the following:</w:t>
      </w:r>
    </w:p>
    <w:p w14:paraId="08C9F6B9" w14:textId="1A4A566C" w:rsidR="00844101" w:rsidRPr="00D45B1A" w:rsidRDefault="00844101" w:rsidP="00844101">
      <w:pPr>
        <w:pStyle w:val="Bullet-text"/>
      </w:pPr>
      <w:r w:rsidRPr="00D45B1A">
        <w:t>a mix of management depending upon the type of insurance enacted. For example, equipment insurance may be held by the hospital, but medical indemnity ins</w:t>
      </w:r>
      <w:r>
        <w:t>urance paid by the jurisdiction</w:t>
      </w:r>
    </w:p>
    <w:p w14:paraId="6A9A5B20" w14:textId="64EB59AC" w:rsidR="00844101" w:rsidRDefault="00844101" w:rsidP="00844101">
      <w:pPr>
        <w:pStyle w:val="Bullet-text"/>
      </w:pPr>
      <w:r w:rsidRPr="00D45B1A">
        <w:t xml:space="preserve">insurance premiums charged directly to the </w:t>
      </w:r>
      <w:r>
        <w:t>j</w:t>
      </w:r>
      <w:r w:rsidRPr="00D45B1A">
        <w:t>urisdiction where that expense is not included within the hospital gener</w:t>
      </w:r>
      <w:r>
        <w:t>al ledger</w:t>
      </w:r>
    </w:p>
    <w:p w14:paraId="23707298" w14:textId="15D855CD" w:rsidR="00DB58FF" w:rsidRPr="00D45B1A" w:rsidRDefault="00DB58FF" w:rsidP="00636603">
      <w:pPr>
        <w:pStyle w:val="Bullet-text"/>
      </w:pPr>
      <w:r w:rsidRPr="00D45B1A">
        <w:t>insurance premiums charged to health services where that expense is included</w:t>
      </w:r>
      <w:r w:rsidR="003F1BF5">
        <w:t xml:space="preserve"> in the hospital general ledger</w:t>
      </w:r>
      <w:r w:rsidR="00844101">
        <w:t>.</w:t>
      </w:r>
    </w:p>
    <w:p w14:paraId="05E7CEAF" w14:textId="77777777" w:rsidR="00DB58FF" w:rsidRPr="00D45B1A" w:rsidRDefault="00DB58FF" w:rsidP="00554A66">
      <w:r w:rsidRPr="00D45B1A">
        <w:t xml:space="preserve">Costing practitioners should ascertain the types of insurance and the source payer to identify where expenses are held. </w:t>
      </w:r>
    </w:p>
    <w:p w14:paraId="28F0B497" w14:textId="316E76F8" w:rsidR="00DB58FF" w:rsidRPr="00D45B1A" w:rsidRDefault="00DB58FF" w:rsidP="00554A66">
      <w:r w:rsidRPr="00D45B1A">
        <w:t>Where the insurance premiums are charged directly t</w:t>
      </w:r>
      <w:r w:rsidR="00F1314D">
        <w:t>o the j</w:t>
      </w:r>
      <w:r w:rsidR="000529C2">
        <w:t xml:space="preserve">urisdiction (for example, </w:t>
      </w:r>
      <w:r w:rsidRPr="00D45B1A">
        <w:t xml:space="preserve">medical indemnity), costing practitioners should obtain the expense and include it to the general ledger used for costing purposes. Where possible this expense should be divided by hospitals, speciality and any further level </w:t>
      </w:r>
      <w:r w:rsidRPr="00D45B1A">
        <w:lastRenderedPageBreak/>
        <w:t>that would enable expenses to be mapped to the appropriate cost centre</w:t>
      </w:r>
      <w:r w:rsidR="0083211E">
        <w:t xml:space="preserve"> in line with Standards </w:t>
      </w:r>
      <w:r w:rsidR="0083211E" w:rsidRPr="00F97E63">
        <w:t>2.2, 4.1 and 4.2</w:t>
      </w:r>
      <w:r w:rsidRPr="00D45B1A">
        <w:t xml:space="preserve">. </w:t>
      </w:r>
    </w:p>
    <w:p w14:paraId="354CD45B" w14:textId="38D69035" w:rsidR="00DB58FF" w:rsidRPr="00D45B1A" w:rsidRDefault="00DB58FF" w:rsidP="00554A66">
      <w:r w:rsidRPr="00D45B1A">
        <w:t xml:space="preserve">For reconciliation purposes, costing practitioners should ensure that expenses related to corporate and shared services are specified as per </w:t>
      </w:r>
      <w:r w:rsidR="00636603" w:rsidRPr="00636603">
        <w:t>Standard 6.2 Reconciliation to Source Data</w:t>
      </w:r>
      <w:r w:rsidR="00636603">
        <w:t>.</w:t>
      </w:r>
    </w:p>
    <w:p w14:paraId="5F7B762E" w14:textId="1EAF27E3" w:rsidR="00DB58FF" w:rsidRPr="00D45B1A" w:rsidRDefault="00DB58FF" w:rsidP="00554A66">
      <w:r w:rsidRPr="00D45B1A">
        <w:t>To ensure such inclusions remain relevant and objective, the costing practitioner must ens</w:t>
      </w:r>
      <w:r w:rsidRPr="00636603">
        <w:t xml:space="preserve">ure that the remaining criteria identified in </w:t>
      </w:r>
      <w:r w:rsidR="001719D5" w:rsidRPr="00636603">
        <w:t>Standard</w:t>
      </w:r>
      <w:r w:rsidR="00636603" w:rsidRPr="00636603">
        <w:t xml:space="preserve"> 1.2</w:t>
      </w:r>
      <w:r w:rsidRPr="00636603">
        <w:t xml:space="preserve"> </w:t>
      </w:r>
      <w:r w:rsidR="00636603" w:rsidRPr="00636603">
        <w:t xml:space="preserve">Third Party Expenses </w:t>
      </w:r>
      <w:r w:rsidRPr="00636603">
        <w:t>are met.</w:t>
      </w:r>
      <w:r w:rsidRPr="00D45B1A">
        <w:t xml:space="preserve"> </w:t>
      </w:r>
      <w:r w:rsidRPr="00D45B1A">
        <w:br w:type="page"/>
      </w:r>
    </w:p>
    <w:p w14:paraId="1E71BBB9" w14:textId="2EC4385B" w:rsidR="000529C2" w:rsidRDefault="000529C2" w:rsidP="00631701">
      <w:pPr>
        <w:pStyle w:val="Heading2"/>
        <w:numPr>
          <w:ilvl w:val="1"/>
          <w:numId w:val="7"/>
        </w:numPr>
        <w:spacing w:after="240"/>
        <w:contextualSpacing w:val="0"/>
      </w:pPr>
      <w:bookmarkStart w:id="52" w:name="_Toc80348262"/>
      <w:bookmarkStart w:id="53" w:name="_Toc480492938"/>
      <w:r>
        <w:lastRenderedPageBreak/>
        <w:t xml:space="preserve">Offsets and </w:t>
      </w:r>
      <w:r w:rsidR="009121A0">
        <w:t>R</w:t>
      </w:r>
      <w:r>
        <w:t>ecoveries</w:t>
      </w:r>
      <w:bookmarkEnd w:id="52"/>
    </w:p>
    <w:p w14:paraId="0C3B6919" w14:textId="38B2DA5E" w:rsidR="00DB58FF" w:rsidRPr="00293D8F" w:rsidRDefault="00DB58FF" w:rsidP="000529C2">
      <w:pPr>
        <w:pStyle w:val="Heading2"/>
      </w:pPr>
      <w:bookmarkStart w:id="54" w:name="_Toc80348263"/>
      <w:r w:rsidRPr="00293D8F">
        <w:t xml:space="preserve">Offsets and </w:t>
      </w:r>
      <w:r w:rsidR="009121A0">
        <w:t>R</w:t>
      </w:r>
      <w:r w:rsidRPr="00293D8F">
        <w:t>ecoveries</w:t>
      </w:r>
      <w:bookmarkEnd w:id="53"/>
      <w:bookmarkEnd w:id="54"/>
    </w:p>
    <w:p w14:paraId="5E3BA318" w14:textId="77777777" w:rsidR="00DB58FF" w:rsidRPr="00D45B1A" w:rsidRDefault="00DB58FF" w:rsidP="00554A66">
      <w:pPr>
        <w:pStyle w:val="Heading3"/>
      </w:pPr>
      <w:r w:rsidRPr="00D45B1A">
        <w:t>Scope</w:t>
      </w:r>
    </w:p>
    <w:p w14:paraId="30ECC6B5" w14:textId="4A9E0021" w:rsidR="00DB58FF" w:rsidRPr="00D45B1A" w:rsidRDefault="00DB58FF" w:rsidP="00554A66">
      <w:r w:rsidRPr="00D45B1A">
        <w:t xml:space="preserve">This </w:t>
      </w:r>
      <w:r w:rsidR="002F1176">
        <w:t>B</w:t>
      </w:r>
      <w:r w:rsidR="001701AB">
        <w:t xml:space="preserve">usiness </w:t>
      </w:r>
      <w:r w:rsidR="002F1176">
        <w:t>R</w:t>
      </w:r>
      <w:r w:rsidR="001701AB">
        <w:t>ule</w:t>
      </w:r>
      <w:r w:rsidRPr="00D45B1A">
        <w:t xml:space="preserve"> provides details on the scope of financial information that should be considered as part of the patient costing process.</w:t>
      </w:r>
    </w:p>
    <w:p w14:paraId="068FD251" w14:textId="53265AEB" w:rsidR="00DB58FF" w:rsidRPr="00F778C5" w:rsidRDefault="00DB58FF" w:rsidP="00554A66">
      <w:r w:rsidRPr="00D45B1A">
        <w:t xml:space="preserve">This </w:t>
      </w:r>
      <w:r w:rsidR="001701AB">
        <w:t>rule</w:t>
      </w:r>
      <w:r w:rsidRPr="00D45B1A">
        <w:t xml:space="preserve"> provides a guideline on the treatment of offset and recoveries.</w:t>
      </w:r>
    </w:p>
    <w:p w14:paraId="5684289E" w14:textId="77777777" w:rsidR="00DB58FF" w:rsidRPr="00D45B1A" w:rsidRDefault="00DB58FF" w:rsidP="00554A66">
      <w:pPr>
        <w:pStyle w:val="Heading3"/>
      </w:pPr>
      <w:r w:rsidRPr="00D45B1A">
        <w:t>Objective</w:t>
      </w:r>
    </w:p>
    <w:p w14:paraId="27172245" w14:textId="5C32B0B6" w:rsidR="00DB58FF" w:rsidRPr="00D45B1A" w:rsidRDefault="00DB58FF" w:rsidP="00554A66">
      <w:r w:rsidRPr="00D45B1A">
        <w:t xml:space="preserve">The objective of this </w:t>
      </w:r>
      <w:r w:rsidR="001701AB">
        <w:t>rule</w:t>
      </w:r>
      <w:r w:rsidRPr="00D45B1A">
        <w:t xml:space="preserve"> is to ensure that all expenses which contribute to the day to day production of final </w:t>
      </w:r>
      <w:r w:rsidR="0074264B">
        <w:t xml:space="preserve">cost objects </w:t>
      </w:r>
      <w:r w:rsidRPr="00D45B1A">
        <w:t>are identified and included in the patient costing process.</w:t>
      </w:r>
    </w:p>
    <w:p w14:paraId="3D8A87FC" w14:textId="1FB22829" w:rsidR="00DB58FF" w:rsidRPr="00D45B1A" w:rsidRDefault="001701AB" w:rsidP="00554A66">
      <w:pPr>
        <w:pStyle w:val="Heading3"/>
      </w:pPr>
      <w:r>
        <w:t xml:space="preserve">Business </w:t>
      </w:r>
      <w:r w:rsidR="002F1176">
        <w:t>R</w:t>
      </w:r>
      <w:r>
        <w:t>ule</w:t>
      </w:r>
    </w:p>
    <w:p w14:paraId="068F9D00" w14:textId="03B46939" w:rsidR="00DB58FF" w:rsidRPr="00D45B1A" w:rsidRDefault="00DB58FF" w:rsidP="00554A66">
      <w:pPr>
        <w:rPr>
          <w:lang w:eastAsia="ja-JP"/>
        </w:rPr>
      </w:pPr>
      <w:r w:rsidRPr="00D45B1A">
        <w:rPr>
          <w:lang w:eastAsia="ja-JP"/>
        </w:rPr>
        <w:t>For patient level costing purposes, offsetting revenue with expenses is only permitted where</w:t>
      </w:r>
      <w:r w:rsidR="004417A5">
        <w:rPr>
          <w:lang w:eastAsia="ja-JP"/>
        </w:rPr>
        <w:t xml:space="preserve"> there is evidence to support that the compensation effectively </w:t>
      </w:r>
      <w:r w:rsidRPr="00D45B1A">
        <w:rPr>
          <w:lang w:eastAsia="ja-JP"/>
        </w:rPr>
        <w:t>reflects the substance of the transaction.</w:t>
      </w:r>
    </w:p>
    <w:p w14:paraId="4E86C34B" w14:textId="077612EB" w:rsidR="00DB58FF" w:rsidRPr="00D45B1A" w:rsidRDefault="00DB58FF" w:rsidP="00554A66">
      <w:pPr>
        <w:rPr>
          <w:lang w:eastAsia="ja-JP"/>
        </w:rPr>
      </w:pPr>
      <w:r w:rsidRPr="00D45B1A">
        <w:rPr>
          <w:lang w:eastAsia="ja-JP"/>
        </w:rPr>
        <w:t xml:space="preserve">An example of this is errors corrections, where the invoiced purchase price of goods is subsequently reduced by the supplier due to a billing error, and a refund is provided by the supplier. The refund that is recorded as </w:t>
      </w:r>
      <w:r w:rsidR="00D24970">
        <w:rPr>
          <w:lang w:eastAsia="ja-JP"/>
        </w:rPr>
        <w:t xml:space="preserve">a </w:t>
      </w:r>
      <w:r w:rsidR="00D24970" w:rsidRPr="00D45B1A">
        <w:rPr>
          <w:lang w:eastAsia="ja-JP"/>
        </w:rPr>
        <w:t>revenue</w:t>
      </w:r>
      <w:r w:rsidRPr="00D45B1A">
        <w:rPr>
          <w:lang w:eastAsia="ja-JP"/>
        </w:rPr>
        <w:t xml:space="preserve"> is able to be offset against the cost of the purchased goods.</w:t>
      </w:r>
    </w:p>
    <w:p w14:paraId="22FEFA3A" w14:textId="00F7A6D0" w:rsidR="00DB58FF" w:rsidRPr="00D45B1A" w:rsidRDefault="00DB58FF" w:rsidP="00554A66">
      <w:pPr>
        <w:rPr>
          <w:lang w:eastAsia="ja-JP"/>
        </w:rPr>
      </w:pPr>
      <w:r w:rsidRPr="00D45B1A">
        <w:rPr>
          <w:lang w:eastAsia="ja-JP"/>
        </w:rPr>
        <w:t xml:space="preserve">A further example is where goods and services provided by the hospital are reimbursed by another organisation. The goods and services must not contribute to the </w:t>
      </w:r>
      <w:r w:rsidR="00702703" w:rsidRPr="00D45B1A">
        <w:rPr>
          <w:lang w:eastAsia="ja-JP"/>
        </w:rPr>
        <w:t>hospital’s</w:t>
      </w:r>
      <w:r w:rsidRPr="00D45B1A">
        <w:rPr>
          <w:lang w:eastAsia="ja-JP"/>
        </w:rPr>
        <w:t xml:space="preserve"> outputs. A practical example includes any payments received by the hospital that relate to a seconded staff member or payments received under WorkCover arrangements. </w:t>
      </w:r>
    </w:p>
    <w:p w14:paraId="2AD23EB7" w14:textId="77777777" w:rsidR="00DB58FF" w:rsidRPr="00D45B1A" w:rsidRDefault="00DB58FF" w:rsidP="00554A66">
      <w:r w:rsidRPr="00D45B1A">
        <w:rPr>
          <w:lang w:eastAsia="ja-JP"/>
        </w:rPr>
        <w:t>Any other revenue generated from sales of services and relate to the hospital’s outputs will not be offset against expenses incurred. Specific examples of where revenue is not to be offset includes any revenue received from:</w:t>
      </w:r>
    </w:p>
    <w:p w14:paraId="0A7A1E29" w14:textId="77777777" w:rsidR="00804C84" w:rsidRPr="00636603" w:rsidRDefault="00804C84" w:rsidP="00844101">
      <w:pPr>
        <w:pStyle w:val="ListBullet"/>
        <w:tabs>
          <w:tab w:val="clear" w:pos="360"/>
          <w:tab w:val="num" w:pos="2194"/>
        </w:tabs>
        <w:spacing w:after="120"/>
        <w:ind w:left="2188" w:hanging="357"/>
      </w:pPr>
      <w:r w:rsidRPr="00636603">
        <w:t xml:space="preserve">any commercial activities </w:t>
      </w:r>
    </w:p>
    <w:p w14:paraId="09E3B72E" w14:textId="6C8553DB" w:rsidR="00804C84" w:rsidRPr="00636603" w:rsidRDefault="00804C84" w:rsidP="00844101">
      <w:pPr>
        <w:pStyle w:val="ListBullet"/>
        <w:tabs>
          <w:tab w:val="clear" w:pos="360"/>
          <w:tab w:val="num" w:pos="2194"/>
        </w:tabs>
        <w:spacing w:after="120"/>
        <w:ind w:left="2188" w:hanging="357"/>
      </w:pPr>
      <w:r w:rsidRPr="00636603">
        <w:t xml:space="preserve">any grants or subsidises, including revenue for </w:t>
      </w:r>
      <w:r>
        <w:t>h</w:t>
      </w:r>
      <w:r w:rsidRPr="00636603">
        <w:t xml:space="preserve">igh cost S100 and </w:t>
      </w:r>
      <w:r>
        <w:t>Pharmaceutical Benefits Scheme drugs</w:t>
      </w:r>
    </w:p>
    <w:p w14:paraId="55083913" w14:textId="6936216C" w:rsidR="00804C84" w:rsidRDefault="00804C84" w:rsidP="00844101">
      <w:pPr>
        <w:pStyle w:val="ListBullet"/>
        <w:tabs>
          <w:tab w:val="clear" w:pos="360"/>
          <w:tab w:val="num" w:pos="2194"/>
        </w:tabs>
        <w:spacing w:after="120"/>
        <w:ind w:left="2188" w:hanging="357"/>
      </w:pPr>
      <w:r w:rsidRPr="00636603">
        <w:t>facility f</w:t>
      </w:r>
      <w:r>
        <w:t>ees, including consulting rooms</w:t>
      </w:r>
    </w:p>
    <w:p w14:paraId="5EBCBC6F" w14:textId="0CCEA325" w:rsidR="00DB58FF" w:rsidRPr="00636603" w:rsidRDefault="00DB58FF" w:rsidP="00844101">
      <w:pPr>
        <w:pStyle w:val="ListBullet"/>
        <w:tabs>
          <w:tab w:val="clear" w:pos="360"/>
          <w:tab w:val="num" w:pos="2194"/>
        </w:tabs>
        <w:spacing w:after="120"/>
        <w:ind w:left="2188" w:hanging="357"/>
      </w:pPr>
      <w:r w:rsidRPr="00636603">
        <w:t>patient charging, including private, com</w:t>
      </w:r>
      <w:r w:rsidR="003F1BF5">
        <w:t>pensable and ineligible patient</w:t>
      </w:r>
      <w:r w:rsidR="00804C84">
        <w:t>.</w:t>
      </w:r>
    </w:p>
    <w:p w14:paraId="54B9C16A" w14:textId="77777777" w:rsidR="00DB58FF" w:rsidRDefault="00DB58FF" w:rsidP="00554A66">
      <w:r w:rsidRPr="00D45B1A">
        <w:rPr>
          <w:lang w:eastAsia="ja-JP"/>
        </w:rPr>
        <w:t>Where permitted</w:t>
      </w:r>
      <w:r w:rsidR="008A3FF9">
        <w:rPr>
          <w:lang w:eastAsia="ja-JP"/>
        </w:rPr>
        <w:t>,</w:t>
      </w:r>
      <w:r w:rsidRPr="00D45B1A">
        <w:rPr>
          <w:lang w:eastAsia="ja-JP"/>
        </w:rPr>
        <w:t xml:space="preserve"> offsetting revenue </w:t>
      </w:r>
      <w:r w:rsidR="008A3FF9">
        <w:rPr>
          <w:lang w:eastAsia="ja-JP"/>
        </w:rPr>
        <w:t>and expenses</w:t>
      </w:r>
      <w:r w:rsidRPr="00D45B1A">
        <w:rPr>
          <w:lang w:eastAsia="ja-JP"/>
        </w:rPr>
        <w:t xml:space="preserve"> should typically not generate negative costs. In the case for cost recoveries, this activity should only reflect a small part of the operation of cost centres, where the principal purpose is to provide goods and services aimed at providing patient services.</w:t>
      </w:r>
    </w:p>
    <w:p w14:paraId="753DECC0" w14:textId="77777777" w:rsidR="00DB58FF" w:rsidRPr="00D45B1A" w:rsidRDefault="00DB58FF" w:rsidP="00554A66">
      <w:r>
        <w:rPr>
          <w:lang w:eastAsia="ja-JP"/>
        </w:rPr>
        <w:t>Where rebates occur, these should not be netted off against expenditures.</w:t>
      </w:r>
    </w:p>
    <w:p w14:paraId="63B07B82" w14:textId="665FD050" w:rsidR="00DB58FF" w:rsidRPr="00D45B1A" w:rsidRDefault="00DB58FF" w:rsidP="00554A66">
      <w:r w:rsidRPr="00D45B1A">
        <w:rPr>
          <w:lang w:eastAsia="ja-JP"/>
        </w:rPr>
        <w:t>For cost recoveries, costing practitioners should consider transferring the actual or estimated expense from the cost centre us</w:t>
      </w:r>
      <w:r w:rsidR="00804C84">
        <w:rPr>
          <w:lang w:eastAsia="ja-JP"/>
        </w:rPr>
        <w:t xml:space="preserve">ed to generate the products </w:t>
      </w:r>
      <w:r w:rsidRPr="00D45B1A">
        <w:rPr>
          <w:lang w:eastAsia="ja-JP"/>
        </w:rPr>
        <w:t>or services for which the cost recoveries were received and partition that amount into a non-patient product cost centre. For example, w</w:t>
      </w:r>
      <w:r w:rsidRPr="00D45B1A">
        <w:t xml:space="preserve">here outsourced services are provided on-site by an external provider, depending </w:t>
      </w:r>
      <w:r w:rsidRPr="00D45B1A">
        <w:lastRenderedPageBreak/>
        <w:t>on the contract arrangement, these expenses may be recoverable from those external providers.</w:t>
      </w:r>
    </w:p>
    <w:p w14:paraId="047F0A83" w14:textId="64F8D229" w:rsidR="00DB58FF" w:rsidRPr="00D45B1A" w:rsidRDefault="00DB58FF" w:rsidP="00554A66">
      <w:r w:rsidRPr="00D45B1A">
        <w:rPr>
          <w:lang w:eastAsia="ja-JP"/>
        </w:rPr>
        <w:t xml:space="preserve">Where this approach is not possible or practical, the costing practitioner should treat the cost recovery as an estimate of the cost of generating the products and/or services for which the cost recovery is </w:t>
      </w:r>
      <w:r w:rsidR="00702703" w:rsidRPr="00D45B1A">
        <w:rPr>
          <w:lang w:eastAsia="ja-JP"/>
        </w:rPr>
        <w:t>obtained and</w:t>
      </w:r>
      <w:r w:rsidRPr="00D45B1A">
        <w:rPr>
          <w:lang w:eastAsia="ja-JP"/>
        </w:rPr>
        <w:t xml:space="preserve"> offset against the expense in that cost centre. </w:t>
      </w:r>
    </w:p>
    <w:p w14:paraId="18C306BA" w14:textId="1E49336E" w:rsidR="00DB58FF" w:rsidRPr="00D45B1A" w:rsidRDefault="00DB58FF" w:rsidP="00554A66">
      <w:pPr>
        <w:rPr>
          <w:lang w:eastAsia="ja-JP"/>
        </w:rPr>
      </w:pPr>
      <w:r w:rsidRPr="00D45B1A">
        <w:rPr>
          <w:lang w:eastAsia="ja-JP"/>
        </w:rPr>
        <w:t>Cost recoveries which are received for expenses that had been incurred and included in prior years' general ledger may be offset against similar expenses in the c</w:t>
      </w:r>
      <w:r w:rsidR="00804C84">
        <w:rPr>
          <w:lang w:eastAsia="ja-JP"/>
        </w:rPr>
        <w:t xml:space="preserve">urrent financial year. For example, the </w:t>
      </w:r>
      <w:r w:rsidRPr="00D45B1A">
        <w:rPr>
          <w:lang w:eastAsia="ja-JP"/>
        </w:rPr>
        <w:t>amount recovered from bad debt</w:t>
      </w:r>
      <w:r w:rsidR="00804C84">
        <w:rPr>
          <w:lang w:eastAsia="ja-JP"/>
        </w:rPr>
        <w:t>, which was</w:t>
      </w:r>
      <w:r w:rsidRPr="00D45B1A">
        <w:rPr>
          <w:lang w:eastAsia="ja-JP"/>
        </w:rPr>
        <w:t xml:space="preserve"> written off in prior years may be offset against bad debt expenses in the current year. </w:t>
      </w:r>
    </w:p>
    <w:p w14:paraId="0CE5DDD2" w14:textId="5B2929C7" w:rsidR="00DB58FF" w:rsidRPr="00D45B1A" w:rsidRDefault="00DB58FF" w:rsidP="00554A66">
      <w:pPr>
        <w:rPr>
          <w:lang w:eastAsia="ja-JP"/>
        </w:rPr>
      </w:pPr>
      <w:r w:rsidRPr="00D45B1A">
        <w:rPr>
          <w:lang w:eastAsia="ja-JP"/>
        </w:rPr>
        <w:t>Recovered expenses are in most cases found in contra e</w:t>
      </w:r>
      <w:r w:rsidR="00342B27">
        <w:rPr>
          <w:lang w:eastAsia="ja-JP"/>
        </w:rPr>
        <w:t>xpenses accounts and appear as ‘negative’</w:t>
      </w:r>
      <w:r w:rsidRPr="00D45B1A">
        <w:rPr>
          <w:lang w:eastAsia="ja-JP"/>
        </w:rPr>
        <w:t xml:space="preserve"> expenses in the general ledger. A contra expenses account is an account that reduces or offsets the amounts reported in other general ledger expense accounts, these accounts have a credit balance rather than the usual debit balance and thus are termed as contra accounts. </w:t>
      </w:r>
    </w:p>
    <w:p w14:paraId="697B895E" w14:textId="07C315E6" w:rsidR="00DB58FF" w:rsidRPr="00D45B1A" w:rsidRDefault="008A3FF9" w:rsidP="00554A66">
      <w:pPr>
        <w:rPr>
          <w:lang w:eastAsia="ja-JP"/>
        </w:rPr>
      </w:pPr>
      <w:r>
        <w:rPr>
          <w:lang w:eastAsia="ja-JP"/>
        </w:rPr>
        <w:t xml:space="preserve">An </w:t>
      </w:r>
      <w:r w:rsidR="002F6ADE">
        <w:rPr>
          <w:lang w:eastAsia="ja-JP"/>
        </w:rPr>
        <w:t>e</w:t>
      </w:r>
      <w:r>
        <w:rPr>
          <w:lang w:eastAsia="ja-JP"/>
        </w:rPr>
        <w:t>xample</w:t>
      </w:r>
      <w:r w:rsidR="00DB58FF" w:rsidRPr="00D45B1A">
        <w:rPr>
          <w:lang w:eastAsia="ja-JP"/>
        </w:rPr>
        <w:t xml:space="preserve"> where contra accounts are used can be found in the amounts paid to employees on workers' compensation. The employee salary is recorded </w:t>
      </w:r>
      <w:r w:rsidRPr="00D45B1A">
        <w:rPr>
          <w:lang w:eastAsia="ja-JP"/>
        </w:rPr>
        <w:t>as an expense</w:t>
      </w:r>
      <w:r w:rsidR="00DB58FF" w:rsidRPr="00D45B1A">
        <w:rPr>
          <w:lang w:eastAsia="ja-JP"/>
        </w:rPr>
        <w:t xml:space="preserve"> while the corresponding </w:t>
      </w:r>
      <w:r w:rsidRPr="00D45B1A">
        <w:rPr>
          <w:lang w:eastAsia="ja-JP"/>
        </w:rPr>
        <w:t>recoveries from the insurer are</w:t>
      </w:r>
      <w:r w:rsidR="00DB58FF" w:rsidRPr="00D45B1A">
        <w:rPr>
          <w:lang w:eastAsia="ja-JP"/>
        </w:rPr>
        <w:t xml:space="preserve"> recorded as a negative expense in the contra account. Costing practitioners are required to offset the negative recoveries amount against the corresponding expenses and will need to ensure that they understand the nature of the contra expense to correct the offset.</w:t>
      </w:r>
    </w:p>
    <w:p w14:paraId="4351D14F" w14:textId="1974F269" w:rsidR="00DB58FF" w:rsidRPr="00A16134" w:rsidRDefault="00DB58FF" w:rsidP="00554A66">
      <w:r w:rsidRPr="00A16134">
        <w:rPr>
          <w:lang w:eastAsia="ja-JP"/>
        </w:rPr>
        <w:t xml:space="preserve">In any circumstance where offsetting the cost recovery does result in a negative cost, the process outlined in </w:t>
      </w:r>
      <w:r w:rsidR="00342B27">
        <w:t>Business R</w:t>
      </w:r>
      <w:r w:rsidR="001701AB">
        <w:t>ule</w:t>
      </w:r>
      <w:r w:rsidR="00A21289">
        <w:t xml:space="preserve"> 6.0A Negative Cost</w:t>
      </w:r>
      <w:r w:rsidR="00A16134">
        <w:rPr>
          <w:lang w:eastAsia="ja-JP"/>
        </w:rPr>
        <w:t xml:space="preserve"> sho</w:t>
      </w:r>
      <w:r w:rsidRPr="00A16134">
        <w:rPr>
          <w:lang w:eastAsia="ja-JP"/>
        </w:rPr>
        <w:t>uld be followed.</w:t>
      </w:r>
    </w:p>
    <w:p w14:paraId="34D7AEB3" w14:textId="77777777" w:rsidR="00DB58FF" w:rsidRPr="007C0B51" w:rsidRDefault="00DB58FF" w:rsidP="007C0B51">
      <w:pPr>
        <w:pStyle w:val="Heading2"/>
        <w:contextualSpacing w:val="0"/>
        <w:rPr>
          <w:rFonts w:cs="Arial"/>
        </w:rPr>
      </w:pPr>
      <w:r w:rsidRPr="007C0B51">
        <w:rPr>
          <w:rFonts w:cs="Arial"/>
        </w:rPr>
        <w:br w:type="page"/>
      </w:r>
    </w:p>
    <w:p w14:paraId="5155CB30" w14:textId="47CBA339" w:rsidR="004F51DF" w:rsidRDefault="001701AB" w:rsidP="00663250">
      <w:pPr>
        <w:pStyle w:val="Heading1"/>
        <w:spacing w:after="480"/>
        <w:rPr>
          <w:lang w:eastAsia="ja-JP"/>
        </w:rPr>
      </w:pPr>
      <w:bookmarkStart w:id="55" w:name="_Toc80348264"/>
      <w:bookmarkStart w:id="56" w:name="_Toc480492941"/>
      <w:r>
        <w:rPr>
          <w:lang w:eastAsia="ja-JP"/>
        </w:rPr>
        <w:lastRenderedPageBreak/>
        <w:t xml:space="preserve">Create the </w:t>
      </w:r>
      <w:r w:rsidR="009121A0">
        <w:rPr>
          <w:lang w:eastAsia="ja-JP"/>
        </w:rPr>
        <w:t>C</w:t>
      </w:r>
      <w:r>
        <w:rPr>
          <w:lang w:eastAsia="ja-JP"/>
        </w:rPr>
        <w:t xml:space="preserve">ost </w:t>
      </w:r>
      <w:r w:rsidR="009121A0">
        <w:rPr>
          <w:lang w:eastAsia="ja-JP"/>
        </w:rPr>
        <w:t>L</w:t>
      </w:r>
      <w:r>
        <w:rPr>
          <w:lang w:eastAsia="ja-JP"/>
        </w:rPr>
        <w:t>edger</w:t>
      </w:r>
      <w:bookmarkEnd w:id="55"/>
    </w:p>
    <w:p w14:paraId="6A17E45F" w14:textId="09129AFA" w:rsidR="00594979" w:rsidRPr="00804C84" w:rsidRDefault="00594979" w:rsidP="00594979">
      <w:pPr>
        <w:pStyle w:val="Intro"/>
        <w:rPr>
          <w:rStyle w:val="LineNumber"/>
          <w:color w:val="auto"/>
        </w:rPr>
      </w:pPr>
      <w:r w:rsidRPr="00804C84">
        <w:rPr>
          <w:rStyle w:val="LineNumber"/>
          <w:color w:val="auto"/>
        </w:rPr>
        <w:t>The cost ledger transforms the organisation’s general ledger to structure financial information in a way that enables product costing.</w:t>
      </w:r>
      <w:r w:rsidR="001701AB" w:rsidRPr="00804C84">
        <w:rPr>
          <w:rStyle w:val="LineNumber"/>
          <w:color w:val="auto"/>
        </w:rPr>
        <w:t xml:space="preserve"> </w:t>
      </w:r>
      <w:r w:rsidRPr="00804C84">
        <w:rPr>
          <w:rStyle w:val="LineNumber"/>
          <w:color w:val="auto"/>
        </w:rPr>
        <w:t xml:space="preserve">The cost ledger thus provides the framework for relating the organisations expenses to products for the purpose of product costing. The key principle supporting this framework is the concept of matching expenses to intermediate products in a way that emphasises the causal relationship between the expense and the intermediate product. </w:t>
      </w:r>
    </w:p>
    <w:p w14:paraId="31A0F9F0" w14:textId="77777777" w:rsidR="00594979" w:rsidRPr="00804C84" w:rsidRDefault="00594979" w:rsidP="00594979">
      <w:pPr>
        <w:pStyle w:val="Intro"/>
        <w:rPr>
          <w:rStyle w:val="LineNumber"/>
          <w:color w:val="auto"/>
        </w:rPr>
      </w:pPr>
      <w:r w:rsidRPr="00804C84">
        <w:rPr>
          <w:rStyle w:val="LineNumber"/>
          <w:color w:val="auto"/>
        </w:rPr>
        <w:t>Expenses directly relating to the delivery of patient care products shall be considered direct expenses. Whereas supporting, non-patient related expenses shall be referred to as overhead or indirect expenses. In the context of patient products, direct expenses are those expenses that can be directly allocated to a patient. Any expense that does not relate directly to a patient will be classified as an overhead expense and apportioned appropriately.</w:t>
      </w:r>
    </w:p>
    <w:p w14:paraId="1578DDBB" w14:textId="77777777" w:rsidR="00CB7371" w:rsidRPr="00215955" w:rsidRDefault="00CB7371" w:rsidP="00CB7371">
      <w:pPr>
        <w:numPr>
          <w:ilvl w:val="0"/>
          <w:numId w:val="0"/>
        </w:numPr>
        <w:rPr>
          <w:rFonts w:eastAsia="Calibri"/>
          <w:b/>
        </w:rPr>
      </w:pPr>
      <w:r w:rsidRPr="00215955">
        <w:rPr>
          <w:rFonts w:eastAsia="Calibri"/>
          <w:b/>
        </w:rPr>
        <w:t>Application</w:t>
      </w:r>
    </w:p>
    <w:p w14:paraId="409E4717" w14:textId="6A418C55" w:rsidR="00DB13AE" w:rsidRDefault="00DB13AE" w:rsidP="00DB13AE">
      <w:pPr>
        <w:numPr>
          <w:ilvl w:val="0"/>
          <w:numId w:val="0"/>
        </w:numPr>
        <w:rPr>
          <w:rFonts w:eastAsia="Calibri"/>
        </w:rPr>
      </w:pPr>
      <w:r>
        <w:rPr>
          <w:rFonts w:eastAsia="Calibri"/>
        </w:rPr>
        <w:t xml:space="preserve">These </w:t>
      </w:r>
      <w:r w:rsidR="001701AB">
        <w:rPr>
          <w:rFonts w:eastAsia="Calibri"/>
        </w:rPr>
        <w:t xml:space="preserve">Business </w:t>
      </w:r>
      <w:r w:rsidR="002F6ADE">
        <w:rPr>
          <w:rFonts w:eastAsia="Calibri"/>
        </w:rPr>
        <w:t>R</w:t>
      </w:r>
      <w:r w:rsidR="001701AB">
        <w:rPr>
          <w:rFonts w:eastAsia="Calibri"/>
        </w:rPr>
        <w:t>ules</w:t>
      </w:r>
      <w:r>
        <w:rPr>
          <w:rFonts w:eastAsia="Calibri"/>
        </w:rPr>
        <w:t xml:space="preserve"> </w:t>
      </w:r>
      <w:r w:rsidRPr="00215955">
        <w:rPr>
          <w:rFonts w:eastAsia="Calibri"/>
        </w:rPr>
        <w:t xml:space="preserve">shall be read in conjunction with the Standards </w:t>
      </w:r>
      <w:r>
        <w:rPr>
          <w:rFonts w:eastAsia="Calibri"/>
        </w:rPr>
        <w:t>associated with the following stages:</w:t>
      </w:r>
    </w:p>
    <w:p w14:paraId="1EF2243E" w14:textId="0ACC11FF" w:rsidR="008D3A80" w:rsidRDefault="008D3A80" w:rsidP="00DB13AE">
      <w:pPr>
        <w:numPr>
          <w:ilvl w:val="0"/>
          <w:numId w:val="0"/>
        </w:numPr>
        <w:rPr>
          <w:rFonts w:eastAsia="Calibri"/>
        </w:rPr>
      </w:pPr>
      <w:r>
        <w:rPr>
          <w:rFonts w:eastAsia="Calibri"/>
        </w:rPr>
        <w:fldChar w:fldCharType="begin"/>
      </w:r>
      <w:r>
        <w:rPr>
          <w:rFonts w:eastAsia="Calibri"/>
        </w:rPr>
        <w:instrText xml:space="preserve"> REF _Ref498530776 \w \h </w:instrText>
      </w:r>
      <w:r>
        <w:rPr>
          <w:rFonts w:eastAsia="Calibri"/>
        </w:rPr>
      </w:r>
      <w:r>
        <w:rPr>
          <w:rFonts w:eastAsia="Calibri"/>
        </w:rPr>
        <w:fldChar w:fldCharType="separate"/>
      </w:r>
      <w:r w:rsidR="00EA6A78">
        <w:rPr>
          <w:rFonts w:eastAsia="Calibri"/>
        </w:rPr>
        <w:t>Stage 2</w:t>
      </w:r>
      <w:r>
        <w:rPr>
          <w:rFonts w:eastAsia="Calibri"/>
        </w:rPr>
        <w:fldChar w:fldCharType="end"/>
      </w:r>
      <w:r>
        <w:rPr>
          <w:rFonts w:eastAsia="Calibri"/>
        </w:rPr>
        <w:t xml:space="preserve">: </w:t>
      </w:r>
      <w:r>
        <w:rPr>
          <w:rFonts w:eastAsia="Calibri"/>
        </w:rPr>
        <w:fldChar w:fldCharType="begin"/>
      </w:r>
      <w:r>
        <w:rPr>
          <w:rFonts w:eastAsia="Calibri"/>
        </w:rPr>
        <w:instrText xml:space="preserve"> REF _Ref498530776 \h </w:instrText>
      </w:r>
      <w:r>
        <w:rPr>
          <w:rFonts w:eastAsia="Calibri"/>
        </w:rPr>
      </w:r>
      <w:r>
        <w:rPr>
          <w:rFonts w:eastAsia="Calibri"/>
        </w:rPr>
        <w:fldChar w:fldCharType="separate"/>
      </w:r>
      <w:r w:rsidR="00EA6A78">
        <w:rPr>
          <w:rFonts w:eastAsia="Calibri"/>
        </w:rPr>
        <w:t xml:space="preserve">Create the </w:t>
      </w:r>
      <w:r w:rsidR="004C21C6">
        <w:rPr>
          <w:rFonts w:eastAsia="Calibri"/>
        </w:rPr>
        <w:t>C</w:t>
      </w:r>
      <w:r w:rsidR="00EA6A78">
        <w:rPr>
          <w:rFonts w:eastAsia="Calibri"/>
        </w:rPr>
        <w:t xml:space="preserve">ost </w:t>
      </w:r>
      <w:r w:rsidR="004C21C6">
        <w:rPr>
          <w:rFonts w:eastAsia="Calibri"/>
        </w:rPr>
        <w:t>L</w:t>
      </w:r>
      <w:r w:rsidR="00EA6A78">
        <w:rPr>
          <w:rFonts w:eastAsia="Calibri"/>
        </w:rPr>
        <w:t>edger</w:t>
      </w:r>
      <w:r>
        <w:rPr>
          <w:rFonts w:eastAsia="Calibri"/>
        </w:rPr>
        <w:fldChar w:fldCharType="end"/>
      </w:r>
    </w:p>
    <w:p w14:paraId="13463A0E" w14:textId="72886840" w:rsidR="008D3A80" w:rsidRDefault="008D3A80" w:rsidP="00DB13AE">
      <w:pPr>
        <w:numPr>
          <w:ilvl w:val="0"/>
          <w:numId w:val="0"/>
        </w:numPr>
        <w:rPr>
          <w:rFonts w:eastAsia="Calibri"/>
        </w:rPr>
      </w:pPr>
      <w:r>
        <w:rPr>
          <w:rFonts w:eastAsia="Calibri"/>
        </w:rPr>
        <w:fldChar w:fldCharType="begin"/>
      </w:r>
      <w:r>
        <w:rPr>
          <w:rFonts w:eastAsia="Calibri"/>
        </w:rPr>
        <w:instrText xml:space="preserve"> REF _Ref498530780 \w \h </w:instrText>
      </w:r>
      <w:r>
        <w:rPr>
          <w:rFonts w:eastAsia="Calibri"/>
        </w:rPr>
      </w:r>
      <w:r>
        <w:rPr>
          <w:rFonts w:eastAsia="Calibri"/>
        </w:rPr>
        <w:fldChar w:fldCharType="separate"/>
      </w:r>
      <w:r w:rsidR="00EA6A78">
        <w:rPr>
          <w:rFonts w:eastAsia="Calibri"/>
        </w:rPr>
        <w:t>Stage 6</w:t>
      </w:r>
      <w:r>
        <w:rPr>
          <w:rFonts w:eastAsia="Calibri"/>
        </w:rPr>
        <w:fldChar w:fldCharType="end"/>
      </w:r>
      <w:r>
        <w:rPr>
          <w:rFonts w:eastAsia="Calibri"/>
        </w:rPr>
        <w:t xml:space="preserve">: </w:t>
      </w:r>
      <w:r>
        <w:rPr>
          <w:rFonts w:eastAsia="Calibri"/>
        </w:rPr>
        <w:fldChar w:fldCharType="begin"/>
      </w:r>
      <w:r>
        <w:rPr>
          <w:rFonts w:eastAsia="Calibri"/>
        </w:rPr>
        <w:instrText xml:space="preserve"> REF _Ref498530780 \h </w:instrText>
      </w:r>
      <w:r>
        <w:rPr>
          <w:rFonts w:eastAsia="Calibri"/>
        </w:rPr>
      </w:r>
      <w:r>
        <w:rPr>
          <w:rFonts w:eastAsia="Calibri"/>
        </w:rPr>
        <w:fldChar w:fldCharType="separate"/>
      </w:r>
      <w:r w:rsidR="00EA6A78">
        <w:rPr>
          <w:rFonts w:eastAsia="Calibri"/>
        </w:rPr>
        <w:t xml:space="preserve">Review and </w:t>
      </w:r>
      <w:r w:rsidR="004C21C6">
        <w:rPr>
          <w:rFonts w:eastAsia="Calibri"/>
        </w:rPr>
        <w:t>R</w:t>
      </w:r>
      <w:r w:rsidR="00EA6A78">
        <w:rPr>
          <w:rFonts w:eastAsia="Calibri"/>
        </w:rPr>
        <w:t>econcile</w:t>
      </w:r>
      <w:r>
        <w:rPr>
          <w:rFonts w:eastAsia="Calibri"/>
        </w:rPr>
        <w:fldChar w:fldCharType="end"/>
      </w:r>
      <w:r w:rsidR="002E574D">
        <w:rPr>
          <w:rFonts w:eastAsia="Calibri"/>
        </w:rPr>
        <w:t>.</w:t>
      </w:r>
    </w:p>
    <w:p w14:paraId="6FBE1A66" w14:textId="77777777" w:rsidR="00CB7371" w:rsidRPr="00215955" w:rsidRDefault="00CB7371" w:rsidP="00DB13AE">
      <w:pPr>
        <w:numPr>
          <w:ilvl w:val="0"/>
          <w:numId w:val="0"/>
        </w:numPr>
        <w:rPr>
          <w:rFonts w:eastAsia="Calibri"/>
          <w:b/>
        </w:rPr>
      </w:pPr>
      <w:r w:rsidRPr="00215955">
        <w:rPr>
          <w:rFonts w:eastAsia="Calibri"/>
          <w:b/>
        </w:rPr>
        <w:t>List of referenced documents</w:t>
      </w:r>
    </w:p>
    <w:p w14:paraId="22B32435" w14:textId="733077C7" w:rsidR="00CB7371" w:rsidRPr="00215955" w:rsidRDefault="00A04467" w:rsidP="00CB7371">
      <w:pPr>
        <w:numPr>
          <w:ilvl w:val="0"/>
          <w:numId w:val="0"/>
        </w:numPr>
        <w:rPr>
          <w:rFonts w:eastAsia="Calibri"/>
          <w:b/>
          <w:bCs/>
        </w:rPr>
      </w:pPr>
      <w:r>
        <w:rPr>
          <w:rFonts w:eastAsia="Calibri"/>
        </w:rPr>
        <w:t>There are no documents referred to in this stage.</w:t>
      </w:r>
    </w:p>
    <w:p w14:paraId="4D80D534" w14:textId="77777777" w:rsidR="008A3FF9" w:rsidRDefault="008A3FF9" w:rsidP="008A3FF9">
      <w:pPr>
        <w:pStyle w:val="Intro"/>
        <w:rPr>
          <w:lang w:eastAsia="ja-JP"/>
        </w:rPr>
      </w:pPr>
    </w:p>
    <w:p w14:paraId="627FFE76" w14:textId="77777777" w:rsidR="004F51DF" w:rsidRDefault="004F51DF" w:rsidP="00554A66">
      <w:pPr>
        <w:rPr>
          <w:szCs w:val="44"/>
          <w:lang w:eastAsia="ja-JP"/>
        </w:rPr>
      </w:pPr>
      <w:r>
        <w:rPr>
          <w:lang w:eastAsia="ja-JP"/>
        </w:rPr>
        <w:br w:type="page"/>
      </w:r>
    </w:p>
    <w:p w14:paraId="6351D526" w14:textId="22F18B64" w:rsidR="000529C2" w:rsidRDefault="00FB0537" w:rsidP="00631701">
      <w:pPr>
        <w:pStyle w:val="Heading2"/>
        <w:numPr>
          <w:ilvl w:val="1"/>
          <w:numId w:val="13"/>
        </w:numPr>
        <w:contextualSpacing w:val="0"/>
      </w:pPr>
      <w:bookmarkStart w:id="57" w:name="_Toc80348265"/>
      <w:r>
        <w:lastRenderedPageBreak/>
        <w:t xml:space="preserve">Cost </w:t>
      </w:r>
      <w:r w:rsidR="009121A0">
        <w:t>L</w:t>
      </w:r>
      <w:r>
        <w:t xml:space="preserve">edger </w:t>
      </w:r>
      <w:r w:rsidR="009121A0">
        <w:t>F</w:t>
      </w:r>
      <w:r w:rsidR="00DC1841" w:rsidRPr="004F51DF">
        <w:t>ramework</w:t>
      </w:r>
      <w:bookmarkEnd w:id="57"/>
    </w:p>
    <w:p w14:paraId="556AFC4E" w14:textId="0A25B33E" w:rsidR="00DB58FF" w:rsidRPr="004F51DF" w:rsidRDefault="00DB58FF" w:rsidP="000529C2">
      <w:pPr>
        <w:pStyle w:val="Heading2"/>
      </w:pPr>
      <w:bookmarkStart w:id="58" w:name="_Toc80348266"/>
      <w:r w:rsidRPr="004F51DF">
        <w:t xml:space="preserve">Cost </w:t>
      </w:r>
      <w:r w:rsidR="009121A0">
        <w:t>C</w:t>
      </w:r>
      <w:r w:rsidR="00DC1841" w:rsidRPr="004F51DF">
        <w:t xml:space="preserve">entre </w:t>
      </w:r>
      <w:bookmarkEnd w:id="56"/>
      <w:r w:rsidR="009121A0">
        <w:t>M</w:t>
      </w:r>
      <w:r w:rsidR="00DC1841" w:rsidRPr="004F51DF">
        <w:t>apping</w:t>
      </w:r>
      <w:bookmarkEnd w:id="58"/>
    </w:p>
    <w:p w14:paraId="045E0C97" w14:textId="77777777" w:rsidR="00DB58FF" w:rsidRPr="00D45B1A" w:rsidRDefault="00DB58FF" w:rsidP="00554A66">
      <w:pPr>
        <w:pStyle w:val="Heading3"/>
      </w:pPr>
      <w:r w:rsidRPr="00D45B1A">
        <w:t>Scope</w:t>
      </w:r>
    </w:p>
    <w:p w14:paraId="27159E93" w14:textId="2450821A" w:rsidR="00DB58FF" w:rsidRPr="00D45B1A" w:rsidRDefault="00DB58FF" w:rsidP="00554A66">
      <w:pPr>
        <w:rPr>
          <w:lang w:eastAsia="ja-JP"/>
        </w:rPr>
      </w:pPr>
      <w:r w:rsidRPr="00D45B1A">
        <w:rPr>
          <w:lang w:eastAsia="ja-JP"/>
        </w:rPr>
        <w:t xml:space="preserve">This </w:t>
      </w:r>
      <w:r w:rsidR="002F1176">
        <w:rPr>
          <w:lang w:eastAsia="ja-JP"/>
        </w:rPr>
        <w:t>B</w:t>
      </w:r>
      <w:r w:rsidR="001701AB">
        <w:rPr>
          <w:lang w:eastAsia="ja-JP"/>
        </w:rPr>
        <w:t xml:space="preserve">usiness </w:t>
      </w:r>
      <w:r w:rsidR="002F1176">
        <w:rPr>
          <w:lang w:eastAsia="ja-JP"/>
        </w:rPr>
        <w:t>R</w:t>
      </w:r>
      <w:r w:rsidR="001701AB">
        <w:rPr>
          <w:lang w:eastAsia="ja-JP"/>
        </w:rPr>
        <w:t>ule</w:t>
      </w:r>
      <w:r w:rsidRPr="00D45B1A">
        <w:rPr>
          <w:lang w:eastAsia="ja-JP"/>
        </w:rPr>
        <w:t xml:space="preserve"> provides a</w:t>
      </w:r>
      <w:r w:rsidR="00BB52D3">
        <w:rPr>
          <w:lang w:eastAsia="ja-JP"/>
        </w:rPr>
        <w:t xml:space="preserve"> </w:t>
      </w:r>
      <w:r w:rsidRPr="00D45B1A">
        <w:rPr>
          <w:lang w:eastAsia="ja-JP"/>
        </w:rPr>
        <w:t xml:space="preserve">guideline on how to identify all overhead and final cost centres within the general ledger for </w:t>
      </w:r>
      <w:r w:rsidR="00162027">
        <w:rPr>
          <w:lang w:eastAsia="ja-JP"/>
        </w:rPr>
        <w:t>allocation within the costing process</w:t>
      </w:r>
      <w:r w:rsidRPr="00D45B1A">
        <w:rPr>
          <w:lang w:eastAsia="ja-JP"/>
        </w:rPr>
        <w:t>.</w:t>
      </w:r>
    </w:p>
    <w:p w14:paraId="03713D34" w14:textId="58509565" w:rsidR="00DB58FF" w:rsidRPr="00D45B1A" w:rsidRDefault="00DB58FF" w:rsidP="00554A66">
      <w:pPr>
        <w:rPr>
          <w:lang w:eastAsia="ja-JP"/>
        </w:rPr>
      </w:pPr>
      <w:r w:rsidRPr="00D45B1A">
        <w:rPr>
          <w:lang w:eastAsia="ja-JP"/>
        </w:rPr>
        <w:t xml:space="preserve">This </w:t>
      </w:r>
      <w:r w:rsidR="001701AB">
        <w:rPr>
          <w:lang w:eastAsia="ja-JP"/>
        </w:rPr>
        <w:t>rule</w:t>
      </w:r>
      <w:r w:rsidRPr="00D45B1A">
        <w:rPr>
          <w:lang w:eastAsia="ja-JP"/>
        </w:rPr>
        <w:t xml:space="preserve"> also provides the minimum required cost centre categories and their definition which need to be identified for costing and cost data collection reporting purposes.</w:t>
      </w:r>
    </w:p>
    <w:p w14:paraId="2A45B887" w14:textId="77777777" w:rsidR="00DB58FF" w:rsidRPr="00D45B1A" w:rsidRDefault="00DB58FF" w:rsidP="00554A66">
      <w:pPr>
        <w:pStyle w:val="Heading3"/>
      </w:pPr>
      <w:r w:rsidRPr="00D45B1A">
        <w:t>Objective</w:t>
      </w:r>
    </w:p>
    <w:p w14:paraId="4FC4D534" w14:textId="77777777" w:rsidR="00DB58FF" w:rsidRPr="00D45B1A" w:rsidRDefault="00DB58FF" w:rsidP="00554A66">
      <w:r w:rsidRPr="00D45B1A">
        <w:t>Cost centres that have been categorised within the general ledger and the chart of accounts may not be organised at levels appropriate for patient level costing and may not be comparable to categories identified in hospitals across the jurisdiction or nationally.</w:t>
      </w:r>
    </w:p>
    <w:p w14:paraId="4D3414A4" w14:textId="1FC2707F" w:rsidR="00DB58FF" w:rsidRPr="00D45B1A" w:rsidRDefault="00DB58FF" w:rsidP="00554A66">
      <w:r w:rsidRPr="00D45B1A">
        <w:t xml:space="preserve">This </w:t>
      </w:r>
      <w:r w:rsidR="001701AB">
        <w:t>rule</w:t>
      </w:r>
      <w:r w:rsidRPr="00D45B1A">
        <w:t xml:space="preserve"> aims to differentiate between the hospital general ledger and the costing general ledger comprising overhead and final cost centres</w:t>
      </w:r>
      <w:r w:rsidR="00F65369">
        <w:t>.</w:t>
      </w:r>
      <w:r w:rsidR="001701AB">
        <w:t xml:space="preserve"> </w:t>
      </w:r>
      <w:r w:rsidRPr="00D45B1A">
        <w:t xml:space="preserve">This distinction is important to ensure that cost centre categories for the purpose </w:t>
      </w:r>
      <w:r w:rsidR="007233AC">
        <w:t>the costing process</w:t>
      </w:r>
      <w:r w:rsidRPr="00D45B1A">
        <w:t xml:space="preserve"> are developed through consultation to reflect the causal relationship between expenses and production. </w:t>
      </w:r>
    </w:p>
    <w:p w14:paraId="6208AEDE" w14:textId="3C4DA397" w:rsidR="00DB58FF" w:rsidRPr="00D45B1A" w:rsidRDefault="00DB58FF" w:rsidP="00554A66">
      <w:r w:rsidRPr="00D45B1A">
        <w:t xml:space="preserve">This </w:t>
      </w:r>
      <w:r w:rsidR="001701AB">
        <w:t>rule</w:t>
      </w:r>
      <w:r w:rsidRPr="00D45B1A">
        <w:t xml:space="preserve"> also seeks to provide advice to map overhead and final cost centres to a minimum list of defined final cost </w:t>
      </w:r>
      <w:r w:rsidR="00DD265C">
        <w:t>centres provided in Attachment C of the Standards</w:t>
      </w:r>
      <w:r w:rsidRPr="00D45B1A">
        <w:t xml:space="preserve">: </w:t>
      </w:r>
      <w:r w:rsidR="00DD265C">
        <w:t>NHCDC Final</w:t>
      </w:r>
      <w:r w:rsidRPr="00D45B1A">
        <w:rPr>
          <w:lang w:eastAsia="ja-JP"/>
        </w:rPr>
        <w:t xml:space="preserve"> Cost Centres,</w:t>
      </w:r>
      <w:r w:rsidRPr="00D45B1A">
        <w:t xml:space="preserve"> to promote national consistency for benchmarking purposes.</w:t>
      </w:r>
      <w:r w:rsidR="00B22C9E">
        <w:t xml:space="preserve"> </w:t>
      </w:r>
      <w:r w:rsidR="004E3587" w:rsidRPr="004E3587">
        <w:t xml:space="preserve">The defined final cost centres promote alignment of cost categories in hospitals which allows for </w:t>
      </w:r>
      <w:r w:rsidR="00252715" w:rsidRPr="004E3587">
        <w:t>comparability</w:t>
      </w:r>
      <w:r w:rsidR="004E3587" w:rsidRPr="004E3587">
        <w:t xml:space="preserve"> of cost year-on-year and across different jurisdictions</w:t>
      </w:r>
      <w:r w:rsidR="004E3587">
        <w:t>.</w:t>
      </w:r>
    </w:p>
    <w:p w14:paraId="02296BF2" w14:textId="0989A616" w:rsidR="00DB58FF" w:rsidRPr="00D45B1A" w:rsidRDefault="001701AB" w:rsidP="00554A66">
      <w:pPr>
        <w:pStyle w:val="Heading3"/>
      </w:pPr>
      <w:r>
        <w:t xml:space="preserve">Business </w:t>
      </w:r>
      <w:r w:rsidR="002F1176">
        <w:t>R</w:t>
      </w:r>
      <w:r>
        <w:t>ule</w:t>
      </w:r>
    </w:p>
    <w:p w14:paraId="0A1EC89B" w14:textId="00B54ADA" w:rsidR="00DB58FF" w:rsidRPr="00492BCD" w:rsidRDefault="00492BCD" w:rsidP="00554A66">
      <w:r w:rsidRPr="00F97E63">
        <w:t xml:space="preserve">Costing </w:t>
      </w:r>
      <w:r w:rsidR="002F6ADE">
        <w:t>p</w:t>
      </w:r>
      <w:r w:rsidRPr="00F97E63">
        <w:t xml:space="preserve">ractitioners should obtain their general ledger and </w:t>
      </w:r>
      <w:r w:rsidR="00B653EF" w:rsidRPr="00F97E63">
        <w:t xml:space="preserve">determine which expenses are to be classified as </w:t>
      </w:r>
      <w:r w:rsidRPr="00F97E63">
        <w:t xml:space="preserve">overhead or final cost centres. They should also obtain a list of their respective hospital departments, their activities and </w:t>
      </w:r>
      <w:r w:rsidR="005A6809" w:rsidRPr="00F97E63">
        <w:t>align</w:t>
      </w:r>
      <w:r w:rsidRPr="00F97E63">
        <w:t xml:space="preserve"> their general ledger cost centre list and the expenses reported against each cost centre </w:t>
      </w:r>
      <w:r w:rsidR="00B653EF" w:rsidRPr="00F97E63">
        <w:t xml:space="preserve">aligns </w:t>
      </w:r>
      <w:r w:rsidRPr="00F97E63">
        <w:t xml:space="preserve">with the production of that department or responsibility of the cost </w:t>
      </w:r>
      <w:r w:rsidR="00B653EF" w:rsidRPr="00F97E63">
        <w:t>c</w:t>
      </w:r>
      <w:r w:rsidRPr="00F97E63">
        <w:t>entre</w:t>
      </w:r>
      <w:r w:rsidR="00DB58FF" w:rsidRPr="00492BCD">
        <w:t>.</w:t>
      </w:r>
    </w:p>
    <w:p w14:paraId="5A02A3CC" w14:textId="77777777" w:rsidR="00DB58FF" w:rsidRPr="00D45B1A" w:rsidRDefault="00DB58FF" w:rsidP="00554A66">
      <w:r w:rsidRPr="00D45B1A">
        <w:t>For the purpose of patient level costing, the cost centre structure in the hospital general ledger may not appropriately group expenses in a way that:</w:t>
      </w:r>
    </w:p>
    <w:p w14:paraId="3252B081" w14:textId="77777777" w:rsidR="00DB58FF" w:rsidRPr="00D45B1A" w:rsidRDefault="00DB58FF" w:rsidP="003F3BEC">
      <w:pPr>
        <w:pStyle w:val="ListBullet"/>
        <w:tabs>
          <w:tab w:val="clear" w:pos="360"/>
          <w:tab w:val="num" w:pos="2194"/>
        </w:tabs>
        <w:ind w:left="2194"/>
      </w:pPr>
      <w:r w:rsidRPr="00D45B1A">
        <w:t>meaningfully groups those resources (expenses) that are important and consumed in producing the organisation’s products; or</w:t>
      </w:r>
    </w:p>
    <w:p w14:paraId="294A0288" w14:textId="4C0D20FA" w:rsidR="00DB58FF" w:rsidRPr="00D45B1A" w:rsidRDefault="00DB58FF" w:rsidP="003F3BEC">
      <w:pPr>
        <w:pStyle w:val="ListBullet"/>
        <w:tabs>
          <w:tab w:val="clear" w:pos="360"/>
          <w:tab w:val="num" w:pos="2194"/>
        </w:tabs>
        <w:ind w:left="2194"/>
      </w:pPr>
      <w:r w:rsidRPr="00D45B1A">
        <w:t xml:space="preserve">enables the costing practitioner to categorise and match expenses to </w:t>
      </w:r>
      <w:r w:rsidR="00492BCD">
        <w:t xml:space="preserve">intermediate </w:t>
      </w:r>
      <w:r w:rsidRPr="00D45B1A">
        <w:t xml:space="preserve">products in a way that </w:t>
      </w:r>
      <w:r w:rsidR="00B166E2">
        <w:t>aligns to Standard 2.2</w:t>
      </w:r>
      <w:r w:rsidR="00DD265C">
        <w:t xml:space="preserve"> Matching Cost Objects and Expenses</w:t>
      </w:r>
      <w:r w:rsidRPr="00D45B1A">
        <w:t>.</w:t>
      </w:r>
    </w:p>
    <w:p w14:paraId="174FE1B1" w14:textId="77777777" w:rsidR="00DB58FF" w:rsidRPr="00D45B1A" w:rsidRDefault="00DB58FF" w:rsidP="00554A66">
      <w:r w:rsidRPr="00D45B1A">
        <w:t>To achieve these objectives, a costing practitioner will need to determine both:</w:t>
      </w:r>
    </w:p>
    <w:p w14:paraId="6E92054F" w14:textId="22AACEB4" w:rsidR="00DB58FF" w:rsidRPr="00D45B1A" w:rsidRDefault="00DB58FF" w:rsidP="003F3BEC">
      <w:pPr>
        <w:pStyle w:val="ListBullet"/>
        <w:tabs>
          <w:tab w:val="clear" w:pos="360"/>
          <w:tab w:val="num" w:pos="2194"/>
        </w:tabs>
        <w:ind w:left="2194"/>
      </w:pPr>
      <w:r w:rsidRPr="00D45B1A">
        <w:t>meaningful group of expense categories to report a</w:t>
      </w:r>
      <w:r w:rsidR="00492BCD">
        <w:t>n intermediate</w:t>
      </w:r>
      <w:r w:rsidRPr="00D45B1A">
        <w:t xml:space="preserve"> product’s c</w:t>
      </w:r>
      <w:r w:rsidR="003F1BF5">
        <w:t>osts to the target audience</w:t>
      </w:r>
    </w:p>
    <w:p w14:paraId="72E2A8DF" w14:textId="77777777" w:rsidR="00DB58FF" w:rsidRPr="00D45B1A" w:rsidRDefault="00DB58FF" w:rsidP="003F3BEC">
      <w:pPr>
        <w:pStyle w:val="ListBullet"/>
        <w:tabs>
          <w:tab w:val="clear" w:pos="360"/>
          <w:tab w:val="num" w:pos="2194"/>
        </w:tabs>
        <w:ind w:left="2194"/>
      </w:pPr>
      <w:r w:rsidRPr="00D45B1A">
        <w:t xml:space="preserve">required categories of expenses that are able to best reflect the causal relationship between expenses and </w:t>
      </w:r>
      <w:r w:rsidR="00492BCD">
        <w:t xml:space="preserve">intermediate </w:t>
      </w:r>
      <w:r w:rsidRPr="00D45B1A">
        <w:t>products.</w:t>
      </w:r>
    </w:p>
    <w:p w14:paraId="7C7578E8" w14:textId="13593944" w:rsidR="00DB58FF" w:rsidRPr="00D45B1A" w:rsidRDefault="00DB58FF" w:rsidP="00554A66">
      <w:r w:rsidRPr="00D45B1A">
        <w:lastRenderedPageBreak/>
        <w:t xml:space="preserve">To achieve this, the costing practitioner will need consult with </w:t>
      </w:r>
      <w:r w:rsidR="00D52C4D">
        <w:t>staff members</w:t>
      </w:r>
      <w:r w:rsidR="00D52C4D" w:rsidRPr="00D45B1A">
        <w:t xml:space="preserve"> </w:t>
      </w:r>
      <w:r w:rsidRPr="00D45B1A">
        <w:t>who:</w:t>
      </w:r>
    </w:p>
    <w:p w14:paraId="41AC4CE6" w14:textId="28451E52" w:rsidR="00DB58FF" w:rsidRPr="00D45B1A" w:rsidRDefault="00DB58FF" w:rsidP="003F3BEC">
      <w:pPr>
        <w:pStyle w:val="ListBullet"/>
        <w:tabs>
          <w:tab w:val="clear" w:pos="360"/>
          <w:tab w:val="num" w:pos="2194"/>
        </w:tabs>
        <w:ind w:left="2194"/>
      </w:pPr>
      <w:r w:rsidRPr="00D45B1A">
        <w:t>have</w:t>
      </w:r>
      <w:r w:rsidRPr="00D45B1A" w:rsidDel="00944D41">
        <w:t xml:space="preserve"> </w:t>
      </w:r>
      <w:r w:rsidRPr="00D45B1A">
        <w:t>knowle</w:t>
      </w:r>
      <w:r w:rsidR="001E51A5">
        <w:t>dge of the production process – t</w:t>
      </w:r>
      <w:r w:rsidRPr="00D45B1A">
        <w:t xml:space="preserve">hese </w:t>
      </w:r>
      <w:r w:rsidR="00D52C4D">
        <w:t>staff members</w:t>
      </w:r>
      <w:r w:rsidR="00D52C4D" w:rsidRPr="00D45B1A">
        <w:t xml:space="preserve"> </w:t>
      </w:r>
      <w:r w:rsidRPr="00D45B1A">
        <w:t>can provide insights on the relationships between expenses and products</w:t>
      </w:r>
    </w:p>
    <w:p w14:paraId="0A0EEDB2" w14:textId="65B9DCEB" w:rsidR="00DB58FF" w:rsidRPr="00D45B1A" w:rsidRDefault="00DB58FF" w:rsidP="003F3BEC">
      <w:pPr>
        <w:pStyle w:val="ListBullet"/>
        <w:tabs>
          <w:tab w:val="clear" w:pos="360"/>
          <w:tab w:val="num" w:pos="2194"/>
        </w:tabs>
        <w:ind w:left="2194"/>
      </w:pPr>
      <w:r w:rsidRPr="00D45B1A">
        <w:t>have responsibility and make operational decisions, such as</w:t>
      </w:r>
      <w:r w:rsidR="001E51A5">
        <w:t xml:space="preserve"> divisional and line managers – t</w:t>
      </w:r>
      <w:r w:rsidRPr="00D45B1A">
        <w:t xml:space="preserve">hese </w:t>
      </w:r>
      <w:r w:rsidR="00D52C4D">
        <w:t>staff members</w:t>
      </w:r>
      <w:r w:rsidR="00D52C4D" w:rsidRPr="00D45B1A">
        <w:t xml:space="preserve"> </w:t>
      </w:r>
      <w:r w:rsidRPr="00D45B1A">
        <w:t>have a view of what is important for decision ma</w:t>
      </w:r>
      <w:r w:rsidR="003F1BF5">
        <w:t>king and managing resources</w:t>
      </w:r>
    </w:p>
    <w:p w14:paraId="79C18CD8" w14:textId="20F3DBE2" w:rsidR="00DB58FF" w:rsidRPr="00D45B1A" w:rsidRDefault="00DB58FF" w:rsidP="003F3BEC">
      <w:pPr>
        <w:pStyle w:val="ListBullet"/>
        <w:tabs>
          <w:tab w:val="clear" w:pos="360"/>
          <w:tab w:val="num" w:pos="2194"/>
        </w:tabs>
        <w:ind w:left="2194"/>
      </w:pPr>
      <w:r w:rsidRPr="00D45B1A">
        <w:t>are aware of internal and external reporting requirements such as fi</w:t>
      </w:r>
      <w:r w:rsidR="001E51A5">
        <w:t>nance and reporting personnel – t</w:t>
      </w:r>
      <w:r w:rsidRPr="00D45B1A">
        <w:t xml:space="preserve">hese </w:t>
      </w:r>
      <w:r w:rsidR="00D52C4D">
        <w:t xml:space="preserve">staff members </w:t>
      </w:r>
      <w:r w:rsidRPr="00D45B1A">
        <w:t>will ensure final results are consistent and are relevant with wider reporting requirements.</w:t>
      </w:r>
    </w:p>
    <w:p w14:paraId="114529BE" w14:textId="77777777" w:rsidR="00DB58FF" w:rsidRPr="00D45B1A" w:rsidRDefault="00DB58FF" w:rsidP="00554A66">
      <w:r w:rsidRPr="00D45B1A">
        <w:t xml:space="preserve">Following stakeholder consultation, the costing practitioner is likely to establish a cost ledger for costing purposes that organises expenses in a way which groups those that are common to the </w:t>
      </w:r>
      <w:r w:rsidR="00492BCD">
        <w:t xml:space="preserve">intermediate </w:t>
      </w:r>
      <w:r w:rsidRPr="00D45B1A">
        <w:t xml:space="preserve">products being produced and that can be matched to the appropriate activity using consistent methods. </w:t>
      </w:r>
    </w:p>
    <w:p w14:paraId="255F0776" w14:textId="77777777" w:rsidR="00DB58FF" w:rsidRPr="00D45B1A" w:rsidRDefault="00DB58FF" w:rsidP="00554A66">
      <w:pPr>
        <w:rPr>
          <w:lang w:eastAsia="ja-JP"/>
        </w:rPr>
      </w:pPr>
      <w:r w:rsidRPr="00D45B1A">
        <w:rPr>
          <w:lang w:eastAsia="ja-JP"/>
        </w:rPr>
        <w:t>Costing practitioners should note that final cost centres can be distinguished from cost centres found in the hospital’s general ledger as they will generally be mapped to a standard list of cost centres to describe hospital activity as per a specified scope of cost data collection. They may also include aggregated cost centres from the hospital general ledger, consolidated to a final cost centre or created cost centres with greater detail of expenses of specific hospital production that may not be distinguished within hospital general ledger.</w:t>
      </w:r>
    </w:p>
    <w:p w14:paraId="49ADFE80" w14:textId="77777777" w:rsidR="00DB58FF" w:rsidRPr="00C1615E" w:rsidRDefault="00DB58FF" w:rsidP="00554A66">
      <w:r w:rsidRPr="00C1615E">
        <w:rPr>
          <w:lang w:eastAsia="ja-JP"/>
        </w:rPr>
        <w:t xml:space="preserve">Final cost centres, for example, include expenses from clinical units where doctor salaries are held, wards where nursing salaries and ward supplies are held, pathology departments where pathologist salaries and medical supplies are held and pharmacy where pharmacist salaries and drug expenses are </w:t>
      </w:r>
      <w:r w:rsidRPr="00F97E63">
        <w:t>held.</w:t>
      </w:r>
    </w:p>
    <w:p w14:paraId="33095D07" w14:textId="2E841A79" w:rsidR="00DB58FF" w:rsidRPr="00D45B1A" w:rsidRDefault="00DB58FF" w:rsidP="00983E4D">
      <w:r w:rsidRPr="00D45B1A">
        <w:t xml:space="preserve">Where a hospital department is identified as a production centre but does not have its own cost centre, </w:t>
      </w:r>
      <w:r w:rsidR="00983E4D">
        <w:t xml:space="preserve">the costing practitioner will need to determine the most appropriate approach to </w:t>
      </w:r>
      <w:r w:rsidR="00983E4D" w:rsidRPr="00F97E63">
        <w:t>match</w:t>
      </w:r>
      <w:r w:rsidR="00983E4D">
        <w:t xml:space="preserve">ing </w:t>
      </w:r>
      <w:r w:rsidR="00983E4D" w:rsidRPr="00F97E63">
        <w:t xml:space="preserve">activity and </w:t>
      </w:r>
      <w:r w:rsidR="00983E4D">
        <w:t>expense.</w:t>
      </w:r>
      <w:r w:rsidR="001701AB">
        <w:t xml:space="preserve"> </w:t>
      </w:r>
      <w:r w:rsidR="00983E4D">
        <w:t>One option is outlined below</w:t>
      </w:r>
      <w:r w:rsidRPr="00D45B1A">
        <w:t xml:space="preserve">. </w:t>
      </w:r>
    </w:p>
    <w:p w14:paraId="094297EF" w14:textId="3A6D1708" w:rsidR="00DB58FF" w:rsidRPr="00D45B1A" w:rsidRDefault="00342B27" w:rsidP="00554A66">
      <w:r>
        <w:t>Costing p</w:t>
      </w:r>
      <w:r w:rsidR="00DB58FF" w:rsidRPr="00D45B1A">
        <w:t xml:space="preserve">ractitioners should meet with </w:t>
      </w:r>
      <w:r w:rsidR="00D52C4D">
        <w:t>staff members</w:t>
      </w:r>
      <w:r w:rsidR="00D52C4D" w:rsidRPr="00D45B1A">
        <w:t xml:space="preserve"> </w:t>
      </w:r>
      <w:r w:rsidR="00DB58FF" w:rsidRPr="00D45B1A">
        <w:t xml:space="preserve">of that department and </w:t>
      </w:r>
      <w:r w:rsidR="00A04467">
        <w:t>f</w:t>
      </w:r>
      <w:r w:rsidR="00A04467" w:rsidRPr="00D45B1A">
        <w:t xml:space="preserve">inance </w:t>
      </w:r>
      <w:r w:rsidR="00D52C4D">
        <w:t>staff</w:t>
      </w:r>
      <w:r w:rsidR="00D52C4D" w:rsidRPr="00D45B1A">
        <w:t xml:space="preserve"> </w:t>
      </w:r>
      <w:r w:rsidR="00DB58FF" w:rsidRPr="00D45B1A">
        <w:t>to discuss the appropriate expenses which are within scope of that department. They should also discuss where the expense is reported within other cost centres that are used in the production process for that unit.</w:t>
      </w:r>
    </w:p>
    <w:p w14:paraId="5ACB5CC0" w14:textId="4AA1CB4C" w:rsidR="00DB58FF" w:rsidRPr="00D45B1A" w:rsidRDefault="00DB58FF" w:rsidP="00554A66">
      <w:r w:rsidRPr="00D45B1A">
        <w:t>For example, i</w:t>
      </w:r>
      <w:r w:rsidR="002E574D">
        <w:t>f the department identified is t</w:t>
      </w:r>
      <w:r w:rsidRPr="00D45B1A">
        <w:t xml:space="preserve">ransplantation and this department is not represented by a cost centre in the hospital general ledger, expenses for surgeons and medical practitioners, transplant coordinators and retrievals should be identified from other cost centres holding these expenses. For surgeons and other clinicians, these may be held in the </w:t>
      </w:r>
      <w:r w:rsidR="00D215F6">
        <w:t>d</w:t>
      </w:r>
      <w:r w:rsidRPr="00D45B1A">
        <w:t>epartment</w:t>
      </w:r>
      <w:r w:rsidR="00D215F6">
        <w:t>s</w:t>
      </w:r>
      <w:r w:rsidRPr="00D45B1A">
        <w:t xml:space="preserve"> of </w:t>
      </w:r>
      <w:r w:rsidR="00D215F6">
        <w:t>g</w:t>
      </w:r>
      <w:r w:rsidRPr="00D45B1A">
        <w:t xml:space="preserve">eneral </w:t>
      </w:r>
      <w:r w:rsidR="00D215F6">
        <w:t>s</w:t>
      </w:r>
      <w:r w:rsidRPr="00D45B1A">
        <w:t xml:space="preserve">urgery, </w:t>
      </w:r>
      <w:r w:rsidR="00D215F6">
        <w:t>h</w:t>
      </w:r>
      <w:r w:rsidRPr="00D45B1A">
        <w:t xml:space="preserve">epatobiliary and </w:t>
      </w:r>
      <w:r w:rsidR="00D215F6">
        <w:t>i</w:t>
      </w:r>
      <w:r w:rsidRPr="00D45B1A">
        <w:t xml:space="preserve">nfectious </w:t>
      </w:r>
      <w:r w:rsidR="00D215F6">
        <w:t>d</w:t>
      </w:r>
      <w:r w:rsidRPr="00D45B1A">
        <w:t>iseases. To enable these expenses to be allocated to the appropriate patient activity, the costing practitioner should create a final transplantation cost centre in the cost ledger.</w:t>
      </w:r>
    </w:p>
    <w:p w14:paraId="46B2230B" w14:textId="10D3D52B" w:rsidR="00DB58FF" w:rsidRPr="00DD265C" w:rsidRDefault="002E574D" w:rsidP="00554A66">
      <w:r>
        <w:t>Costing p</w:t>
      </w:r>
      <w:r w:rsidR="00DB58FF" w:rsidRPr="00D45B1A">
        <w:t xml:space="preserve">ractitioners should then, in conjunction with </w:t>
      </w:r>
      <w:r w:rsidR="00D52C4D">
        <w:t>staff members</w:t>
      </w:r>
      <w:r w:rsidR="00D52C4D" w:rsidRPr="00D45B1A">
        <w:t xml:space="preserve"> </w:t>
      </w:r>
      <w:r w:rsidR="00DB58FF" w:rsidRPr="00D45B1A">
        <w:t xml:space="preserve">of that department and </w:t>
      </w:r>
      <w:r w:rsidR="00D215F6">
        <w:t>f</w:t>
      </w:r>
      <w:r w:rsidR="00DB58FF" w:rsidRPr="00D45B1A">
        <w:t xml:space="preserve">inance </w:t>
      </w:r>
      <w:r w:rsidR="00D215F6">
        <w:t>d</w:t>
      </w:r>
      <w:r w:rsidR="00DB58FF" w:rsidRPr="00D45B1A">
        <w:t>epartment, determine the proportion of expense that</w:t>
      </w:r>
      <w:r w:rsidR="00342B27">
        <w:t xml:space="preserve"> should be transferred to this ‘new’</w:t>
      </w:r>
      <w:r w:rsidR="00DB58FF" w:rsidRPr="00D45B1A">
        <w:t xml:space="preserve"> final cost centre, using the most appropriate meth</w:t>
      </w:r>
      <w:r w:rsidR="00DB58FF" w:rsidRPr="00DD265C">
        <w:t xml:space="preserve">odology (See </w:t>
      </w:r>
      <w:r>
        <w:t>Business R</w:t>
      </w:r>
      <w:r w:rsidR="001701AB">
        <w:t>ule</w:t>
      </w:r>
      <w:r w:rsidR="00DD265C" w:rsidRPr="00DD265C">
        <w:t xml:space="preserve"> 2.1C </w:t>
      </w:r>
      <w:r w:rsidR="00A97DAC">
        <w:fldChar w:fldCharType="begin"/>
      </w:r>
      <w:r w:rsidR="00A97DAC">
        <w:instrText xml:space="preserve"> REF  _Ref478650996  \* MERGEFORMAT </w:instrText>
      </w:r>
      <w:r w:rsidR="00A97DAC">
        <w:fldChar w:fldCharType="separate"/>
      </w:r>
      <w:r w:rsidR="00274998" w:rsidRPr="00B73421">
        <w:t xml:space="preserve">Product </w:t>
      </w:r>
      <w:r w:rsidR="00274998">
        <w:t>f</w:t>
      </w:r>
      <w:r w:rsidR="00274998" w:rsidRPr="00B73421">
        <w:t>ractions</w:t>
      </w:r>
      <w:r w:rsidR="00A97DAC">
        <w:fldChar w:fldCharType="end"/>
      </w:r>
      <w:r w:rsidR="00DB58FF" w:rsidRPr="00DD265C">
        <w:t xml:space="preserve"> for further advice).</w:t>
      </w:r>
    </w:p>
    <w:p w14:paraId="3AF7290D" w14:textId="68413DBE" w:rsidR="000529C2" w:rsidRDefault="00DB58FF" w:rsidP="00CB7371">
      <w:r w:rsidRPr="00D45B1A">
        <w:lastRenderedPageBreak/>
        <w:t>For the purposes of reporting to the National Hospital Cost Data Collection (NHCDC) costing practitioners should refer to the Data Request Specification published by IHPA and refer to</w:t>
      </w:r>
      <w:r w:rsidR="00DD265C">
        <w:t xml:space="preserve"> Attachment C of the Standards</w:t>
      </w:r>
      <w:r w:rsidRPr="00D45B1A">
        <w:t xml:space="preserve"> as a guide to cost centre composition relevant to the particular round of the NHCDC.</w:t>
      </w:r>
      <w:r w:rsidRPr="00CB7371">
        <w:rPr>
          <w:rFonts w:cs="Arial"/>
        </w:rPr>
        <w:br w:type="page"/>
      </w:r>
      <w:bookmarkStart w:id="59" w:name="_Toc480492942"/>
    </w:p>
    <w:p w14:paraId="36EE9936" w14:textId="48CF2813" w:rsidR="00DB58FF" w:rsidRPr="004F51DF" w:rsidRDefault="00DB58FF" w:rsidP="000529C2">
      <w:pPr>
        <w:pStyle w:val="Heading2"/>
      </w:pPr>
      <w:bookmarkStart w:id="60" w:name="_Toc80348267"/>
      <w:r w:rsidRPr="004F51DF">
        <w:lastRenderedPageBreak/>
        <w:t xml:space="preserve">Account </w:t>
      </w:r>
      <w:r w:rsidR="009121A0">
        <w:t>C</w:t>
      </w:r>
      <w:r w:rsidRPr="004F51DF">
        <w:t xml:space="preserve">ode </w:t>
      </w:r>
      <w:r w:rsidR="009121A0">
        <w:t>M</w:t>
      </w:r>
      <w:r w:rsidR="00DC1841" w:rsidRPr="004F51DF">
        <w:t xml:space="preserve">apping </w:t>
      </w:r>
      <w:r w:rsidRPr="004F51DF">
        <w:t xml:space="preserve">to </w:t>
      </w:r>
      <w:r w:rsidR="009121A0">
        <w:t>L</w:t>
      </w:r>
      <w:r w:rsidR="00DC1841" w:rsidRPr="004F51DF">
        <w:t xml:space="preserve">ine </w:t>
      </w:r>
      <w:bookmarkEnd w:id="59"/>
      <w:r w:rsidR="009121A0">
        <w:t>I</w:t>
      </w:r>
      <w:r w:rsidR="00DC1841" w:rsidRPr="004F51DF">
        <w:t>tems</w:t>
      </w:r>
      <w:bookmarkEnd w:id="60"/>
    </w:p>
    <w:p w14:paraId="7A787D03" w14:textId="77777777" w:rsidR="00DB58FF" w:rsidRPr="00D45B1A" w:rsidRDefault="00DB58FF" w:rsidP="00554A66">
      <w:pPr>
        <w:pStyle w:val="Heading3"/>
      </w:pPr>
      <w:r w:rsidRPr="00D45B1A">
        <w:t>Scope</w:t>
      </w:r>
    </w:p>
    <w:p w14:paraId="7B60D878" w14:textId="0BFC9AD6" w:rsidR="00DB58FF" w:rsidRPr="00D45B1A" w:rsidRDefault="00DB58FF" w:rsidP="00554A66">
      <w:pPr>
        <w:rPr>
          <w:lang w:eastAsia="ja-JP"/>
        </w:rPr>
      </w:pPr>
      <w:r w:rsidRPr="00D45B1A">
        <w:rPr>
          <w:lang w:eastAsia="ja-JP"/>
        </w:rPr>
        <w:t xml:space="preserve">This </w:t>
      </w:r>
      <w:r w:rsidR="002F1176">
        <w:rPr>
          <w:lang w:eastAsia="ja-JP"/>
        </w:rPr>
        <w:t>B</w:t>
      </w:r>
      <w:r w:rsidR="001701AB">
        <w:rPr>
          <w:lang w:eastAsia="ja-JP"/>
        </w:rPr>
        <w:t xml:space="preserve">usiness </w:t>
      </w:r>
      <w:r w:rsidR="002F1176">
        <w:rPr>
          <w:lang w:eastAsia="ja-JP"/>
        </w:rPr>
        <w:t>R</w:t>
      </w:r>
      <w:r w:rsidR="001701AB">
        <w:rPr>
          <w:lang w:eastAsia="ja-JP"/>
        </w:rPr>
        <w:t>ule</w:t>
      </w:r>
      <w:r w:rsidRPr="00D45B1A">
        <w:rPr>
          <w:lang w:eastAsia="ja-JP"/>
        </w:rPr>
        <w:t xml:space="preserve"> provides a</w:t>
      </w:r>
      <w:r w:rsidR="00BB52D3">
        <w:rPr>
          <w:lang w:eastAsia="ja-JP"/>
        </w:rPr>
        <w:t xml:space="preserve"> costing</w:t>
      </w:r>
      <w:r w:rsidRPr="00D45B1A">
        <w:rPr>
          <w:lang w:eastAsia="ja-JP"/>
        </w:rPr>
        <w:t xml:space="preserve"> guideline on how to </w:t>
      </w:r>
      <w:r w:rsidR="000A5B07">
        <w:rPr>
          <w:lang w:eastAsia="ja-JP"/>
        </w:rPr>
        <w:t xml:space="preserve">map account codes to line items </w:t>
      </w:r>
      <w:r w:rsidRPr="00D45B1A">
        <w:rPr>
          <w:lang w:eastAsia="ja-JP"/>
        </w:rPr>
        <w:t>for patient level costing.</w:t>
      </w:r>
    </w:p>
    <w:p w14:paraId="4D5D6183" w14:textId="6F49D23C" w:rsidR="00DB58FF" w:rsidRPr="00D45B1A" w:rsidRDefault="00DB58FF" w:rsidP="00554A66">
      <w:pPr>
        <w:rPr>
          <w:lang w:eastAsia="ja-JP"/>
        </w:rPr>
      </w:pPr>
      <w:r w:rsidRPr="00D45B1A">
        <w:rPr>
          <w:lang w:eastAsia="ja-JP"/>
        </w:rPr>
        <w:t xml:space="preserve">This </w:t>
      </w:r>
      <w:r w:rsidR="001701AB">
        <w:rPr>
          <w:lang w:eastAsia="ja-JP"/>
        </w:rPr>
        <w:t>rule</w:t>
      </w:r>
      <w:r w:rsidRPr="00D45B1A">
        <w:rPr>
          <w:lang w:eastAsia="ja-JP"/>
        </w:rPr>
        <w:t xml:space="preserve"> also provides reference to the minimum required line item categories and their definition that are to be identified for costing and cost data collection reporting purposes. </w:t>
      </w:r>
    </w:p>
    <w:p w14:paraId="1272CA6A" w14:textId="77777777" w:rsidR="00DB58FF" w:rsidRPr="00D45B1A" w:rsidRDefault="00DB58FF" w:rsidP="00554A66">
      <w:pPr>
        <w:pStyle w:val="Heading3"/>
      </w:pPr>
      <w:r w:rsidRPr="00D45B1A">
        <w:t>Objective</w:t>
      </w:r>
    </w:p>
    <w:p w14:paraId="58CC0698" w14:textId="2DC1419C" w:rsidR="00DB58FF" w:rsidRPr="00D45B1A" w:rsidRDefault="002E574D" w:rsidP="00554A66">
      <w:r>
        <w:t>Account c</w:t>
      </w:r>
      <w:r w:rsidR="00F031AC" w:rsidRPr="00F97E63">
        <w:t>odes</w:t>
      </w:r>
      <w:r w:rsidR="00DB58FF" w:rsidRPr="00D45B1A">
        <w:t xml:space="preserve"> used to define expenses within cost centres categorised within the general ledger and the chart of accounts may not be organised at levels appropriate for patient level costing and may not be comparable to categories identified in hospitals across the jurisdiction or nationally.</w:t>
      </w:r>
    </w:p>
    <w:p w14:paraId="2625D701" w14:textId="416B2007" w:rsidR="00DB58FF" w:rsidRPr="00D45B1A" w:rsidRDefault="00DB58FF" w:rsidP="00554A66">
      <w:r w:rsidRPr="00D45B1A">
        <w:t xml:space="preserve">This </w:t>
      </w:r>
      <w:r w:rsidR="001701AB">
        <w:t>rule</w:t>
      </w:r>
      <w:r w:rsidRPr="00D45B1A">
        <w:t xml:space="preserve"> also seeks to provide advice to </w:t>
      </w:r>
      <w:r w:rsidR="00854A1D">
        <w:t xml:space="preserve">facilitate the </w:t>
      </w:r>
      <w:r w:rsidRPr="00D45B1A">
        <w:t>map</w:t>
      </w:r>
      <w:r w:rsidR="00854A1D">
        <w:t xml:space="preserve">ping of </w:t>
      </w:r>
      <w:r w:rsidR="005C0661">
        <w:t>account codes</w:t>
      </w:r>
      <w:r w:rsidRPr="00D45B1A">
        <w:t xml:space="preserve"> </w:t>
      </w:r>
      <w:r w:rsidR="00854A1D">
        <w:t xml:space="preserve">to </w:t>
      </w:r>
      <w:r w:rsidR="00854A1D" w:rsidRPr="00D45B1A">
        <w:rPr>
          <w:lang w:eastAsia="ja-JP"/>
        </w:rPr>
        <w:t>line item categories for costing and cost data collection reporting purposes.</w:t>
      </w:r>
    </w:p>
    <w:p w14:paraId="14B5F66A" w14:textId="45B8852F" w:rsidR="00DB58FF" w:rsidRPr="00D45B1A" w:rsidRDefault="001701AB" w:rsidP="00554A66">
      <w:pPr>
        <w:pStyle w:val="Heading3"/>
      </w:pPr>
      <w:r>
        <w:t xml:space="preserve">Business </w:t>
      </w:r>
      <w:r w:rsidR="002F1176">
        <w:t>R</w:t>
      </w:r>
      <w:r>
        <w:t>ule</w:t>
      </w:r>
    </w:p>
    <w:p w14:paraId="23BB0B10" w14:textId="0305219C" w:rsidR="00DB58FF" w:rsidRPr="00D45B1A" w:rsidRDefault="00DB58FF" w:rsidP="00554A66">
      <w:r w:rsidRPr="00D45B1A">
        <w:t>Expenses are ta</w:t>
      </w:r>
      <w:r w:rsidR="001E51A5">
        <w:t xml:space="preserve">ken from the general ledger </w:t>
      </w:r>
      <w:r w:rsidRPr="00D45B1A">
        <w:t xml:space="preserve">or a third party as per </w:t>
      </w:r>
      <w:r w:rsidRPr="00F97E63">
        <w:t xml:space="preserve">Standard </w:t>
      </w:r>
      <w:r w:rsidR="00E24FEA" w:rsidRPr="00F97E63">
        <w:t>1.1</w:t>
      </w:r>
      <w:r w:rsidR="00DD265C">
        <w:t xml:space="preserve"> General</w:t>
      </w:r>
      <w:r w:rsidRPr="00F97E63">
        <w:t>.</w:t>
      </w:r>
      <w:r w:rsidRPr="00D45B1A">
        <w:t xml:space="preserve"> These expenses are classified in accordance with the organisation’s chart of accounts.</w:t>
      </w:r>
    </w:p>
    <w:p w14:paraId="59A43463" w14:textId="77777777" w:rsidR="00DB58FF" w:rsidRPr="00D45B1A" w:rsidRDefault="00DB58FF" w:rsidP="00554A66">
      <w:r w:rsidRPr="00D45B1A">
        <w:t>The organisation’s chart of accounts groups all expenses by their purpose and provides the organisation with a consistent way to report its financial information to internal and external audiences.</w:t>
      </w:r>
    </w:p>
    <w:p w14:paraId="0B7A9010" w14:textId="77777777" w:rsidR="00DB58FF" w:rsidRPr="00D45B1A" w:rsidRDefault="00DB58FF" w:rsidP="00554A66">
      <w:r w:rsidRPr="00D45B1A">
        <w:t>The chart of accounts used by a hospital may be too detailed for the purpose of patient level costing, which seeks to group expenses in a way that meaningfully reports the type of expenses that are consumed in producing the organisation’s products.</w:t>
      </w:r>
    </w:p>
    <w:p w14:paraId="77F55DF9" w14:textId="425DBDA8" w:rsidR="00DB58FF" w:rsidRPr="00D45B1A" w:rsidRDefault="00DB58FF" w:rsidP="00554A66">
      <w:r w:rsidRPr="00D45B1A">
        <w:t xml:space="preserve">To meaningfully group different types of expenses, a costing practitioner will need to consult with </w:t>
      </w:r>
      <w:r w:rsidR="00D52C4D">
        <w:t>staff members</w:t>
      </w:r>
      <w:r w:rsidR="00D52C4D" w:rsidRPr="00D45B1A">
        <w:t xml:space="preserve"> </w:t>
      </w:r>
      <w:r w:rsidRPr="00D45B1A">
        <w:t>to determine</w:t>
      </w:r>
      <w:r w:rsidR="00642169">
        <w:t xml:space="preserve"> the relevant account codes that</w:t>
      </w:r>
      <w:r w:rsidRPr="00D45B1A">
        <w:t xml:space="preserve"> important</w:t>
      </w:r>
      <w:r w:rsidR="00642169">
        <w:t xml:space="preserve"> to group to</w:t>
      </w:r>
      <w:r w:rsidRPr="00D45B1A">
        <w:t xml:space="preserve"> line items for reporting summary information.</w:t>
      </w:r>
    </w:p>
    <w:p w14:paraId="1B230116" w14:textId="2141A921" w:rsidR="00DB58FF" w:rsidRPr="00D45B1A" w:rsidRDefault="00D52C4D" w:rsidP="00554A66">
      <w:r>
        <w:t>Staff members</w:t>
      </w:r>
      <w:r w:rsidRPr="00D45B1A">
        <w:t xml:space="preserve"> </w:t>
      </w:r>
      <w:r w:rsidR="00DB58FF" w:rsidRPr="00D45B1A">
        <w:t>that need to be consulted include those who:</w:t>
      </w:r>
    </w:p>
    <w:p w14:paraId="28ED6490" w14:textId="0A5C3C8C" w:rsidR="00DB58FF" w:rsidRPr="00D45B1A" w:rsidRDefault="00DB58FF" w:rsidP="00DC1841">
      <w:pPr>
        <w:pStyle w:val="ListBullet"/>
        <w:tabs>
          <w:tab w:val="clear" w:pos="360"/>
        </w:tabs>
        <w:ind w:left="2268"/>
      </w:pPr>
      <w:r w:rsidRPr="00D45B1A">
        <w:t>have knowledge of the production process - to gain an understanding of the relationships between expenses categor</w:t>
      </w:r>
      <w:r w:rsidR="003F1BF5">
        <w:t>ies and the identified products</w:t>
      </w:r>
    </w:p>
    <w:p w14:paraId="3637AB4D" w14:textId="0E17CC65" w:rsidR="00DB58FF" w:rsidRPr="00D45B1A" w:rsidRDefault="00DB58FF" w:rsidP="00DC1841">
      <w:pPr>
        <w:pStyle w:val="ListBullet"/>
        <w:tabs>
          <w:tab w:val="clear" w:pos="360"/>
        </w:tabs>
        <w:ind w:left="2268"/>
      </w:pPr>
      <w:r w:rsidRPr="00D45B1A">
        <w:t>make operational decisions such as divisional and line managers - to understan</w:t>
      </w:r>
      <w:r w:rsidR="003F1BF5">
        <w:t>d what is important to them</w:t>
      </w:r>
    </w:p>
    <w:p w14:paraId="10B36B4A" w14:textId="77777777" w:rsidR="00DB58FF" w:rsidRPr="00D45B1A" w:rsidRDefault="00DB58FF" w:rsidP="00DC1841">
      <w:pPr>
        <w:pStyle w:val="ListBullet"/>
        <w:tabs>
          <w:tab w:val="clear" w:pos="360"/>
        </w:tabs>
        <w:ind w:left="2268"/>
      </w:pPr>
      <w:r w:rsidRPr="00D45B1A">
        <w:t>are aware of internal and external reporting requirements such as finance and reporting personnel – to ensure comparability with existing reporting structures.</w:t>
      </w:r>
    </w:p>
    <w:p w14:paraId="4E279FD8" w14:textId="2543BAB6" w:rsidR="006936A0" w:rsidRDefault="00DB58FF" w:rsidP="00554A66">
      <w:r w:rsidRPr="00D45B1A">
        <w:t>For t</w:t>
      </w:r>
      <w:r w:rsidR="002E574D">
        <w:t>he purposes of reporting to the NHCDC</w:t>
      </w:r>
      <w:r w:rsidRPr="00D45B1A">
        <w:t xml:space="preserve"> costing practitioners should refer to the Data Request Specification published by IHPA and refer to </w:t>
      </w:r>
      <w:r w:rsidR="00DD265C">
        <w:t>Attachment A of the Standards: NHCDC Line Items</w:t>
      </w:r>
      <w:r w:rsidRPr="00D45B1A">
        <w:t xml:space="preserve"> as a </w:t>
      </w:r>
      <w:r w:rsidR="00DD265C" w:rsidRPr="00D45B1A">
        <w:t>guide to</w:t>
      </w:r>
      <w:r w:rsidR="00DD265C" w:rsidRPr="00C86147">
        <w:t xml:space="preserve"> account code</w:t>
      </w:r>
      <w:r w:rsidR="00DD265C" w:rsidRPr="00D45B1A">
        <w:t xml:space="preserve"> and li</w:t>
      </w:r>
      <w:r w:rsidRPr="00D45B1A">
        <w:t>ne item composition relevant to the particular round of NHCDC.</w:t>
      </w:r>
      <w:bookmarkStart w:id="61" w:name="_ATTACHMENT_C:_Cost"/>
      <w:bookmarkEnd w:id="61"/>
    </w:p>
    <w:p w14:paraId="36921DA9" w14:textId="5FF57B06" w:rsidR="00DB58FF" w:rsidRPr="00D45B1A" w:rsidRDefault="006936A0" w:rsidP="00F97E63">
      <w:pPr>
        <w:numPr>
          <w:ilvl w:val="0"/>
          <w:numId w:val="0"/>
        </w:numPr>
        <w:spacing w:before="0" w:after="0" w:line="240" w:lineRule="auto"/>
      </w:pPr>
      <w:r>
        <w:br w:type="page"/>
      </w:r>
    </w:p>
    <w:p w14:paraId="612BF084" w14:textId="52DA3157" w:rsidR="00DB58FF" w:rsidRPr="00B73421" w:rsidRDefault="00DB58FF" w:rsidP="000529C2">
      <w:pPr>
        <w:pStyle w:val="Heading2"/>
      </w:pPr>
      <w:bookmarkStart w:id="62" w:name="_Ref478650996"/>
      <w:bookmarkStart w:id="63" w:name="_Toc480492943"/>
      <w:bookmarkStart w:id="64" w:name="_Toc80348268"/>
      <w:r w:rsidRPr="00B73421">
        <w:lastRenderedPageBreak/>
        <w:t xml:space="preserve">Product </w:t>
      </w:r>
      <w:r w:rsidR="009121A0">
        <w:t>F</w:t>
      </w:r>
      <w:r w:rsidRPr="00B73421">
        <w:t>ractions</w:t>
      </w:r>
      <w:bookmarkEnd w:id="62"/>
      <w:bookmarkEnd w:id="63"/>
      <w:bookmarkEnd w:id="64"/>
    </w:p>
    <w:p w14:paraId="6DB6E9FE" w14:textId="77777777" w:rsidR="00DB58FF" w:rsidRPr="00D45B1A" w:rsidRDefault="00DB58FF" w:rsidP="00554A66">
      <w:pPr>
        <w:pStyle w:val="Heading3"/>
      </w:pPr>
      <w:r w:rsidRPr="00D45B1A">
        <w:t>Scope</w:t>
      </w:r>
    </w:p>
    <w:p w14:paraId="1D3BA0A6" w14:textId="1EDECC6C" w:rsidR="00DB58FF" w:rsidRPr="00D45B1A" w:rsidRDefault="00DB58FF" w:rsidP="00554A66">
      <w:r w:rsidRPr="00D45B1A">
        <w:t xml:space="preserve">This </w:t>
      </w:r>
      <w:r w:rsidR="002F1176">
        <w:t>B</w:t>
      </w:r>
      <w:r w:rsidR="001701AB">
        <w:t xml:space="preserve">usiness </w:t>
      </w:r>
      <w:r w:rsidR="002F1176">
        <w:t>R</w:t>
      </w:r>
      <w:r w:rsidR="001701AB">
        <w:t>ule</w:t>
      </w:r>
      <w:r w:rsidRPr="00D45B1A">
        <w:t xml:space="preserve"> supports the establishment of the cost ledger as the framework to be used in patient level costing.</w:t>
      </w:r>
    </w:p>
    <w:p w14:paraId="138EBF06" w14:textId="2C911438" w:rsidR="00DB58FF" w:rsidRPr="00D45B1A" w:rsidRDefault="00DB58FF" w:rsidP="00554A66">
      <w:r w:rsidRPr="00D45B1A">
        <w:t xml:space="preserve">This </w:t>
      </w:r>
      <w:r w:rsidR="001701AB">
        <w:t>rule</w:t>
      </w:r>
      <w:r w:rsidRPr="00D45B1A">
        <w:t xml:space="preserve"> defines product fraction and provides practical examples on how the product fraction process is used to create the cost ledger to be applied in the costing process.</w:t>
      </w:r>
    </w:p>
    <w:p w14:paraId="6642FDED" w14:textId="77777777" w:rsidR="00DB58FF" w:rsidRPr="00D45B1A" w:rsidRDefault="00DB58FF" w:rsidP="00554A66">
      <w:pPr>
        <w:pStyle w:val="Heading3"/>
      </w:pPr>
      <w:r w:rsidRPr="00D45B1A">
        <w:t>Objective</w:t>
      </w:r>
    </w:p>
    <w:p w14:paraId="33146881" w14:textId="1EE59429" w:rsidR="00DB58FF" w:rsidRPr="00D45B1A" w:rsidRDefault="00DB58FF" w:rsidP="00554A66">
      <w:r w:rsidRPr="00D45B1A">
        <w:t xml:space="preserve">The objective of this </w:t>
      </w:r>
      <w:r w:rsidR="001701AB">
        <w:t>rule</w:t>
      </w:r>
      <w:r w:rsidRPr="00D45B1A">
        <w:t xml:space="preserve"> is to provide guidance in creating the cost ledger as the hospital’s general ledger may not be structured at levels appropriate for patient level costing.</w:t>
      </w:r>
    </w:p>
    <w:p w14:paraId="30F9FCEC" w14:textId="6E5CC292" w:rsidR="00DB58FF" w:rsidRPr="00D45B1A" w:rsidRDefault="00DB58FF" w:rsidP="00554A66">
      <w:r w:rsidRPr="00D45B1A">
        <w:t xml:space="preserve">This </w:t>
      </w:r>
      <w:r w:rsidR="001701AB">
        <w:t>rule</w:t>
      </w:r>
      <w:r w:rsidRPr="00D45B1A">
        <w:t xml:space="preserve"> </w:t>
      </w:r>
      <w:r w:rsidR="00701473">
        <w:t xml:space="preserve">provides guidance to </w:t>
      </w:r>
      <w:r w:rsidRPr="00D45B1A">
        <w:t xml:space="preserve">ensure that all expenses from the general ledger have been correctly included and assigned to corresponding final cost centres to enable more </w:t>
      </w:r>
      <w:r w:rsidR="005C0661">
        <w:t>accurate</w:t>
      </w:r>
      <w:r w:rsidR="005C0661" w:rsidRPr="00D45B1A">
        <w:t xml:space="preserve"> </w:t>
      </w:r>
      <w:r w:rsidRPr="00D45B1A">
        <w:t xml:space="preserve">costing of final products. </w:t>
      </w:r>
    </w:p>
    <w:p w14:paraId="0168BE55" w14:textId="77A15372" w:rsidR="00DB58FF" w:rsidRPr="00D45B1A" w:rsidRDefault="001701AB" w:rsidP="00554A66">
      <w:pPr>
        <w:pStyle w:val="Heading3"/>
      </w:pPr>
      <w:r>
        <w:t xml:space="preserve">Business </w:t>
      </w:r>
      <w:r w:rsidR="00F604EA">
        <w:t>R</w:t>
      </w:r>
      <w:r>
        <w:t>ule</w:t>
      </w:r>
    </w:p>
    <w:p w14:paraId="2A5A7921" w14:textId="66FF158C" w:rsidR="00DB58FF" w:rsidRDefault="00DB58FF" w:rsidP="00554A66">
      <w:r w:rsidRPr="008F302C">
        <w:t>The proc</w:t>
      </w:r>
      <w:r w:rsidR="00886A62">
        <w:t>ess</w:t>
      </w:r>
      <w:r w:rsidRPr="008F302C">
        <w:t xml:space="preserve"> of product fractioning expenses into various output groups should where possible be avoided by the costing practitioner as this generally involve</w:t>
      </w:r>
      <w:r>
        <w:t>s</w:t>
      </w:r>
      <w:r w:rsidRPr="008F302C">
        <w:t xml:space="preserve"> some </w:t>
      </w:r>
      <w:r w:rsidR="00EC7B20">
        <w:t>estimated</w:t>
      </w:r>
      <w:r w:rsidR="00EC7B20" w:rsidRPr="008F302C">
        <w:t xml:space="preserve"> </w:t>
      </w:r>
      <w:r w:rsidRPr="008F302C">
        <w:t xml:space="preserve">split of expenditures based on </w:t>
      </w:r>
      <w:r>
        <w:t xml:space="preserve">interpretation of activity or staff effort </w:t>
      </w:r>
      <w:r w:rsidRPr="008F302C">
        <w:t xml:space="preserve">and not the actual expenses assigned to those products. </w:t>
      </w:r>
      <w:r>
        <w:t>This application of this process may in turn undermine the final costed product.</w:t>
      </w:r>
    </w:p>
    <w:p w14:paraId="654F02C7" w14:textId="4FF96000" w:rsidR="00DB58FF" w:rsidRPr="008F302C" w:rsidRDefault="00DB58FF" w:rsidP="00D52C4D">
      <w:r>
        <w:t>However, a</w:t>
      </w:r>
      <w:r w:rsidRPr="008F302C">
        <w:t xml:space="preserve"> hospital’s general ledger may not be best suited to the purpose of patient level costing as expenses reported at cost centre level may not adequately reflect the day to day operation of the hospital, or the particular services it offers, for example, the </w:t>
      </w:r>
      <w:r w:rsidR="002F6ADE">
        <w:t>s</w:t>
      </w:r>
      <w:r w:rsidRPr="008F302C">
        <w:t>ervice</w:t>
      </w:r>
      <w:r w:rsidR="001701AB">
        <w:t>/</w:t>
      </w:r>
      <w:r w:rsidR="002F6ADE">
        <w:t>u</w:t>
      </w:r>
      <w:r w:rsidRPr="008F302C">
        <w:t>nit</w:t>
      </w:r>
      <w:r w:rsidR="001701AB">
        <w:t>/</w:t>
      </w:r>
      <w:r w:rsidR="002F6ADE">
        <w:t>d</w:t>
      </w:r>
      <w:r w:rsidRPr="008F302C">
        <w:t>epartment level.</w:t>
      </w:r>
      <w:r w:rsidR="001701AB">
        <w:t xml:space="preserve"> </w:t>
      </w:r>
      <w:r>
        <w:t>In this case, the costing practitioner may be required to undertake a product fractioning exercise to ensure that expenditures are assigned to be costed to final products.</w:t>
      </w:r>
    </w:p>
    <w:p w14:paraId="232A7711" w14:textId="4132A82A" w:rsidR="00DB58FF" w:rsidRPr="00D45B1A" w:rsidRDefault="00DB58FF" w:rsidP="00554A66">
      <w:r w:rsidRPr="00D45B1A">
        <w:t xml:space="preserve">A cost centre may include expenses associated with various products in aggregate </w:t>
      </w:r>
      <w:r w:rsidR="00702703" w:rsidRPr="00D45B1A">
        <w:t>form but</w:t>
      </w:r>
      <w:r w:rsidRPr="00D45B1A">
        <w:t xml:space="preserve"> may not be reported at the appropriate product level to enable it to be defined for costing purposes. </w:t>
      </w:r>
    </w:p>
    <w:p w14:paraId="2F269ACC" w14:textId="32EF7CAC" w:rsidR="00DB58FF" w:rsidRPr="00D45B1A" w:rsidRDefault="00382EFB" w:rsidP="00554A66">
      <w:r>
        <w:t>Production</w:t>
      </w:r>
      <w:r w:rsidR="00DB58FF" w:rsidRPr="00D45B1A">
        <w:t xml:space="preserve"> cost centres should include expenses that relate to the production of relevant activity.</w:t>
      </w:r>
    </w:p>
    <w:p w14:paraId="770D52DB" w14:textId="288EAAD4" w:rsidR="00DB58FF" w:rsidRPr="00D45B1A" w:rsidRDefault="00DB58FF" w:rsidP="00554A66">
      <w:r w:rsidRPr="00D45B1A">
        <w:t xml:space="preserve">Cost practitioners must consult with relevant </w:t>
      </w:r>
      <w:r w:rsidR="007E6ADE">
        <w:t>staff members</w:t>
      </w:r>
      <w:r w:rsidR="007E6ADE" w:rsidRPr="00D45B1A">
        <w:t xml:space="preserve"> </w:t>
      </w:r>
      <w:r w:rsidRPr="00D45B1A">
        <w:t xml:space="preserve">to obtain and use the best information available to derive the product fractions, ensuring the product fractions applied are reliable and accurately reflect the cost behaviour. </w:t>
      </w:r>
    </w:p>
    <w:p w14:paraId="55309817" w14:textId="043C406A" w:rsidR="00DB58FF" w:rsidRDefault="00DB58FF" w:rsidP="00554A66">
      <w:r>
        <w:t xml:space="preserve">Hospitals contain a number of internal business units where for example medical staff work across a number of internal business units, across various patient settings (such as inpatient wards, non-admitted settings and in research). These medical staff are generally paid from a single cost centre to perform these functions. </w:t>
      </w:r>
    </w:p>
    <w:p w14:paraId="44478000" w14:textId="3B6B37B7" w:rsidR="00DB58FF" w:rsidRPr="00D45B1A" w:rsidRDefault="00DB58FF" w:rsidP="00554A66">
      <w:r>
        <w:t xml:space="preserve">To ensure medical expenditures align with activity for costing purposes, the costing practitioner may be required to </w:t>
      </w:r>
      <w:r w:rsidR="005870D6">
        <w:t xml:space="preserve">apply </w:t>
      </w:r>
      <w:r>
        <w:t>product fraction</w:t>
      </w:r>
      <w:r w:rsidR="005870D6">
        <w:t>s</w:t>
      </w:r>
      <w:r>
        <w:t xml:space="preserve"> </w:t>
      </w:r>
      <w:r w:rsidR="005870D6">
        <w:t xml:space="preserve">to allocate the expense within the </w:t>
      </w:r>
      <w:r w:rsidRPr="00D45B1A">
        <w:t>medical cost centre</w:t>
      </w:r>
      <w:r>
        <w:t>. This fraction</w:t>
      </w:r>
      <w:r w:rsidRPr="00D45B1A">
        <w:t xml:space="preserve"> may be based on:</w:t>
      </w:r>
    </w:p>
    <w:p w14:paraId="18DBB98F" w14:textId="4A8CACC6" w:rsidR="002E574D" w:rsidRDefault="002E574D" w:rsidP="002E574D">
      <w:pPr>
        <w:pStyle w:val="ListBullet"/>
        <w:tabs>
          <w:tab w:val="clear" w:pos="360"/>
          <w:tab w:val="num" w:pos="2194"/>
        </w:tabs>
        <w:ind w:left="2194"/>
      </w:pPr>
      <w:r w:rsidRPr="00152BEF">
        <w:lastRenderedPageBreak/>
        <w:t>the availability of patient level utilisation data</w:t>
      </w:r>
    </w:p>
    <w:p w14:paraId="06064B15" w14:textId="769AE492" w:rsidR="00DB58FF" w:rsidRDefault="00DB58FF" w:rsidP="003F3BEC">
      <w:pPr>
        <w:pStyle w:val="ListBullet"/>
        <w:tabs>
          <w:tab w:val="clear" w:pos="360"/>
          <w:tab w:val="num" w:pos="2194"/>
        </w:tabs>
        <w:ind w:left="2194"/>
      </w:pPr>
      <w:r w:rsidRPr="00D45B1A">
        <w:t xml:space="preserve">the percentage of work (inpatient, outpatient, surgery, </w:t>
      </w:r>
      <w:r w:rsidR="00F316B4">
        <w:t>other</w:t>
      </w:r>
      <w:r w:rsidRPr="00D45B1A">
        <w:t>) writte</w:t>
      </w:r>
      <w:r w:rsidR="003F1BF5">
        <w:t>n into the doctor’s contract</w:t>
      </w:r>
      <w:r w:rsidR="00DD265C">
        <w:t xml:space="preserve"> </w:t>
      </w:r>
    </w:p>
    <w:p w14:paraId="2F3FA01D" w14:textId="22040997" w:rsidR="002E574D" w:rsidRDefault="002E574D" w:rsidP="003F3BEC">
      <w:pPr>
        <w:pStyle w:val="ListBullet"/>
        <w:tabs>
          <w:tab w:val="clear" w:pos="360"/>
          <w:tab w:val="num" w:pos="2194"/>
        </w:tabs>
        <w:ind w:left="2194"/>
      </w:pPr>
      <w:r w:rsidRPr="00D45B1A">
        <w:t>the proportion of a patients’</w:t>
      </w:r>
      <w:r>
        <w:t xml:space="preserve"> length of stay across departments</w:t>
      </w:r>
    </w:p>
    <w:p w14:paraId="1F5E5539" w14:textId="509732DB" w:rsidR="00DB58FF" w:rsidRPr="00D45B1A" w:rsidRDefault="00DB58FF" w:rsidP="002E574D">
      <w:pPr>
        <w:pStyle w:val="ListBullet"/>
        <w:tabs>
          <w:tab w:val="clear" w:pos="360"/>
          <w:tab w:val="num" w:pos="2194"/>
        </w:tabs>
        <w:ind w:left="2194"/>
      </w:pPr>
      <w:r w:rsidRPr="00D45B1A">
        <w:t>the proportion of doctor’s time across departments</w:t>
      </w:r>
      <w:r w:rsidR="002E574D">
        <w:t>.</w:t>
      </w:r>
    </w:p>
    <w:p w14:paraId="00F83CDC" w14:textId="77777777" w:rsidR="00DB58FF" w:rsidRPr="00D45B1A" w:rsidRDefault="00DB58FF" w:rsidP="00554A66">
      <w:r w:rsidRPr="00D45B1A">
        <w:t>When applying the product fractions, costing practitioners should test results with the appropriate stakeholder to verify these and to ensure they are clinically relevant.</w:t>
      </w:r>
    </w:p>
    <w:p w14:paraId="4E436C88" w14:textId="77777777" w:rsidR="00DB58FF" w:rsidRPr="00D45B1A" w:rsidRDefault="00DB58FF" w:rsidP="00554A66">
      <w:r w:rsidRPr="00D45B1A">
        <w:t>Some examples of the product fractioning process include:</w:t>
      </w:r>
    </w:p>
    <w:p w14:paraId="0BA7887C" w14:textId="25FF9A4F" w:rsidR="00DB58FF" w:rsidRPr="00D45B1A" w:rsidRDefault="00DB58FF" w:rsidP="003F3BEC">
      <w:pPr>
        <w:pStyle w:val="ListBullet"/>
        <w:tabs>
          <w:tab w:val="clear" w:pos="360"/>
          <w:tab w:val="num" w:pos="2194"/>
        </w:tabs>
        <w:ind w:left="2194"/>
      </w:pPr>
      <w:r w:rsidRPr="00D45B1A">
        <w:t xml:space="preserve">splitting expenses in a medical cost centre to Inpatient, outpatient and </w:t>
      </w:r>
      <w:r w:rsidR="002E574D">
        <w:t>emergency department</w:t>
      </w:r>
    </w:p>
    <w:p w14:paraId="352BAB47" w14:textId="78F5FAD5" w:rsidR="00DB58FF" w:rsidRPr="00D45B1A" w:rsidRDefault="00DB58FF" w:rsidP="003F3BEC">
      <w:pPr>
        <w:pStyle w:val="ListBullet"/>
        <w:tabs>
          <w:tab w:val="clear" w:pos="360"/>
          <w:tab w:val="num" w:pos="2194"/>
        </w:tabs>
        <w:ind w:left="2194"/>
      </w:pPr>
      <w:r w:rsidRPr="00D45B1A">
        <w:t>splitting expenses in a</w:t>
      </w:r>
      <w:r w:rsidR="00DD265C" w:rsidRPr="00D45B1A">
        <w:t xml:space="preserve">n allied health cost centre by </w:t>
      </w:r>
      <w:r w:rsidR="00DD265C">
        <w:t xml:space="preserve">product category </w:t>
      </w:r>
      <w:r w:rsidR="00DD265C" w:rsidRPr="00D45B1A">
        <w:t>- acute, sub-acute, mental health, no</w:t>
      </w:r>
      <w:r w:rsidR="003F1BF5">
        <w:t>n-admitted and community health</w:t>
      </w:r>
    </w:p>
    <w:p w14:paraId="67569F67" w14:textId="273D1015" w:rsidR="00DB58FF" w:rsidRPr="00D45B1A" w:rsidRDefault="00DB58FF" w:rsidP="003F3BEC">
      <w:pPr>
        <w:pStyle w:val="ListBullet"/>
        <w:tabs>
          <w:tab w:val="clear" w:pos="360"/>
          <w:tab w:val="num" w:pos="2194"/>
        </w:tabs>
        <w:ind w:left="2194"/>
      </w:pPr>
      <w:r w:rsidRPr="00D45B1A">
        <w:t xml:space="preserve">splitting expenses in </w:t>
      </w:r>
      <w:r w:rsidR="00DD265C" w:rsidRPr="00D45B1A">
        <w:t xml:space="preserve">infectious disease </w:t>
      </w:r>
      <w:r w:rsidRPr="00D45B1A">
        <w:t>cost centre to overhead cost centre and final cost centre.</w:t>
      </w:r>
    </w:p>
    <w:p w14:paraId="012E1FBE" w14:textId="77777777" w:rsidR="00DB58FF" w:rsidRPr="00D45B1A" w:rsidRDefault="00DB58FF" w:rsidP="00554A66">
      <w:r w:rsidRPr="00D45B1A">
        <w:t>Costing practitioners should document the source and methodology in deriving these product fractions following their review and approval.</w:t>
      </w:r>
    </w:p>
    <w:p w14:paraId="61847006" w14:textId="299B3DDC" w:rsidR="00DB58FF" w:rsidRPr="00D45B1A" w:rsidRDefault="00DB58FF" w:rsidP="00554A66">
      <w:r w:rsidRPr="00D45B1A">
        <w:t>Cost practitioners must ensu</w:t>
      </w:r>
      <w:r w:rsidR="00DD265C" w:rsidRPr="00D45B1A">
        <w:t xml:space="preserve">re the product fractions are periodically reviewed by </w:t>
      </w:r>
      <w:r w:rsidR="00DD265C">
        <w:t>staff members</w:t>
      </w:r>
      <w:r w:rsidR="00DD265C" w:rsidRPr="00D45B1A">
        <w:t xml:space="preserve"> who are familiar with the </w:t>
      </w:r>
      <w:r w:rsidRPr="00D45B1A">
        <w:t>service delivery in the cost centre to ensure that the product fractions are current and reflect actual service delivery.</w:t>
      </w:r>
    </w:p>
    <w:p w14:paraId="30CA7245" w14:textId="14FDCFF7" w:rsidR="008A3FF9" w:rsidRDefault="008A3FF9">
      <w:pPr>
        <w:spacing w:before="0" w:after="0" w:line="240" w:lineRule="auto"/>
      </w:pPr>
      <w:r>
        <w:br w:type="page"/>
      </w:r>
    </w:p>
    <w:p w14:paraId="618E8912" w14:textId="6EFF287C" w:rsidR="00DB58FF" w:rsidRPr="00B73421" w:rsidRDefault="00DB58FF" w:rsidP="000529C2">
      <w:pPr>
        <w:pStyle w:val="Heading2"/>
      </w:pPr>
      <w:bookmarkStart w:id="65" w:name="_Toc480492944"/>
      <w:bookmarkStart w:id="66" w:name="_Toc80348269"/>
      <w:r w:rsidRPr="00B73421">
        <w:lastRenderedPageBreak/>
        <w:t>Non-</w:t>
      </w:r>
      <w:r w:rsidR="009121A0">
        <w:t>P</w:t>
      </w:r>
      <w:r w:rsidRPr="00B73421">
        <w:t xml:space="preserve">atient </w:t>
      </w:r>
      <w:r w:rsidR="009121A0">
        <w:t>P</w:t>
      </w:r>
      <w:r w:rsidRPr="00B73421">
        <w:t>roducts</w:t>
      </w:r>
      <w:bookmarkEnd w:id="65"/>
      <w:bookmarkEnd w:id="66"/>
    </w:p>
    <w:p w14:paraId="342D66BC" w14:textId="77777777" w:rsidR="00DB58FF" w:rsidRPr="00D45B1A" w:rsidRDefault="00DB58FF" w:rsidP="00554A66">
      <w:pPr>
        <w:pStyle w:val="Heading3"/>
      </w:pPr>
      <w:r w:rsidRPr="00D45B1A">
        <w:t>Scope</w:t>
      </w:r>
    </w:p>
    <w:p w14:paraId="4CCB030D" w14:textId="5C576770" w:rsidR="00DB58FF" w:rsidRPr="00D45B1A" w:rsidRDefault="00DB58FF" w:rsidP="00554A66">
      <w:pPr>
        <w:rPr>
          <w:lang w:eastAsia="ja-JP"/>
        </w:rPr>
      </w:pPr>
      <w:r w:rsidRPr="00D45B1A">
        <w:rPr>
          <w:lang w:eastAsia="ja-JP"/>
        </w:rPr>
        <w:t xml:space="preserve">This </w:t>
      </w:r>
      <w:r w:rsidR="00F604EA">
        <w:rPr>
          <w:lang w:eastAsia="ja-JP"/>
        </w:rPr>
        <w:t>B</w:t>
      </w:r>
      <w:r w:rsidR="001701AB">
        <w:rPr>
          <w:lang w:eastAsia="ja-JP"/>
        </w:rPr>
        <w:t xml:space="preserve">usiness </w:t>
      </w:r>
      <w:r w:rsidR="00F604EA">
        <w:rPr>
          <w:lang w:eastAsia="ja-JP"/>
        </w:rPr>
        <w:t>R</w:t>
      </w:r>
      <w:r w:rsidR="001701AB">
        <w:rPr>
          <w:lang w:eastAsia="ja-JP"/>
        </w:rPr>
        <w:t>ule</w:t>
      </w:r>
      <w:r w:rsidRPr="00D45B1A">
        <w:rPr>
          <w:lang w:eastAsia="ja-JP"/>
        </w:rPr>
        <w:t xml:space="preserve"> gives</w:t>
      </w:r>
      <w:r w:rsidR="00BB52D3">
        <w:rPr>
          <w:lang w:eastAsia="ja-JP"/>
        </w:rPr>
        <w:t xml:space="preserve"> costing</w:t>
      </w:r>
      <w:r w:rsidRPr="00D45B1A">
        <w:rPr>
          <w:lang w:eastAsia="ja-JP"/>
        </w:rPr>
        <w:t xml:space="preserve"> guidelines for identifying and addressing products that are non-patient products.</w:t>
      </w:r>
    </w:p>
    <w:p w14:paraId="2340F1E0" w14:textId="77777777" w:rsidR="00DB58FF" w:rsidRPr="00D45B1A" w:rsidRDefault="00DB58FF" w:rsidP="00554A66">
      <w:pPr>
        <w:pStyle w:val="Heading3"/>
      </w:pPr>
      <w:r w:rsidRPr="00D45B1A">
        <w:t>Objective</w:t>
      </w:r>
    </w:p>
    <w:p w14:paraId="0D8BE449" w14:textId="77777777" w:rsidR="00DB58FF" w:rsidRPr="00D45B1A" w:rsidRDefault="00DB58FF" w:rsidP="00554A66">
      <w:r w:rsidRPr="00D45B1A">
        <w:rPr>
          <w:lang w:eastAsia="ja-JP"/>
        </w:rPr>
        <w:t>To ensure all products provided by an organisation are classified into product categories that sufficiently differentiate between patient and non-patient products.</w:t>
      </w:r>
    </w:p>
    <w:p w14:paraId="4AC18A0D" w14:textId="77777777" w:rsidR="00DB58FF" w:rsidRPr="00D45B1A" w:rsidRDefault="00DB58FF" w:rsidP="00554A66">
      <w:pPr>
        <w:rPr>
          <w:lang w:eastAsia="ja-JP"/>
        </w:rPr>
      </w:pPr>
      <w:r w:rsidRPr="00D45B1A">
        <w:rPr>
          <w:lang w:eastAsia="ja-JP"/>
        </w:rPr>
        <w:t>To ensure products that are non-patient related with expenses that have occurred within the period are correctly identified and mapped to non-patient products.</w:t>
      </w:r>
    </w:p>
    <w:p w14:paraId="7DDA0423" w14:textId="20281EEA" w:rsidR="00DB58FF" w:rsidRPr="00D45B1A" w:rsidRDefault="001701AB" w:rsidP="00554A66">
      <w:pPr>
        <w:pStyle w:val="Heading3"/>
      </w:pPr>
      <w:r>
        <w:t xml:space="preserve">Business </w:t>
      </w:r>
      <w:r w:rsidR="00F604EA">
        <w:t>R</w:t>
      </w:r>
      <w:r>
        <w:t>ule</w:t>
      </w:r>
    </w:p>
    <w:p w14:paraId="2FDDB6BD" w14:textId="77777777" w:rsidR="00DB58FF" w:rsidRPr="00D45B1A" w:rsidRDefault="00DB58FF" w:rsidP="00554A66">
      <w:pPr>
        <w:rPr>
          <w:lang w:eastAsia="ja-JP"/>
        </w:rPr>
      </w:pPr>
      <w:r w:rsidRPr="00D45B1A">
        <w:t xml:space="preserve">Costing practitioners should seek to identify all non-patient products. </w:t>
      </w:r>
      <w:r w:rsidRPr="00D45B1A">
        <w:rPr>
          <w:lang w:eastAsia="ja-JP"/>
        </w:rPr>
        <w:t>Examples of non-patient products include expenses associated with the following:</w:t>
      </w:r>
    </w:p>
    <w:p w14:paraId="14D1A381" w14:textId="77777777" w:rsidR="002E574D" w:rsidRPr="00D45B1A" w:rsidRDefault="002E574D" w:rsidP="002E574D">
      <w:pPr>
        <w:pStyle w:val="ListBullet"/>
        <w:tabs>
          <w:tab w:val="clear" w:pos="360"/>
          <w:tab w:val="num" w:pos="2194"/>
        </w:tabs>
        <w:ind w:left="2194"/>
      </w:pPr>
      <w:r w:rsidRPr="00D45B1A">
        <w:t xml:space="preserve">cafeteria </w:t>
      </w:r>
    </w:p>
    <w:p w14:paraId="6626E71F" w14:textId="77777777" w:rsidR="002E574D" w:rsidRPr="00D45B1A" w:rsidRDefault="002E574D" w:rsidP="002E574D">
      <w:pPr>
        <w:pStyle w:val="ListBullet"/>
        <w:tabs>
          <w:tab w:val="clear" w:pos="360"/>
          <w:tab w:val="num" w:pos="2194"/>
        </w:tabs>
        <w:ind w:left="2194"/>
      </w:pPr>
      <w:r>
        <w:t>car parking</w:t>
      </w:r>
    </w:p>
    <w:p w14:paraId="5264B7FA" w14:textId="4FE8E421" w:rsidR="002E574D" w:rsidRDefault="002E574D" w:rsidP="002E574D">
      <w:pPr>
        <w:pStyle w:val="ListBullet"/>
        <w:tabs>
          <w:tab w:val="clear" w:pos="360"/>
          <w:tab w:val="num" w:pos="2194"/>
        </w:tabs>
        <w:ind w:left="2194"/>
      </w:pPr>
      <w:r w:rsidRPr="00D45B1A">
        <w:t xml:space="preserve">florist </w:t>
      </w:r>
    </w:p>
    <w:p w14:paraId="67B84C98" w14:textId="7983DA90" w:rsidR="00DB58FF" w:rsidRPr="00D45B1A" w:rsidRDefault="00DB58FF" w:rsidP="003F3BEC">
      <w:pPr>
        <w:pStyle w:val="ListBullet"/>
        <w:tabs>
          <w:tab w:val="clear" w:pos="360"/>
          <w:tab w:val="num" w:pos="2194"/>
        </w:tabs>
        <w:ind w:left="2194"/>
      </w:pPr>
      <w:r w:rsidRPr="00D45B1A">
        <w:t>privat</w:t>
      </w:r>
      <w:r w:rsidR="003F1BF5">
        <w:t>e consulting suites</w:t>
      </w:r>
    </w:p>
    <w:p w14:paraId="3D5A2F88" w14:textId="02A15DCB" w:rsidR="00DB58FF" w:rsidRPr="00D45B1A" w:rsidRDefault="00DB58FF" w:rsidP="003F3BEC">
      <w:pPr>
        <w:pStyle w:val="ListBullet"/>
        <w:tabs>
          <w:tab w:val="clear" w:pos="360"/>
          <w:tab w:val="num" w:pos="2194"/>
        </w:tabs>
        <w:ind w:left="2194"/>
      </w:pPr>
      <w:r w:rsidRPr="00D45B1A">
        <w:t>other non-patient related business units</w:t>
      </w:r>
      <w:r w:rsidR="002E574D">
        <w:t>.</w:t>
      </w:r>
    </w:p>
    <w:p w14:paraId="47DE3EE3" w14:textId="72BCCEC9" w:rsidR="00DB58FF" w:rsidRPr="00D45B1A" w:rsidRDefault="002B6335" w:rsidP="00554A66">
      <w:r>
        <w:t>C</w:t>
      </w:r>
      <w:r w:rsidR="00DB58FF" w:rsidRPr="00D45B1A">
        <w:t>osting practitione</w:t>
      </w:r>
      <w:r w:rsidR="00DD265C" w:rsidRPr="00D45B1A">
        <w:t>rs should meet with the finance department, as owners of the general ledger, to</w:t>
      </w:r>
      <w:r w:rsidR="002E574D">
        <w:t xml:space="preserve"> document those cost centres </w:t>
      </w:r>
      <w:r w:rsidR="00DD265C" w:rsidRPr="00D45B1A">
        <w:t xml:space="preserve">or </w:t>
      </w:r>
      <w:r w:rsidR="00DD265C" w:rsidRPr="00F97E63">
        <w:t>account codes</w:t>
      </w:r>
      <w:r w:rsidR="00DD265C" w:rsidRPr="00D45B1A">
        <w:t xml:space="preserve"> that directly relate to non-patient product expenses.</w:t>
      </w:r>
    </w:p>
    <w:p w14:paraId="341F5312" w14:textId="77777777" w:rsidR="00DB58FF" w:rsidRPr="00D45B1A" w:rsidRDefault="00DB58FF" w:rsidP="00554A66">
      <w:r w:rsidRPr="00D45B1A">
        <w:t xml:space="preserve">After documenting non-patient product expenses, costing practitioners should meet with the relevant cost centre managers to discuss the appropriate overhead expenses to allocate to non-patient products. For example, the hospital may provide cleaning services to private consulting suites and security services to the carpark. </w:t>
      </w:r>
    </w:p>
    <w:p w14:paraId="30C2B3C1" w14:textId="5682D83A" w:rsidR="00DB58FF" w:rsidRPr="00D45B1A" w:rsidRDefault="00DB58FF" w:rsidP="00554A66">
      <w:r w:rsidRPr="00D45B1A">
        <w:t>Most non-patient product expenses will also need to absorb othe</w:t>
      </w:r>
      <w:r w:rsidR="002E574D">
        <w:t>r corporate overheads, such as f</w:t>
      </w:r>
      <w:r w:rsidRPr="00D45B1A">
        <w:t>inance. Costing practitioners should also meet with the cost centre managers to establish how to allocate overheads to these areas.</w:t>
      </w:r>
    </w:p>
    <w:p w14:paraId="3876C144" w14:textId="3E36A7B6" w:rsidR="00DB58FF" w:rsidRPr="00D45B1A" w:rsidRDefault="00DB58FF" w:rsidP="00554A66">
      <w:r w:rsidRPr="00D45B1A">
        <w:t>Non-patient product</w:t>
      </w:r>
      <w:r w:rsidR="004D4FFE">
        <w:t>s</w:t>
      </w:r>
      <w:r w:rsidRPr="00D45B1A">
        <w:t xml:space="preserve"> must be accounted for in the costing system to enable financial reconciliation to take place. Costing </w:t>
      </w:r>
      <w:r w:rsidR="002F6ADE">
        <w:t>p</w:t>
      </w:r>
      <w:r w:rsidRPr="00D45B1A">
        <w:t>ractitioners will need to move these expenses into a defined product or products and allocate the relevant overhead expense.</w:t>
      </w:r>
    </w:p>
    <w:p w14:paraId="3EE1127D" w14:textId="51CCCD81" w:rsidR="00DB58FF" w:rsidRPr="00D45B1A" w:rsidRDefault="00DB58FF" w:rsidP="00554A66">
      <w:r w:rsidRPr="00D45B1A">
        <w:t xml:space="preserve">Costing </w:t>
      </w:r>
      <w:r w:rsidR="002F6ADE">
        <w:t>p</w:t>
      </w:r>
      <w:r w:rsidRPr="00D45B1A">
        <w:t xml:space="preserve">ractitioners should ensure that any offsets or adjustments are specified as per </w:t>
      </w:r>
      <w:r w:rsidRPr="00F97E63">
        <w:t xml:space="preserve">Standard </w:t>
      </w:r>
      <w:r w:rsidR="00E24FEA" w:rsidRPr="00F97E63">
        <w:t>6.2</w:t>
      </w:r>
      <w:r w:rsidR="00DD265C">
        <w:t xml:space="preserve"> </w:t>
      </w:r>
      <w:r w:rsidRPr="00F97E63">
        <w:t>Reconciliation to Source Data</w:t>
      </w:r>
      <w:r w:rsidRPr="00D45B1A">
        <w:t>.</w:t>
      </w:r>
    </w:p>
    <w:p w14:paraId="5B8F1582" w14:textId="77777777" w:rsidR="00DB58FF" w:rsidRPr="00D45B1A" w:rsidRDefault="00DB58FF" w:rsidP="00554A66">
      <w:r w:rsidRPr="00D45B1A">
        <w:br w:type="page"/>
      </w:r>
    </w:p>
    <w:p w14:paraId="00B3D7ED" w14:textId="21CE4148" w:rsidR="00DE5973" w:rsidRDefault="001701AB" w:rsidP="00663250">
      <w:pPr>
        <w:pStyle w:val="Heading1"/>
        <w:spacing w:after="480"/>
        <w:rPr>
          <w:lang w:eastAsia="ja-JP"/>
        </w:rPr>
      </w:pPr>
      <w:bookmarkStart w:id="67" w:name="_Toc80348270"/>
      <w:bookmarkStart w:id="68" w:name="_Toc480492946"/>
      <w:r>
        <w:rPr>
          <w:lang w:eastAsia="ja-JP"/>
        </w:rPr>
        <w:lastRenderedPageBreak/>
        <w:t xml:space="preserve">Create </w:t>
      </w:r>
      <w:r w:rsidR="009121A0">
        <w:rPr>
          <w:lang w:eastAsia="ja-JP"/>
        </w:rPr>
        <w:t>F</w:t>
      </w:r>
      <w:r>
        <w:rPr>
          <w:lang w:eastAsia="ja-JP"/>
        </w:rPr>
        <w:t xml:space="preserve">inal </w:t>
      </w:r>
      <w:r w:rsidR="009121A0">
        <w:rPr>
          <w:lang w:eastAsia="ja-JP"/>
        </w:rPr>
        <w:t>C</w:t>
      </w:r>
      <w:r>
        <w:rPr>
          <w:lang w:eastAsia="ja-JP"/>
        </w:rPr>
        <w:t xml:space="preserve">ost </w:t>
      </w:r>
      <w:r w:rsidR="009121A0">
        <w:rPr>
          <w:lang w:eastAsia="ja-JP"/>
        </w:rPr>
        <w:t>C</w:t>
      </w:r>
      <w:r>
        <w:rPr>
          <w:lang w:eastAsia="ja-JP"/>
        </w:rPr>
        <w:t>entres</w:t>
      </w:r>
      <w:bookmarkEnd w:id="67"/>
    </w:p>
    <w:p w14:paraId="0E6F4FA8" w14:textId="356A147F" w:rsidR="00DE5973" w:rsidRPr="002E574D" w:rsidRDefault="00DE5973" w:rsidP="00DE5973">
      <w:pPr>
        <w:pStyle w:val="Intro"/>
        <w:rPr>
          <w:rStyle w:val="LineNumber"/>
          <w:color w:val="auto"/>
        </w:rPr>
      </w:pPr>
      <w:r w:rsidRPr="002E574D">
        <w:rPr>
          <w:rStyle w:val="LineNumber"/>
          <w:color w:val="auto"/>
        </w:rPr>
        <w:t>The cost ledger framework requires that expenses are classified into overhead and production cost centres. Expense in the overhead cost centres is allocated to the production cost centres.</w:t>
      </w:r>
      <w:r w:rsidR="001701AB" w:rsidRPr="002E574D">
        <w:rPr>
          <w:rStyle w:val="LineNumber"/>
          <w:color w:val="auto"/>
        </w:rPr>
        <w:t xml:space="preserve"> </w:t>
      </w:r>
      <w:r w:rsidR="002A1D2E" w:rsidRPr="002E574D">
        <w:rPr>
          <w:rStyle w:val="LineNumber"/>
          <w:color w:val="auto"/>
        </w:rPr>
        <w:t>T</w:t>
      </w:r>
      <w:r w:rsidRPr="002E574D">
        <w:rPr>
          <w:rStyle w:val="LineNumber"/>
          <w:color w:val="auto"/>
        </w:rPr>
        <w:t>he sum of these expense items (including overhead cost) is then allocated to the production cost centre intermediate products and final products.</w:t>
      </w:r>
    </w:p>
    <w:p w14:paraId="5F4F881E" w14:textId="77777777" w:rsidR="00DE5973" w:rsidRPr="002E574D" w:rsidRDefault="00DE5973" w:rsidP="00DE5973">
      <w:pPr>
        <w:pStyle w:val="Intro"/>
        <w:rPr>
          <w:rStyle w:val="LineNumber"/>
          <w:color w:val="auto"/>
        </w:rPr>
      </w:pPr>
      <w:r w:rsidRPr="002E574D">
        <w:rPr>
          <w:rStyle w:val="LineNumber"/>
          <w:color w:val="auto"/>
        </w:rPr>
        <w:t>Once the final cost centre is created, expenses are referred to as ‘costs’ for the remainder of the costing process.</w:t>
      </w:r>
    </w:p>
    <w:p w14:paraId="0925D310" w14:textId="77777777" w:rsidR="00DE5973" w:rsidRPr="002E574D" w:rsidRDefault="00DE5973" w:rsidP="00DE5973">
      <w:pPr>
        <w:pStyle w:val="Intro"/>
        <w:rPr>
          <w:rStyle w:val="LineNumber"/>
          <w:color w:val="auto"/>
        </w:rPr>
      </w:pPr>
      <w:r w:rsidRPr="002E574D">
        <w:rPr>
          <w:rStyle w:val="LineNumber"/>
          <w:color w:val="auto"/>
        </w:rPr>
        <w:t xml:space="preserve">Expenses accumulated in final cost centres will primarily emphasise causality between those expenses and the cost object that will absorb them. </w:t>
      </w:r>
    </w:p>
    <w:p w14:paraId="0B1EB4C1" w14:textId="77777777" w:rsidR="00DE5973" w:rsidRPr="00215955" w:rsidRDefault="00DE5973" w:rsidP="00DE5973">
      <w:pPr>
        <w:numPr>
          <w:ilvl w:val="0"/>
          <w:numId w:val="0"/>
        </w:numPr>
        <w:rPr>
          <w:rFonts w:eastAsia="Calibri"/>
          <w:b/>
        </w:rPr>
      </w:pPr>
      <w:r w:rsidRPr="00215955">
        <w:rPr>
          <w:rFonts w:eastAsia="Calibri"/>
          <w:b/>
        </w:rPr>
        <w:t>Application</w:t>
      </w:r>
    </w:p>
    <w:p w14:paraId="3408FC79" w14:textId="00AB2E44" w:rsidR="00DE5973" w:rsidRPr="00BD47FF" w:rsidRDefault="00DE5973" w:rsidP="00DE5973">
      <w:pPr>
        <w:numPr>
          <w:ilvl w:val="0"/>
          <w:numId w:val="0"/>
        </w:numPr>
        <w:rPr>
          <w:rFonts w:eastAsia="Calibri"/>
        </w:rPr>
      </w:pPr>
      <w:r>
        <w:rPr>
          <w:rFonts w:eastAsia="Calibri"/>
        </w:rPr>
        <w:t xml:space="preserve">These </w:t>
      </w:r>
      <w:r w:rsidR="001701AB">
        <w:rPr>
          <w:rFonts w:eastAsia="Calibri"/>
        </w:rPr>
        <w:t xml:space="preserve">Business </w:t>
      </w:r>
      <w:r w:rsidR="002F6ADE">
        <w:rPr>
          <w:rFonts w:eastAsia="Calibri"/>
        </w:rPr>
        <w:t>R</w:t>
      </w:r>
      <w:r w:rsidR="001701AB">
        <w:rPr>
          <w:rFonts w:eastAsia="Calibri"/>
        </w:rPr>
        <w:t>ules</w:t>
      </w:r>
      <w:r>
        <w:rPr>
          <w:rFonts w:eastAsia="Calibri"/>
        </w:rPr>
        <w:t xml:space="preserve"> </w:t>
      </w:r>
      <w:r w:rsidRPr="00215955">
        <w:rPr>
          <w:rFonts w:eastAsia="Calibri"/>
        </w:rPr>
        <w:t xml:space="preserve">shall be read in conjunction with the Standards </w:t>
      </w:r>
      <w:r>
        <w:rPr>
          <w:rFonts w:eastAsia="Calibri"/>
        </w:rPr>
        <w:t>associated with the following</w:t>
      </w:r>
      <w:r w:rsidRPr="00BD47FF">
        <w:rPr>
          <w:rFonts w:eastAsia="Calibri"/>
        </w:rPr>
        <w:t xml:space="preserve"> stages:</w:t>
      </w:r>
    </w:p>
    <w:p w14:paraId="0AC721B6" w14:textId="13C46F6D" w:rsidR="008D3A80" w:rsidRDefault="008D3A80" w:rsidP="008D3A80">
      <w:pPr>
        <w:numPr>
          <w:ilvl w:val="0"/>
          <w:numId w:val="0"/>
        </w:numPr>
        <w:rPr>
          <w:rFonts w:eastAsia="Calibri"/>
        </w:rPr>
      </w:pPr>
      <w:r>
        <w:rPr>
          <w:rFonts w:eastAsia="Calibri"/>
        </w:rPr>
        <w:fldChar w:fldCharType="begin"/>
      </w:r>
      <w:r>
        <w:rPr>
          <w:rFonts w:eastAsia="Calibri"/>
        </w:rPr>
        <w:instrText xml:space="preserve"> REF _Ref498530776 \w \h </w:instrText>
      </w:r>
      <w:r>
        <w:rPr>
          <w:rFonts w:eastAsia="Calibri"/>
        </w:rPr>
      </w:r>
      <w:r>
        <w:rPr>
          <w:rFonts w:eastAsia="Calibri"/>
        </w:rPr>
        <w:fldChar w:fldCharType="separate"/>
      </w:r>
      <w:r w:rsidR="00EA6A78">
        <w:rPr>
          <w:rFonts w:eastAsia="Calibri"/>
        </w:rPr>
        <w:t>Stage 2</w:t>
      </w:r>
      <w:r>
        <w:rPr>
          <w:rFonts w:eastAsia="Calibri"/>
        </w:rPr>
        <w:fldChar w:fldCharType="end"/>
      </w:r>
      <w:r>
        <w:rPr>
          <w:rFonts w:eastAsia="Calibri"/>
        </w:rPr>
        <w:t xml:space="preserve">: </w:t>
      </w:r>
      <w:r>
        <w:rPr>
          <w:rFonts w:eastAsia="Calibri"/>
        </w:rPr>
        <w:fldChar w:fldCharType="begin"/>
      </w:r>
      <w:r>
        <w:rPr>
          <w:rFonts w:eastAsia="Calibri"/>
        </w:rPr>
        <w:instrText xml:space="preserve"> REF _Ref498530776 \h </w:instrText>
      </w:r>
      <w:r>
        <w:rPr>
          <w:rFonts w:eastAsia="Calibri"/>
        </w:rPr>
      </w:r>
      <w:r>
        <w:rPr>
          <w:rFonts w:eastAsia="Calibri"/>
        </w:rPr>
        <w:fldChar w:fldCharType="separate"/>
      </w:r>
      <w:r w:rsidR="00EA6A78">
        <w:rPr>
          <w:rFonts w:eastAsia="Calibri"/>
        </w:rPr>
        <w:t xml:space="preserve">Create the </w:t>
      </w:r>
      <w:r w:rsidR="009121A0">
        <w:rPr>
          <w:rFonts w:eastAsia="Calibri"/>
        </w:rPr>
        <w:t>C</w:t>
      </w:r>
      <w:r w:rsidR="00EA6A78">
        <w:rPr>
          <w:rFonts w:eastAsia="Calibri"/>
        </w:rPr>
        <w:t xml:space="preserve">ost </w:t>
      </w:r>
      <w:r w:rsidR="009121A0">
        <w:rPr>
          <w:rFonts w:eastAsia="Calibri"/>
        </w:rPr>
        <w:t>L</w:t>
      </w:r>
      <w:r w:rsidR="00EA6A78">
        <w:rPr>
          <w:rFonts w:eastAsia="Calibri"/>
        </w:rPr>
        <w:t>edger</w:t>
      </w:r>
      <w:r>
        <w:rPr>
          <w:rFonts w:eastAsia="Calibri"/>
        </w:rPr>
        <w:fldChar w:fldCharType="end"/>
      </w:r>
    </w:p>
    <w:p w14:paraId="032C362D" w14:textId="235071D9" w:rsidR="008D3A80" w:rsidRDefault="008D3A80" w:rsidP="008D3A80">
      <w:pPr>
        <w:numPr>
          <w:ilvl w:val="0"/>
          <w:numId w:val="0"/>
        </w:numPr>
        <w:rPr>
          <w:rFonts w:eastAsia="Calibri"/>
        </w:rPr>
      </w:pPr>
      <w:r>
        <w:rPr>
          <w:rFonts w:eastAsia="Calibri"/>
        </w:rPr>
        <w:fldChar w:fldCharType="begin"/>
      </w:r>
      <w:r>
        <w:rPr>
          <w:rFonts w:eastAsia="Calibri"/>
        </w:rPr>
        <w:instrText xml:space="preserve"> REF _Ref498530899 \w \h </w:instrText>
      </w:r>
      <w:r>
        <w:rPr>
          <w:rFonts w:eastAsia="Calibri"/>
        </w:rPr>
      </w:r>
      <w:r>
        <w:rPr>
          <w:rFonts w:eastAsia="Calibri"/>
        </w:rPr>
        <w:fldChar w:fldCharType="separate"/>
      </w:r>
      <w:r w:rsidR="00EA6A78">
        <w:rPr>
          <w:rFonts w:eastAsia="Calibri"/>
        </w:rPr>
        <w:t>Stage 3</w:t>
      </w:r>
      <w:r>
        <w:rPr>
          <w:rFonts w:eastAsia="Calibri"/>
        </w:rPr>
        <w:fldChar w:fldCharType="end"/>
      </w:r>
      <w:r>
        <w:rPr>
          <w:rFonts w:eastAsia="Calibri"/>
        </w:rPr>
        <w:t xml:space="preserve">: </w:t>
      </w:r>
      <w:r>
        <w:rPr>
          <w:rFonts w:eastAsia="Calibri"/>
        </w:rPr>
        <w:fldChar w:fldCharType="begin"/>
      </w:r>
      <w:r>
        <w:rPr>
          <w:rFonts w:eastAsia="Calibri"/>
        </w:rPr>
        <w:instrText xml:space="preserve"> REF _Ref498530899 \h </w:instrText>
      </w:r>
      <w:r>
        <w:rPr>
          <w:rFonts w:eastAsia="Calibri"/>
        </w:rPr>
      </w:r>
      <w:r>
        <w:rPr>
          <w:rFonts w:eastAsia="Calibri"/>
        </w:rPr>
        <w:fldChar w:fldCharType="separate"/>
      </w:r>
      <w:r w:rsidR="00EA6A78">
        <w:rPr>
          <w:rFonts w:eastAsia="Calibri"/>
        </w:rPr>
        <w:t xml:space="preserve">Create final </w:t>
      </w:r>
      <w:r w:rsidR="009121A0">
        <w:rPr>
          <w:rFonts w:eastAsia="Calibri"/>
        </w:rPr>
        <w:t>C</w:t>
      </w:r>
      <w:r w:rsidR="00EA6A78">
        <w:rPr>
          <w:rFonts w:eastAsia="Calibri"/>
        </w:rPr>
        <w:t xml:space="preserve">ost </w:t>
      </w:r>
      <w:r w:rsidR="009121A0">
        <w:rPr>
          <w:rFonts w:eastAsia="Calibri"/>
        </w:rPr>
        <w:t>C</w:t>
      </w:r>
      <w:r w:rsidR="00EA6A78">
        <w:rPr>
          <w:rFonts w:eastAsia="Calibri"/>
        </w:rPr>
        <w:t>entres</w:t>
      </w:r>
      <w:r>
        <w:rPr>
          <w:rFonts w:eastAsia="Calibri"/>
        </w:rPr>
        <w:fldChar w:fldCharType="end"/>
      </w:r>
    </w:p>
    <w:p w14:paraId="1465098E" w14:textId="2BA38C4A" w:rsidR="008D3A80" w:rsidRDefault="008D3A80" w:rsidP="008D3A80">
      <w:pPr>
        <w:numPr>
          <w:ilvl w:val="0"/>
          <w:numId w:val="0"/>
        </w:numPr>
        <w:rPr>
          <w:rFonts w:eastAsia="Calibri"/>
        </w:rPr>
      </w:pPr>
      <w:r>
        <w:rPr>
          <w:rFonts w:eastAsia="Calibri"/>
        </w:rPr>
        <w:fldChar w:fldCharType="begin"/>
      </w:r>
      <w:r>
        <w:rPr>
          <w:rFonts w:eastAsia="Calibri"/>
        </w:rPr>
        <w:instrText xml:space="preserve"> REF _Ref498530780 \w \h </w:instrText>
      </w:r>
      <w:r>
        <w:rPr>
          <w:rFonts w:eastAsia="Calibri"/>
        </w:rPr>
      </w:r>
      <w:r>
        <w:rPr>
          <w:rFonts w:eastAsia="Calibri"/>
        </w:rPr>
        <w:fldChar w:fldCharType="separate"/>
      </w:r>
      <w:r w:rsidR="00EA6A78">
        <w:rPr>
          <w:rFonts w:eastAsia="Calibri"/>
        </w:rPr>
        <w:t>Stage 6</w:t>
      </w:r>
      <w:r>
        <w:rPr>
          <w:rFonts w:eastAsia="Calibri"/>
        </w:rPr>
        <w:fldChar w:fldCharType="end"/>
      </w:r>
      <w:r>
        <w:rPr>
          <w:rFonts w:eastAsia="Calibri"/>
        </w:rPr>
        <w:t xml:space="preserve">: </w:t>
      </w:r>
      <w:r>
        <w:rPr>
          <w:rFonts w:eastAsia="Calibri"/>
        </w:rPr>
        <w:fldChar w:fldCharType="begin"/>
      </w:r>
      <w:r>
        <w:rPr>
          <w:rFonts w:eastAsia="Calibri"/>
        </w:rPr>
        <w:instrText xml:space="preserve"> REF _Ref498530780 \h </w:instrText>
      </w:r>
      <w:r>
        <w:rPr>
          <w:rFonts w:eastAsia="Calibri"/>
        </w:rPr>
      </w:r>
      <w:r>
        <w:rPr>
          <w:rFonts w:eastAsia="Calibri"/>
        </w:rPr>
        <w:fldChar w:fldCharType="separate"/>
      </w:r>
      <w:r w:rsidR="00EA6A78">
        <w:rPr>
          <w:rFonts w:eastAsia="Calibri"/>
        </w:rPr>
        <w:t xml:space="preserve">Review and </w:t>
      </w:r>
      <w:r w:rsidR="009121A0">
        <w:rPr>
          <w:rFonts w:eastAsia="Calibri"/>
        </w:rPr>
        <w:t>R</w:t>
      </w:r>
      <w:r w:rsidR="00EA6A78">
        <w:rPr>
          <w:rFonts w:eastAsia="Calibri"/>
        </w:rPr>
        <w:t>econcile</w:t>
      </w:r>
      <w:r>
        <w:rPr>
          <w:rFonts w:eastAsia="Calibri"/>
        </w:rPr>
        <w:fldChar w:fldCharType="end"/>
      </w:r>
      <w:r w:rsidR="002E574D">
        <w:rPr>
          <w:rFonts w:eastAsia="Calibri"/>
        </w:rPr>
        <w:t>.</w:t>
      </w:r>
    </w:p>
    <w:p w14:paraId="2CD211EC" w14:textId="77777777" w:rsidR="00DE5973" w:rsidRPr="00215955" w:rsidRDefault="00DE5973" w:rsidP="00DE5973">
      <w:pPr>
        <w:numPr>
          <w:ilvl w:val="0"/>
          <w:numId w:val="0"/>
        </w:numPr>
        <w:rPr>
          <w:rFonts w:eastAsia="Calibri"/>
          <w:b/>
        </w:rPr>
      </w:pPr>
      <w:r w:rsidRPr="00215955">
        <w:rPr>
          <w:rFonts w:eastAsia="Calibri"/>
          <w:b/>
        </w:rPr>
        <w:t>List of referenced documents</w:t>
      </w:r>
    </w:p>
    <w:p w14:paraId="120657B0" w14:textId="77777777" w:rsidR="00DE5973" w:rsidRPr="00215955" w:rsidRDefault="00DE5973" w:rsidP="00DE5973">
      <w:pPr>
        <w:numPr>
          <w:ilvl w:val="0"/>
          <w:numId w:val="0"/>
        </w:numPr>
        <w:rPr>
          <w:rFonts w:eastAsia="Calibri"/>
          <w:b/>
          <w:bCs/>
        </w:rPr>
      </w:pPr>
      <w:r w:rsidRPr="00A04467">
        <w:rPr>
          <w:rFonts w:eastAsia="Calibri"/>
        </w:rPr>
        <w:t>There are no documents referred to in this stage.</w:t>
      </w:r>
    </w:p>
    <w:p w14:paraId="185EC352" w14:textId="77777777" w:rsidR="00DE5973" w:rsidRDefault="00DE5973" w:rsidP="00DE5973">
      <w:pPr>
        <w:rPr>
          <w:lang w:eastAsia="ja-JP"/>
        </w:rPr>
      </w:pPr>
      <w:r>
        <w:rPr>
          <w:lang w:eastAsia="ja-JP"/>
        </w:rPr>
        <w:br w:type="page"/>
      </w:r>
    </w:p>
    <w:p w14:paraId="0677E61A" w14:textId="2034994D" w:rsidR="00DE5973" w:rsidRDefault="00DE5973" w:rsidP="00631701">
      <w:pPr>
        <w:pStyle w:val="Heading2"/>
        <w:numPr>
          <w:ilvl w:val="1"/>
          <w:numId w:val="10"/>
        </w:numPr>
        <w:spacing w:after="240"/>
        <w:contextualSpacing w:val="0"/>
        <w:rPr>
          <w:lang w:eastAsia="ja-JP"/>
        </w:rPr>
      </w:pPr>
      <w:bookmarkStart w:id="69" w:name="_Toc80348271"/>
      <w:r w:rsidRPr="00416E51">
        <w:rPr>
          <w:lang w:eastAsia="ja-JP"/>
        </w:rPr>
        <w:lastRenderedPageBreak/>
        <w:t xml:space="preserve">Overhead </w:t>
      </w:r>
      <w:r w:rsidR="009121A0">
        <w:rPr>
          <w:lang w:eastAsia="ja-JP"/>
        </w:rPr>
        <w:t>A</w:t>
      </w:r>
      <w:r w:rsidR="00DC1841" w:rsidRPr="00416E51">
        <w:rPr>
          <w:lang w:eastAsia="ja-JP"/>
        </w:rPr>
        <w:t>llocations</w:t>
      </w:r>
      <w:bookmarkEnd w:id="69"/>
    </w:p>
    <w:p w14:paraId="40C32798" w14:textId="1CE9DFCA" w:rsidR="00DE5973" w:rsidRPr="00416E51" w:rsidRDefault="00DE5973" w:rsidP="00DE5973">
      <w:pPr>
        <w:pStyle w:val="Heading2"/>
      </w:pPr>
      <w:bookmarkStart w:id="70" w:name="_Toc80348272"/>
      <w:r w:rsidRPr="00416E51">
        <w:t xml:space="preserve">Hotel </w:t>
      </w:r>
      <w:r w:rsidR="009121A0">
        <w:t>S</w:t>
      </w:r>
      <w:r w:rsidR="00DC1841" w:rsidRPr="00416E51">
        <w:t>ervices</w:t>
      </w:r>
      <w:bookmarkEnd w:id="70"/>
    </w:p>
    <w:p w14:paraId="19D2DC3F" w14:textId="77777777" w:rsidR="00DE5973" w:rsidRPr="00D45B1A" w:rsidRDefault="00DE5973" w:rsidP="00DE5973">
      <w:pPr>
        <w:pStyle w:val="Heading3"/>
      </w:pPr>
      <w:r w:rsidRPr="00D45B1A">
        <w:t>Scope</w:t>
      </w:r>
    </w:p>
    <w:p w14:paraId="49581130" w14:textId="3700F3F1" w:rsidR="00DE5973" w:rsidRPr="00D45B1A" w:rsidRDefault="00DE5973" w:rsidP="00DE5973">
      <w:pPr>
        <w:rPr>
          <w:bCs/>
        </w:rPr>
      </w:pPr>
      <w:r w:rsidRPr="00D45B1A">
        <w:rPr>
          <w:lang w:eastAsia="ja-JP"/>
        </w:rPr>
        <w:t xml:space="preserve">This </w:t>
      </w:r>
      <w:r w:rsidR="00F604EA">
        <w:rPr>
          <w:lang w:eastAsia="ja-JP"/>
        </w:rPr>
        <w:t>B</w:t>
      </w:r>
      <w:r w:rsidR="001701AB">
        <w:rPr>
          <w:lang w:eastAsia="ja-JP"/>
        </w:rPr>
        <w:t xml:space="preserve">usiness </w:t>
      </w:r>
      <w:r w:rsidR="00F604EA">
        <w:rPr>
          <w:lang w:eastAsia="ja-JP"/>
        </w:rPr>
        <w:t>R</w:t>
      </w:r>
      <w:r w:rsidR="001701AB">
        <w:rPr>
          <w:lang w:eastAsia="ja-JP"/>
        </w:rPr>
        <w:t>ule</w:t>
      </w:r>
      <w:r w:rsidRPr="00D45B1A">
        <w:rPr>
          <w:lang w:eastAsia="ja-JP"/>
        </w:rPr>
        <w:t xml:space="preserve"> specifies that expenses accumulated in overhead cost centres for hotel services be allocated to final cost centres.</w:t>
      </w:r>
    </w:p>
    <w:p w14:paraId="52983009" w14:textId="77777777" w:rsidR="00DE5973" w:rsidRPr="00D45B1A" w:rsidRDefault="00DE5973" w:rsidP="00DE5973">
      <w:pPr>
        <w:pStyle w:val="Heading3"/>
      </w:pPr>
      <w:r w:rsidRPr="00D45B1A">
        <w:t>Objective</w:t>
      </w:r>
    </w:p>
    <w:p w14:paraId="33779BB1" w14:textId="77777777" w:rsidR="00DE5973" w:rsidRPr="00D45B1A" w:rsidRDefault="00DE5973" w:rsidP="00DE5973">
      <w:pPr>
        <w:rPr>
          <w:lang w:eastAsia="ja-JP"/>
        </w:rPr>
      </w:pPr>
      <w:r w:rsidRPr="00D45B1A">
        <w:rPr>
          <w:lang w:eastAsia="ja-JP"/>
        </w:rPr>
        <w:t>To ensure that all expenses accumulated in overhead centres relating to hotel services are allocated to final cost centres.</w:t>
      </w:r>
    </w:p>
    <w:p w14:paraId="0E9CA7A6" w14:textId="77777777" w:rsidR="00DE5973" w:rsidRPr="00D45B1A" w:rsidRDefault="00DE5973" w:rsidP="00DE5973">
      <w:pPr>
        <w:rPr>
          <w:lang w:eastAsia="ja-JP"/>
        </w:rPr>
      </w:pPr>
      <w:r w:rsidRPr="00D45B1A">
        <w:rPr>
          <w:lang w:eastAsia="ja-JP"/>
        </w:rPr>
        <w:t>To ensure that hotel services expenses remain visible after allocation to final cost centres.</w:t>
      </w:r>
    </w:p>
    <w:p w14:paraId="2AD856AF" w14:textId="3A9B2344" w:rsidR="00DE5973" w:rsidRPr="00D45B1A" w:rsidRDefault="001701AB" w:rsidP="00DE5973">
      <w:pPr>
        <w:pStyle w:val="Heading3"/>
      </w:pPr>
      <w:r>
        <w:t xml:space="preserve">Business </w:t>
      </w:r>
      <w:r w:rsidR="00F604EA">
        <w:t>R</w:t>
      </w:r>
      <w:r>
        <w:t>ule</w:t>
      </w:r>
    </w:p>
    <w:p w14:paraId="48824713" w14:textId="77777777" w:rsidR="00DE5973" w:rsidRPr="007D2CC8" w:rsidRDefault="00DE5973" w:rsidP="00DE5973">
      <w:pPr>
        <w:rPr>
          <w:lang w:eastAsia="ja-JP"/>
        </w:rPr>
      </w:pPr>
      <w:r w:rsidRPr="00D45B1A">
        <w:rPr>
          <w:lang w:eastAsia="ja-JP"/>
        </w:rPr>
        <w:t>Hotel service expenses are gene</w:t>
      </w:r>
      <w:r w:rsidRPr="007D2CC8">
        <w:rPr>
          <w:lang w:eastAsia="ja-JP"/>
        </w:rPr>
        <w:t>rally included in overhead cost centres.</w:t>
      </w:r>
    </w:p>
    <w:p w14:paraId="48ED7307" w14:textId="77777777" w:rsidR="00DE5973" w:rsidRPr="00DB0B85" w:rsidRDefault="00DE5973" w:rsidP="00DE5973">
      <w:pPr>
        <w:rPr>
          <w:lang w:eastAsia="ja-JP"/>
        </w:rPr>
      </w:pPr>
      <w:r w:rsidRPr="00DB0B85">
        <w:rPr>
          <w:lang w:eastAsia="ja-JP"/>
        </w:rPr>
        <w:t>Cost practitioners should define and map these cost centres as per Standard 2.1 Cost Ledger Framework</w:t>
      </w:r>
      <w:r w:rsidRPr="00DB0B85">
        <w:t>.</w:t>
      </w:r>
    </w:p>
    <w:p w14:paraId="5862A630" w14:textId="27BA11AB" w:rsidR="00DE5973" w:rsidRPr="007D2CC8" w:rsidRDefault="00DE5973" w:rsidP="00DE5973">
      <w:r w:rsidRPr="007D2CC8">
        <w:t xml:space="preserve">Cost practitioners should discuss with the appropriate </w:t>
      </w:r>
      <w:r>
        <w:t>staff members</w:t>
      </w:r>
      <w:r w:rsidRPr="007D2CC8">
        <w:t xml:space="preserve"> the most appropriate allocation statistic</w:t>
      </w:r>
      <w:r w:rsidR="002E574D">
        <w:t>s to be used in allocating the h</w:t>
      </w:r>
      <w:r w:rsidRPr="007D2CC8">
        <w:t>otel expenses.</w:t>
      </w:r>
    </w:p>
    <w:p w14:paraId="5B8E66B0" w14:textId="3C3F7957" w:rsidR="00DE5973" w:rsidRPr="007D2CC8" w:rsidRDefault="00DE5973" w:rsidP="00DE5973">
      <w:r w:rsidRPr="007D2CC8">
        <w:t xml:space="preserve">Costing practitioners should refer to the allocation statistics noted in </w:t>
      </w:r>
      <w:r>
        <w:t>Standard 4.2 Allocation of Expenses i</w:t>
      </w:r>
      <w:r w:rsidR="002E574D">
        <w:t>n overhead cost c</w:t>
      </w:r>
      <w:r>
        <w:t>entres</w:t>
      </w:r>
      <w:r w:rsidRPr="007D2CC8">
        <w:t xml:space="preserve"> as a guide to allocate the overhead expenses to final cost centres</w:t>
      </w:r>
      <w:r w:rsidRPr="007D2CC8">
        <w:rPr>
          <w:lang w:eastAsia="ja-JP"/>
        </w:rPr>
        <w:t>.</w:t>
      </w:r>
    </w:p>
    <w:p w14:paraId="01065352" w14:textId="77777777" w:rsidR="00DE5973" w:rsidRPr="007D2CC8" w:rsidRDefault="00DE5973" w:rsidP="00DE5973">
      <w:r w:rsidRPr="007D2CC8">
        <w:t>Where a hospital is able to identify hotel services that have been consumed directly by activity, they should seek to directly allocate these expenses for final products as per the direct cost centre allocations on utilisation data.</w:t>
      </w:r>
    </w:p>
    <w:p w14:paraId="6AB71B0C" w14:textId="36762A3A" w:rsidR="00DE5973" w:rsidRPr="007D2CC8" w:rsidRDefault="00DE5973" w:rsidP="00DE5973">
      <w:r w:rsidRPr="007D2CC8">
        <w:t xml:space="preserve">For example, if the hospital has a patient food ordering system, the cost of patient meals can be assigned directly to the ward cost centre. Where the patient food ordering system is integrated with the </w:t>
      </w:r>
      <w:r w:rsidR="002F6ADE">
        <w:t>p</w:t>
      </w:r>
      <w:r w:rsidRPr="007D2CC8">
        <w:t xml:space="preserve">atient </w:t>
      </w:r>
      <w:r w:rsidR="002F6ADE">
        <w:t>m</w:t>
      </w:r>
      <w:r w:rsidRPr="007D2CC8">
        <w:t xml:space="preserve">anagement </w:t>
      </w:r>
      <w:r w:rsidR="002F6ADE">
        <w:t>s</w:t>
      </w:r>
      <w:r w:rsidRPr="007D2CC8">
        <w:t>ystem and able to report patient level utilisation data, they should be allocated directly to the patient based on meal type and quantity.</w:t>
      </w:r>
    </w:p>
    <w:p w14:paraId="0D958649" w14:textId="77777777" w:rsidR="00DE5973" w:rsidRPr="007D2CC8" w:rsidRDefault="00DE5973" w:rsidP="00DE5973">
      <w:r w:rsidRPr="007D2CC8">
        <w:t xml:space="preserve">Where a hospital includes hotel services as commercial activities, </w:t>
      </w:r>
      <w:r w:rsidRPr="00F97E63">
        <w:t xml:space="preserve">costing practitioners should match the expenses to the activity (for example by reorganising the expenses or by mapping intermediate products) and ensure </w:t>
      </w:r>
      <w:r w:rsidRPr="007D2CC8">
        <w:t xml:space="preserve">that they are included and allocated to the relevant cost products. </w:t>
      </w:r>
    </w:p>
    <w:p w14:paraId="3C4D652D" w14:textId="518BD4C6" w:rsidR="00DE5973" w:rsidRDefault="00DE5973" w:rsidP="00DE5973">
      <w:r w:rsidRPr="00D45B1A">
        <w:t xml:space="preserve">This can be done by using </w:t>
      </w:r>
      <w:r w:rsidR="002F6ADE">
        <w:t>p</w:t>
      </w:r>
      <w:r w:rsidRPr="00D45B1A">
        <w:t xml:space="preserve">roduct fractions. See </w:t>
      </w:r>
      <w:r w:rsidR="002E574D">
        <w:t>Business R</w:t>
      </w:r>
      <w:r w:rsidR="001701AB">
        <w:t>ule</w:t>
      </w:r>
      <w:r>
        <w:t xml:space="preserve"> 2.1C Product Fractions.</w:t>
      </w:r>
    </w:p>
    <w:p w14:paraId="002F5435" w14:textId="77777777" w:rsidR="00DE5973" w:rsidRDefault="00DE5973" w:rsidP="00DE5973">
      <w:r>
        <w:t>Importantly for overhead allocation, the costing practitioner should ensure that these activities are not excluded from overhead allocations and that the relevant overheads are absorbed by these activities in the production of their services.</w:t>
      </w:r>
    </w:p>
    <w:p w14:paraId="32BE1519" w14:textId="77777777" w:rsidR="00DE5973" w:rsidRPr="00D45B1A" w:rsidRDefault="00DE5973" w:rsidP="00DE5973">
      <w:r>
        <w:t>Any removal of these services and relevant costs from final costed outputs or studies should include total costs incorporating both overhead and final costs.</w:t>
      </w:r>
    </w:p>
    <w:p w14:paraId="413C417E" w14:textId="77777777" w:rsidR="00DE5973" w:rsidRPr="00D45B1A" w:rsidRDefault="00DE5973" w:rsidP="00DE5973">
      <w:pPr>
        <w:rPr>
          <w:lang w:eastAsia="ja-JP"/>
        </w:rPr>
      </w:pPr>
      <w:r w:rsidRPr="00D45B1A">
        <w:rPr>
          <w:lang w:eastAsia="ja-JP"/>
        </w:rPr>
        <w:t>Cost practitioners should document the allocation statistics used for each Hotel overhead cost centre as part of the patient level costing process.</w:t>
      </w:r>
    </w:p>
    <w:p w14:paraId="3FA945BB" w14:textId="6D6D0D3F" w:rsidR="00DE5973" w:rsidRPr="00DB0B85" w:rsidRDefault="00DE5973" w:rsidP="00DE5973">
      <w:r w:rsidRPr="00DB0B85">
        <w:rPr>
          <w:lang w:eastAsia="ja-JP"/>
        </w:rPr>
        <w:lastRenderedPageBreak/>
        <w:t>Cost practitioners should ensure all hotel service expe</w:t>
      </w:r>
      <w:r w:rsidR="002E574D">
        <w:rPr>
          <w:lang w:eastAsia="ja-JP"/>
        </w:rPr>
        <w:t>nses are reported as line item h</w:t>
      </w:r>
      <w:r w:rsidRPr="00DB0B85">
        <w:rPr>
          <w:lang w:eastAsia="ja-JP"/>
        </w:rPr>
        <w:t>otel in the final cost centres, as specified in</w:t>
      </w:r>
      <w:r w:rsidRPr="00DB0B85">
        <w:t xml:space="preserve"> Standard 2.1 Cost Ledger Framework.</w:t>
      </w:r>
    </w:p>
    <w:p w14:paraId="5BE4F14C" w14:textId="77777777" w:rsidR="00DE5973" w:rsidRPr="00D45B1A" w:rsidRDefault="00DE5973" w:rsidP="00DE5973">
      <w:r w:rsidRPr="00D45B1A">
        <w:t xml:space="preserve">For reconciliation purposes, costing practitioners should ensure that expenses related to hotel services are specified as per </w:t>
      </w:r>
      <w:r w:rsidRPr="00F97E63">
        <w:t>Standard 6.2</w:t>
      </w:r>
      <w:r>
        <w:t xml:space="preserve"> </w:t>
      </w:r>
      <w:r w:rsidRPr="00F97E63">
        <w:t>Reconciliation to Source Data</w:t>
      </w:r>
      <w:r w:rsidRPr="00F97E63">
        <w:rPr>
          <w:lang w:eastAsia="ja-JP"/>
        </w:rPr>
        <w:t>.</w:t>
      </w:r>
      <w:r w:rsidRPr="00D45B1A">
        <w:br w:type="page"/>
      </w:r>
    </w:p>
    <w:p w14:paraId="7909CCB1" w14:textId="77777777" w:rsidR="00DE5973" w:rsidRPr="00B44515" w:rsidRDefault="00DE5973" w:rsidP="00DE5973">
      <w:pPr>
        <w:pStyle w:val="Heading2"/>
      </w:pPr>
      <w:bookmarkStart w:id="71" w:name="_Toc80348273"/>
      <w:r w:rsidRPr="00B44515">
        <w:lastRenderedPageBreak/>
        <w:t>Depreciation</w:t>
      </w:r>
      <w:bookmarkEnd w:id="71"/>
    </w:p>
    <w:p w14:paraId="07FEAB93" w14:textId="77777777" w:rsidR="00DE5973" w:rsidRPr="00D45B1A" w:rsidRDefault="00DE5973" w:rsidP="00DE5973">
      <w:pPr>
        <w:pStyle w:val="Heading3"/>
      </w:pPr>
      <w:r w:rsidRPr="00D45B1A">
        <w:t>Scope</w:t>
      </w:r>
    </w:p>
    <w:p w14:paraId="5008D0E3" w14:textId="296658C3" w:rsidR="00DE5973" w:rsidRPr="00D45B1A" w:rsidRDefault="00DE5973" w:rsidP="00DE5973">
      <w:pPr>
        <w:rPr>
          <w:bCs/>
        </w:rPr>
      </w:pPr>
      <w:r w:rsidRPr="00D45B1A">
        <w:rPr>
          <w:lang w:eastAsia="ja-JP"/>
        </w:rPr>
        <w:t xml:space="preserve">This </w:t>
      </w:r>
      <w:r w:rsidR="00F604EA">
        <w:rPr>
          <w:lang w:eastAsia="ja-JP"/>
        </w:rPr>
        <w:t>B</w:t>
      </w:r>
      <w:r w:rsidR="001701AB">
        <w:rPr>
          <w:lang w:eastAsia="ja-JP"/>
        </w:rPr>
        <w:t xml:space="preserve">usiness </w:t>
      </w:r>
      <w:r w:rsidR="00F604EA">
        <w:rPr>
          <w:lang w:eastAsia="ja-JP"/>
        </w:rPr>
        <w:t>R</w:t>
      </w:r>
      <w:r w:rsidR="001701AB">
        <w:rPr>
          <w:lang w:eastAsia="ja-JP"/>
        </w:rPr>
        <w:t>ule</w:t>
      </w:r>
      <w:r w:rsidRPr="00D45B1A">
        <w:rPr>
          <w:lang w:eastAsia="ja-JP"/>
        </w:rPr>
        <w:t xml:space="preserve"> specifies that expenses accumulated in overhead cost centres for depreciation be allocated to final cost centres.</w:t>
      </w:r>
    </w:p>
    <w:p w14:paraId="7D426DED" w14:textId="3049C620" w:rsidR="00DE5973" w:rsidRPr="00D45B1A" w:rsidRDefault="00DE5973" w:rsidP="00DE5973">
      <w:pPr>
        <w:rPr>
          <w:bCs/>
        </w:rPr>
      </w:pPr>
      <w:r w:rsidRPr="00D45B1A">
        <w:rPr>
          <w:lang w:eastAsia="ja-JP"/>
        </w:rPr>
        <w:t>This</w:t>
      </w:r>
      <w:r w:rsidR="001701AB">
        <w:rPr>
          <w:lang w:eastAsia="ja-JP"/>
        </w:rPr>
        <w:t xml:space="preserve"> rule</w:t>
      </w:r>
      <w:r w:rsidRPr="00D45B1A">
        <w:rPr>
          <w:lang w:eastAsia="ja-JP"/>
        </w:rPr>
        <w:t xml:space="preserve"> specifies the treatment of depreciation costs, once identified.</w:t>
      </w:r>
    </w:p>
    <w:p w14:paraId="788018A7" w14:textId="77777777" w:rsidR="00DE5973" w:rsidRPr="00D45B1A" w:rsidRDefault="00DE5973" w:rsidP="00DE5973">
      <w:pPr>
        <w:pStyle w:val="Heading3"/>
      </w:pPr>
      <w:r w:rsidRPr="00D45B1A">
        <w:t>Objective</w:t>
      </w:r>
    </w:p>
    <w:p w14:paraId="653EACBC" w14:textId="77777777" w:rsidR="00DE5973" w:rsidRPr="00D45B1A" w:rsidRDefault="00DE5973" w:rsidP="00DE5973">
      <w:pPr>
        <w:rPr>
          <w:lang w:eastAsia="ja-JP"/>
        </w:rPr>
      </w:pPr>
      <w:r w:rsidRPr="00D45B1A">
        <w:rPr>
          <w:lang w:eastAsia="ja-JP"/>
        </w:rPr>
        <w:t>To ensure that all expenses accumulated in overhead cost centres relating to depreciation are allocated to product cost centres to create final cost centres.</w:t>
      </w:r>
    </w:p>
    <w:p w14:paraId="3075A20E" w14:textId="77777777" w:rsidR="00DE5973" w:rsidRPr="00D45B1A" w:rsidRDefault="00DE5973" w:rsidP="00DE5973">
      <w:r w:rsidRPr="00D45B1A">
        <w:rPr>
          <w:lang w:eastAsia="ja-JP"/>
        </w:rPr>
        <w:t>To ensure that depreciation expenses remain visible after allocation to the relevant target departments</w:t>
      </w:r>
      <w:r w:rsidRPr="00D45B1A">
        <w:rPr>
          <w:b/>
          <w:lang w:eastAsia="ja-JP"/>
        </w:rPr>
        <w:t>.</w:t>
      </w:r>
    </w:p>
    <w:p w14:paraId="2BD6D34C" w14:textId="1942872E" w:rsidR="00DE5973" w:rsidRPr="00D45B1A" w:rsidRDefault="001701AB" w:rsidP="00DE5973">
      <w:pPr>
        <w:pStyle w:val="Heading3"/>
      </w:pPr>
      <w:r>
        <w:t xml:space="preserve">Business </w:t>
      </w:r>
      <w:r w:rsidR="00F604EA">
        <w:t>R</w:t>
      </w:r>
      <w:r>
        <w:t>ule</w:t>
      </w:r>
    </w:p>
    <w:p w14:paraId="6B74C6C6" w14:textId="77777777" w:rsidR="00DE5973" w:rsidRPr="00D45B1A" w:rsidRDefault="00DE5973" w:rsidP="00DE5973">
      <w:pPr>
        <w:rPr>
          <w:lang w:eastAsia="ja-JP"/>
        </w:rPr>
      </w:pPr>
      <w:r w:rsidRPr="00D45B1A">
        <w:rPr>
          <w:lang w:eastAsia="ja-JP"/>
        </w:rPr>
        <w:t>All depreciation (non-cash) expenses are within scope for patient costing purposes.</w:t>
      </w:r>
    </w:p>
    <w:p w14:paraId="79FA94A9" w14:textId="77777777" w:rsidR="00DE5973" w:rsidRDefault="00DE5973" w:rsidP="00DE5973">
      <w:pPr>
        <w:rPr>
          <w:lang w:eastAsia="ja-JP"/>
        </w:rPr>
      </w:pPr>
      <w:r w:rsidRPr="00D45B1A">
        <w:rPr>
          <w:lang w:eastAsia="ja-JP"/>
        </w:rPr>
        <w:t>Depreciation is deemed an overhead expense and will be allocated to the line item called depreciation at the final cost centre level.</w:t>
      </w:r>
    </w:p>
    <w:p w14:paraId="1D260577" w14:textId="1DF84830" w:rsidR="00DE5973" w:rsidRPr="00957D62" w:rsidRDefault="00DE5973" w:rsidP="00DE5973">
      <w:pPr>
        <w:rPr>
          <w:bCs/>
        </w:rPr>
      </w:pPr>
      <w:r w:rsidRPr="00D45B1A">
        <w:rPr>
          <w:lang w:eastAsia="ja-JP"/>
        </w:rPr>
        <w:t>Cost</w:t>
      </w:r>
      <w:r w:rsidRPr="00D45B1A">
        <w:t xml:space="preserve"> practitioners should </w:t>
      </w:r>
      <w:r>
        <w:t xml:space="preserve">also </w:t>
      </w:r>
      <w:r w:rsidRPr="00D45B1A">
        <w:t xml:space="preserve">map </w:t>
      </w:r>
      <w:r w:rsidR="002F6ADE">
        <w:t>d</w:t>
      </w:r>
      <w:r w:rsidRPr="00D45B1A">
        <w:t xml:space="preserve">epreciation into the relevant </w:t>
      </w:r>
      <w:r w:rsidR="002F6ADE">
        <w:t>a</w:t>
      </w:r>
      <w:r w:rsidRPr="00D45B1A">
        <w:t xml:space="preserve">ccount </w:t>
      </w:r>
      <w:r w:rsidR="002F6ADE">
        <w:t>c</w:t>
      </w:r>
      <w:r w:rsidRPr="00D45B1A">
        <w:t xml:space="preserve">ode </w:t>
      </w:r>
      <w:r w:rsidR="002F6ADE">
        <w:t>l</w:t>
      </w:r>
      <w:r w:rsidRPr="00957D62">
        <w:t xml:space="preserve">ine </w:t>
      </w:r>
      <w:r w:rsidR="002F6ADE">
        <w:t>i</w:t>
      </w:r>
      <w:r w:rsidR="002E574D">
        <w:t>tems, such as buildings, e</w:t>
      </w:r>
      <w:r w:rsidRPr="00957D62">
        <w:t xml:space="preserve">quipment and </w:t>
      </w:r>
      <w:r w:rsidR="002E574D">
        <w:t>r</w:t>
      </w:r>
      <w:r w:rsidR="008D2DA6" w:rsidRPr="00957D62">
        <w:t>ight-of-use</w:t>
      </w:r>
      <w:r w:rsidR="005D5E63" w:rsidRPr="00957D62">
        <w:t xml:space="preserve"> asset</w:t>
      </w:r>
      <w:r w:rsidRPr="00957D62">
        <w:t>.</w:t>
      </w:r>
    </w:p>
    <w:p w14:paraId="56AC79A0" w14:textId="0E1EB48B" w:rsidR="00DE5973" w:rsidRPr="00D45B1A" w:rsidRDefault="00DE5973" w:rsidP="00DE5973">
      <w:pPr>
        <w:rPr>
          <w:lang w:eastAsia="ja-JP"/>
        </w:rPr>
      </w:pPr>
      <w:r w:rsidRPr="00BA13B1">
        <w:t>Where depreciation ex</w:t>
      </w:r>
      <w:r w:rsidR="002E574D">
        <w:t>penses are included in account c</w:t>
      </w:r>
      <w:r w:rsidRPr="00BA13B1">
        <w:t>odes other than one specially assigned for the purpose, costing practitioners should adjust and re-catego</w:t>
      </w:r>
      <w:r w:rsidR="002E574D">
        <w:t>rise these expenses to account c</w:t>
      </w:r>
      <w:r w:rsidRPr="00BA13B1">
        <w:t>odes that will be mapped to the appropriate depreciation related line items. For exam</w:t>
      </w:r>
      <w:r w:rsidRPr="00D45B1A">
        <w:t>ple, if corporate cost includes depreciation on a vehicle, or</w:t>
      </w:r>
      <w:r w:rsidR="00156EA3">
        <w:t xml:space="preserve"> a </w:t>
      </w:r>
      <w:r w:rsidR="00F41CA1">
        <w:t>r</w:t>
      </w:r>
      <w:r w:rsidR="00156EA3">
        <w:t>ight-of-use asset</w:t>
      </w:r>
      <w:r w:rsidR="003C11E6">
        <w:t xml:space="preserve"> relating to leased equipment</w:t>
      </w:r>
      <w:r w:rsidRPr="00D45B1A">
        <w:t>, these should be adjusted and reclassed to the appropriate depreciation line item</w:t>
      </w:r>
      <w:r>
        <w:t>.</w:t>
      </w:r>
    </w:p>
    <w:p w14:paraId="31C2CF56" w14:textId="77777777" w:rsidR="00DE5973" w:rsidRPr="00D45B1A" w:rsidRDefault="00DE5973" w:rsidP="00DE5973">
      <w:r w:rsidRPr="00D45B1A">
        <w:t>Costing practitioners should obtain jurisdictional advice with regards to the treatment of depreciation (including its scope, where it is reported and the method adopted) for its own jurisdictional reporting purposes.</w:t>
      </w:r>
    </w:p>
    <w:p w14:paraId="1998D26A" w14:textId="77777777" w:rsidR="00DE5973" w:rsidRPr="00D45B1A" w:rsidRDefault="00DE5973" w:rsidP="00DE5973">
      <w:r w:rsidRPr="00D45B1A">
        <w:t>Costing practitioners should also be aware of the requirements for other purposes such as national reporting requirements.</w:t>
      </w:r>
    </w:p>
    <w:p w14:paraId="16CCDA84" w14:textId="3D87EA42" w:rsidR="00DE5973" w:rsidRPr="00D45B1A" w:rsidRDefault="00DE5973" w:rsidP="00DE5973">
      <w:r w:rsidRPr="00D45B1A">
        <w:t>Costing practi</w:t>
      </w:r>
      <w:r w:rsidR="002E574D">
        <w:t>tioners should meet with their f</w:t>
      </w:r>
      <w:r w:rsidRPr="00D45B1A">
        <w:t xml:space="preserve">inance </w:t>
      </w:r>
      <w:r>
        <w:t>staff</w:t>
      </w:r>
      <w:r w:rsidRPr="00D45B1A">
        <w:t xml:space="preserve"> to understand how depreciation is handled within the general ledger.</w:t>
      </w:r>
    </w:p>
    <w:p w14:paraId="4BE7C1A9" w14:textId="77777777" w:rsidR="00DE5973" w:rsidRDefault="00DE5973" w:rsidP="00DE5973">
      <w:pPr>
        <w:rPr>
          <w:lang w:eastAsia="ja-JP"/>
        </w:rPr>
      </w:pPr>
      <w:r w:rsidRPr="00D45B1A">
        <w:t xml:space="preserve">For patient level costing purposes, the allocation methods for depreciation are </w:t>
      </w:r>
      <w:r>
        <w:t>described below:</w:t>
      </w:r>
    </w:p>
    <w:p w14:paraId="14FD43B8" w14:textId="77777777" w:rsidR="00DE5973" w:rsidRPr="00857E46" w:rsidRDefault="00DE5973" w:rsidP="00DE5973">
      <w:pPr>
        <w:numPr>
          <w:ilvl w:val="0"/>
          <w:numId w:val="0"/>
        </w:numPr>
        <w:ind w:left="1843"/>
        <w:rPr>
          <w:b/>
        </w:rPr>
      </w:pPr>
      <w:r>
        <w:rPr>
          <w:b/>
        </w:rPr>
        <w:t>Allocate</w:t>
      </w:r>
      <w:r w:rsidRPr="00857E46">
        <w:rPr>
          <w:b/>
        </w:rPr>
        <w:t xml:space="preserve"> depreciation in cost centres to</w:t>
      </w:r>
      <w:r>
        <w:rPr>
          <w:b/>
        </w:rPr>
        <w:t xml:space="preserve"> final or overhead cost centres</w:t>
      </w:r>
    </w:p>
    <w:p w14:paraId="531B9CB8" w14:textId="77777777" w:rsidR="00DE5973" w:rsidRPr="00D45B1A" w:rsidRDefault="00DE5973" w:rsidP="00DE5973">
      <w:r w:rsidRPr="00D45B1A">
        <w:t xml:space="preserve">Depreciation reported in cost centres should be allocated to final or overhead cost centres (based on an appropriate allocation statistic or actual general ledger cost assigned to the production cost centre through a general ledger transaction, where appropriate). </w:t>
      </w:r>
    </w:p>
    <w:p w14:paraId="6558257E" w14:textId="77777777" w:rsidR="00DE5973" w:rsidRPr="00D45B1A" w:rsidRDefault="00DE5973" w:rsidP="00DE5973">
      <w:r w:rsidRPr="00D45B1A">
        <w:t>Where depreciation is included in capital cost centres, this expense should be identified and costing practitioners should transfer these expenses to the appropriate central cost centre and depreciation related line items.</w:t>
      </w:r>
    </w:p>
    <w:p w14:paraId="01A34D23" w14:textId="77777777" w:rsidR="00DE5973" w:rsidRPr="00D45B1A" w:rsidRDefault="00DE5973" w:rsidP="00DE5973">
      <w:r w:rsidRPr="00D45B1A">
        <w:lastRenderedPageBreak/>
        <w:t xml:space="preserve">Once depreciation has been identified and assigned to the appropriate cost centres, costing practitioners should allocate these expenses to overhead or final cost centres using the most suitable allocation statistic or volume driver. </w:t>
      </w:r>
    </w:p>
    <w:p w14:paraId="70D2DC94" w14:textId="16BC8784" w:rsidR="00DE5973" w:rsidRPr="002E574D" w:rsidRDefault="00DE5973" w:rsidP="00DE5973">
      <w:pPr>
        <w:numPr>
          <w:ilvl w:val="0"/>
          <w:numId w:val="0"/>
        </w:numPr>
        <w:ind w:left="1843"/>
        <w:rPr>
          <w:b/>
          <w:color w:val="008542"/>
        </w:rPr>
      </w:pPr>
      <w:r w:rsidRPr="002E574D">
        <w:rPr>
          <w:b/>
          <w:color w:val="008542"/>
        </w:rPr>
        <w:t xml:space="preserve">Depreciation </w:t>
      </w:r>
      <w:r w:rsidR="002E574D">
        <w:rPr>
          <w:b/>
          <w:color w:val="008542"/>
        </w:rPr>
        <w:t>e</w:t>
      </w:r>
      <w:r w:rsidRPr="002E574D">
        <w:rPr>
          <w:b/>
          <w:color w:val="008542"/>
        </w:rPr>
        <w:t>xamples</w:t>
      </w:r>
    </w:p>
    <w:p w14:paraId="646501B1" w14:textId="77777777" w:rsidR="00DE5973" w:rsidRPr="00D45B1A" w:rsidRDefault="00DE5973" w:rsidP="00DE5973">
      <w:r w:rsidRPr="00D45B1A">
        <w:t xml:space="preserve">Costing practitioners should meet with their appropriate </w:t>
      </w:r>
      <w:r>
        <w:t>f</w:t>
      </w:r>
      <w:r w:rsidRPr="00D45B1A">
        <w:t xml:space="preserve">inance </w:t>
      </w:r>
      <w:r>
        <w:t>staff</w:t>
      </w:r>
      <w:r w:rsidRPr="00D45B1A">
        <w:t xml:space="preserve"> to discuss the most appropriate methods of identifying and allocating depreciation expenses to relevant overhead and final cost centres.</w:t>
      </w:r>
    </w:p>
    <w:p w14:paraId="11FEC622" w14:textId="66667382" w:rsidR="00DE5973" w:rsidRPr="00D45B1A" w:rsidRDefault="00DE5973" w:rsidP="00DE5973">
      <w:r w:rsidRPr="00D45B1A">
        <w:t xml:space="preserve">For example, a hospital wishes to allocate $45,000 of depreciation expense reported in the </w:t>
      </w:r>
      <w:r w:rsidR="00D215F6">
        <w:t>f</w:t>
      </w:r>
      <w:r w:rsidRPr="00D45B1A">
        <w:t xml:space="preserve">inance </w:t>
      </w:r>
      <w:r w:rsidR="00D215F6">
        <w:t>d</w:t>
      </w:r>
      <w:r w:rsidRPr="00D45B1A">
        <w:t xml:space="preserve">epartment cost centre for its three ventilator machines residing in the </w:t>
      </w:r>
      <w:r w:rsidR="00D215F6">
        <w:t>e</w:t>
      </w:r>
      <w:r w:rsidRPr="00D45B1A">
        <w:t xml:space="preserve">mergency </w:t>
      </w:r>
      <w:r w:rsidR="00D215F6">
        <w:t>d</w:t>
      </w:r>
      <w:r w:rsidRPr="00D45B1A">
        <w:t xml:space="preserve">epartment (ED) and the </w:t>
      </w:r>
      <w:r w:rsidR="00D215F6">
        <w:t>i</w:t>
      </w:r>
      <w:r w:rsidRPr="00D45B1A">
        <w:t xml:space="preserve">ntensive </w:t>
      </w:r>
      <w:r w:rsidR="00D215F6">
        <w:t>c</w:t>
      </w:r>
      <w:r w:rsidRPr="00D45B1A">
        <w:t xml:space="preserve">are </w:t>
      </w:r>
      <w:r w:rsidR="00D215F6">
        <w:t>u</w:t>
      </w:r>
      <w:r w:rsidRPr="00D45B1A">
        <w:t xml:space="preserve">nit (ICU). </w:t>
      </w:r>
    </w:p>
    <w:p w14:paraId="7603D03A" w14:textId="596C589E" w:rsidR="00DE5973" w:rsidRPr="00D45B1A" w:rsidRDefault="00DE5973" w:rsidP="00DE5973">
      <w:r w:rsidRPr="002E574D">
        <w:rPr>
          <w:b/>
        </w:rPr>
        <w:t>Scenario 1:</w:t>
      </w:r>
      <w:r w:rsidRPr="00D45B1A">
        <w:t xml:space="preserve"> The location of each machine is known as well as the co</w:t>
      </w:r>
      <w:r w:rsidR="002E574D">
        <w:t>rresponding depreciation amount</w:t>
      </w:r>
    </w:p>
    <w:tbl>
      <w:tblPr>
        <w:tblStyle w:val="LightShading"/>
        <w:tblW w:w="7796" w:type="dxa"/>
        <w:tblInd w:w="1951" w:type="dxa"/>
        <w:tblLook w:val="0620" w:firstRow="1" w:lastRow="0" w:firstColumn="0" w:lastColumn="0" w:noHBand="1" w:noVBand="1"/>
        <w:tblDescription w:val="Table with column headings Ventilator, Depreciation and Location."/>
      </w:tblPr>
      <w:tblGrid>
        <w:gridCol w:w="2598"/>
        <w:gridCol w:w="2599"/>
        <w:gridCol w:w="2599"/>
      </w:tblGrid>
      <w:tr w:rsidR="00DE5973" w:rsidRPr="00D45B1A" w14:paraId="29C545FF" w14:textId="77777777" w:rsidTr="00AF16ED">
        <w:trPr>
          <w:cnfStyle w:val="100000000000" w:firstRow="1" w:lastRow="0" w:firstColumn="0" w:lastColumn="0" w:oddVBand="0" w:evenVBand="0" w:oddHBand="0" w:evenHBand="0" w:firstRowFirstColumn="0" w:firstRowLastColumn="0" w:lastRowFirstColumn="0" w:lastRowLastColumn="0"/>
          <w:tblHeader/>
        </w:trPr>
        <w:tc>
          <w:tcPr>
            <w:tcW w:w="2598" w:type="dxa"/>
          </w:tcPr>
          <w:p w14:paraId="0B584506" w14:textId="77777777" w:rsidR="00DE5973" w:rsidRPr="00D45B1A" w:rsidRDefault="00DE5973" w:rsidP="00CC39C1">
            <w:pPr>
              <w:pStyle w:val="TableText"/>
            </w:pPr>
            <w:r w:rsidRPr="00D45B1A">
              <w:t>Ventilator</w:t>
            </w:r>
          </w:p>
        </w:tc>
        <w:tc>
          <w:tcPr>
            <w:tcW w:w="2599" w:type="dxa"/>
          </w:tcPr>
          <w:p w14:paraId="545CA5B6" w14:textId="77777777" w:rsidR="00DE5973" w:rsidRPr="00D45B1A" w:rsidRDefault="00DE5973" w:rsidP="00CC39C1">
            <w:pPr>
              <w:pStyle w:val="TableText"/>
            </w:pPr>
            <w:r w:rsidRPr="00D45B1A">
              <w:t>Depreciation</w:t>
            </w:r>
          </w:p>
        </w:tc>
        <w:tc>
          <w:tcPr>
            <w:tcW w:w="2599" w:type="dxa"/>
          </w:tcPr>
          <w:p w14:paraId="014E093E" w14:textId="77777777" w:rsidR="00DE5973" w:rsidRPr="00D45B1A" w:rsidRDefault="00DE5973" w:rsidP="00CC39C1">
            <w:pPr>
              <w:pStyle w:val="TableText"/>
            </w:pPr>
            <w:r w:rsidRPr="00D45B1A">
              <w:t xml:space="preserve">Location </w:t>
            </w:r>
          </w:p>
        </w:tc>
      </w:tr>
      <w:tr w:rsidR="00DE5973" w:rsidRPr="00D45B1A" w14:paraId="20AF26B7" w14:textId="77777777" w:rsidTr="00CC39C1">
        <w:tc>
          <w:tcPr>
            <w:tcW w:w="2598" w:type="dxa"/>
          </w:tcPr>
          <w:p w14:paraId="101B2381" w14:textId="77777777" w:rsidR="00DE5973" w:rsidRPr="00D45B1A" w:rsidRDefault="00DE5973" w:rsidP="00CC39C1">
            <w:pPr>
              <w:pStyle w:val="TableText"/>
            </w:pPr>
            <w:r w:rsidRPr="00D45B1A">
              <w:t>Ventilator A</w:t>
            </w:r>
          </w:p>
        </w:tc>
        <w:tc>
          <w:tcPr>
            <w:tcW w:w="2599" w:type="dxa"/>
          </w:tcPr>
          <w:p w14:paraId="7C2DBF00" w14:textId="77777777" w:rsidR="00DE5973" w:rsidRPr="00D45B1A" w:rsidRDefault="00DE5973" w:rsidP="00CC39C1">
            <w:pPr>
              <w:pStyle w:val="TableText"/>
            </w:pPr>
            <w:r w:rsidRPr="00D45B1A">
              <w:t>$10,000</w:t>
            </w:r>
          </w:p>
        </w:tc>
        <w:tc>
          <w:tcPr>
            <w:tcW w:w="2599" w:type="dxa"/>
          </w:tcPr>
          <w:p w14:paraId="02054EDD" w14:textId="77777777" w:rsidR="00DE5973" w:rsidRPr="00D45B1A" w:rsidRDefault="00DE5973" w:rsidP="00CC39C1">
            <w:pPr>
              <w:pStyle w:val="TableText"/>
            </w:pPr>
            <w:r w:rsidRPr="00D45B1A">
              <w:t>ICU</w:t>
            </w:r>
          </w:p>
        </w:tc>
      </w:tr>
      <w:tr w:rsidR="00DE5973" w:rsidRPr="00D45B1A" w14:paraId="4BD86F2A" w14:textId="77777777" w:rsidTr="00CC39C1">
        <w:trPr>
          <w:trHeight w:val="87"/>
        </w:trPr>
        <w:tc>
          <w:tcPr>
            <w:tcW w:w="2598" w:type="dxa"/>
          </w:tcPr>
          <w:p w14:paraId="7A6CF752" w14:textId="77777777" w:rsidR="00DE5973" w:rsidRPr="00D45B1A" w:rsidRDefault="00DE5973" w:rsidP="00CC39C1">
            <w:pPr>
              <w:pStyle w:val="TableText"/>
            </w:pPr>
            <w:r w:rsidRPr="00D45B1A">
              <w:t>Ventilator B</w:t>
            </w:r>
          </w:p>
        </w:tc>
        <w:tc>
          <w:tcPr>
            <w:tcW w:w="2599" w:type="dxa"/>
          </w:tcPr>
          <w:p w14:paraId="41590883" w14:textId="77777777" w:rsidR="00DE5973" w:rsidRPr="00D45B1A" w:rsidRDefault="00DE5973" w:rsidP="00CC39C1">
            <w:pPr>
              <w:pStyle w:val="TableText"/>
            </w:pPr>
            <w:r w:rsidRPr="00D45B1A">
              <w:t>$15,000</w:t>
            </w:r>
          </w:p>
        </w:tc>
        <w:tc>
          <w:tcPr>
            <w:tcW w:w="2599" w:type="dxa"/>
          </w:tcPr>
          <w:p w14:paraId="0FA86FDF" w14:textId="77777777" w:rsidR="00DE5973" w:rsidRPr="00D45B1A" w:rsidRDefault="00DE5973" w:rsidP="00CC39C1">
            <w:pPr>
              <w:pStyle w:val="TableText"/>
            </w:pPr>
            <w:r w:rsidRPr="00D45B1A">
              <w:t>ICU</w:t>
            </w:r>
          </w:p>
        </w:tc>
      </w:tr>
      <w:tr w:rsidR="00DE5973" w:rsidRPr="00D45B1A" w14:paraId="7A582C62" w14:textId="77777777" w:rsidTr="00CC39C1">
        <w:tc>
          <w:tcPr>
            <w:tcW w:w="2598" w:type="dxa"/>
          </w:tcPr>
          <w:p w14:paraId="492D7E17" w14:textId="77777777" w:rsidR="00DE5973" w:rsidRPr="00D45B1A" w:rsidRDefault="00DE5973" w:rsidP="00CC39C1">
            <w:pPr>
              <w:pStyle w:val="TableText"/>
            </w:pPr>
            <w:r w:rsidRPr="00D45B1A">
              <w:t>Ventilator C</w:t>
            </w:r>
          </w:p>
        </w:tc>
        <w:tc>
          <w:tcPr>
            <w:tcW w:w="2599" w:type="dxa"/>
          </w:tcPr>
          <w:p w14:paraId="714B1E68" w14:textId="77777777" w:rsidR="00DE5973" w:rsidRPr="00D45B1A" w:rsidRDefault="00DE5973" w:rsidP="00CC39C1">
            <w:pPr>
              <w:pStyle w:val="TableText"/>
            </w:pPr>
            <w:r w:rsidRPr="00D45B1A">
              <w:t>$20,000</w:t>
            </w:r>
          </w:p>
        </w:tc>
        <w:tc>
          <w:tcPr>
            <w:tcW w:w="2599" w:type="dxa"/>
          </w:tcPr>
          <w:p w14:paraId="69DA64C1" w14:textId="77777777" w:rsidR="00DE5973" w:rsidRPr="00D45B1A" w:rsidRDefault="00DE5973" w:rsidP="00CC39C1">
            <w:pPr>
              <w:pStyle w:val="TableText"/>
            </w:pPr>
            <w:r w:rsidRPr="00D45B1A">
              <w:t>ED</w:t>
            </w:r>
          </w:p>
        </w:tc>
      </w:tr>
    </w:tbl>
    <w:p w14:paraId="23AB9780" w14:textId="77777777" w:rsidR="00DE5973" w:rsidRPr="00D45B1A" w:rsidRDefault="00DE5973" w:rsidP="00DE5973">
      <w:pPr>
        <w:numPr>
          <w:ilvl w:val="0"/>
          <w:numId w:val="0"/>
        </w:numPr>
        <w:ind w:left="1843"/>
      </w:pPr>
      <w:r w:rsidRPr="00D45B1A">
        <w:t>Under this scenario, of the $45,000 reported in the finance cost centre, ICU will be allocated (or transferred) $25,000 (= $10,000 + $15,000) and ED will be allocated $20,000.</w:t>
      </w:r>
    </w:p>
    <w:p w14:paraId="08DFD28F" w14:textId="77777777" w:rsidR="00DE5973" w:rsidRPr="00D45B1A" w:rsidRDefault="00DE5973" w:rsidP="00DE5973">
      <w:r w:rsidRPr="002E574D">
        <w:rPr>
          <w:b/>
        </w:rPr>
        <w:t>Scenario 2:</w:t>
      </w:r>
      <w:r w:rsidRPr="00695FA0">
        <w:rPr>
          <w:b/>
          <w:color w:val="5C9935" w:themeColor="accent3" w:themeShade="BF"/>
        </w:rPr>
        <w:t xml:space="preserve"> </w:t>
      </w:r>
      <w:r w:rsidRPr="00D45B1A">
        <w:t>The location of each machine is known but not the corresponding depreciation amount</w:t>
      </w:r>
    </w:p>
    <w:tbl>
      <w:tblPr>
        <w:tblStyle w:val="LightShading"/>
        <w:tblW w:w="7796" w:type="dxa"/>
        <w:tblInd w:w="1951" w:type="dxa"/>
        <w:tblLook w:val="0620" w:firstRow="1" w:lastRow="0" w:firstColumn="0" w:lastColumn="0" w:noHBand="1" w:noVBand="1"/>
        <w:tblDescription w:val="Table with column headings Location/ Department and Number of ventilators."/>
      </w:tblPr>
      <w:tblGrid>
        <w:gridCol w:w="3898"/>
        <w:gridCol w:w="3898"/>
      </w:tblGrid>
      <w:tr w:rsidR="00DE5973" w:rsidRPr="00D45B1A" w14:paraId="7E1776E0" w14:textId="77777777" w:rsidTr="0064124E">
        <w:trPr>
          <w:cnfStyle w:val="100000000000" w:firstRow="1" w:lastRow="0" w:firstColumn="0" w:lastColumn="0" w:oddVBand="0" w:evenVBand="0" w:oddHBand="0" w:evenHBand="0" w:firstRowFirstColumn="0" w:firstRowLastColumn="0" w:lastRowFirstColumn="0" w:lastRowLastColumn="0"/>
          <w:tblHeader/>
        </w:trPr>
        <w:tc>
          <w:tcPr>
            <w:tcW w:w="3898" w:type="dxa"/>
          </w:tcPr>
          <w:p w14:paraId="0D9D6F40" w14:textId="036A303A" w:rsidR="00DE5973" w:rsidRPr="00D45B1A" w:rsidRDefault="00DE5973" w:rsidP="00CC39C1">
            <w:pPr>
              <w:pStyle w:val="TableText"/>
              <w:ind w:left="34"/>
            </w:pPr>
            <w:r w:rsidRPr="00D45B1A">
              <w:t>Location</w:t>
            </w:r>
            <w:r w:rsidR="001701AB">
              <w:t>/</w:t>
            </w:r>
            <w:r w:rsidR="00D215F6">
              <w:t>d</w:t>
            </w:r>
            <w:r w:rsidRPr="00D45B1A">
              <w:t>epartment</w:t>
            </w:r>
          </w:p>
        </w:tc>
        <w:tc>
          <w:tcPr>
            <w:tcW w:w="3898" w:type="dxa"/>
          </w:tcPr>
          <w:p w14:paraId="6BC19FAC" w14:textId="77777777" w:rsidR="00DE5973" w:rsidRPr="00D45B1A" w:rsidRDefault="00DE5973" w:rsidP="00CC39C1">
            <w:pPr>
              <w:pStyle w:val="TableText"/>
            </w:pPr>
            <w:r w:rsidRPr="00D45B1A">
              <w:t xml:space="preserve">Number of ventilators </w:t>
            </w:r>
          </w:p>
        </w:tc>
      </w:tr>
      <w:tr w:rsidR="00DE5973" w:rsidRPr="00D45B1A" w14:paraId="3074A904" w14:textId="77777777" w:rsidTr="00CC39C1">
        <w:tc>
          <w:tcPr>
            <w:tcW w:w="3898" w:type="dxa"/>
          </w:tcPr>
          <w:p w14:paraId="65387711" w14:textId="77777777" w:rsidR="00DE5973" w:rsidRPr="00D45B1A" w:rsidRDefault="00DE5973" w:rsidP="00CC39C1">
            <w:pPr>
              <w:pStyle w:val="TableText"/>
              <w:ind w:left="34"/>
            </w:pPr>
            <w:r w:rsidRPr="00D45B1A">
              <w:t>ICU</w:t>
            </w:r>
          </w:p>
        </w:tc>
        <w:tc>
          <w:tcPr>
            <w:tcW w:w="3898" w:type="dxa"/>
          </w:tcPr>
          <w:p w14:paraId="423CC594" w14:textId="77777777" w:rsidR="00DE5973" w:rsidRPr="00D45B1A" w:rsidRDefault="00DE5973" w:rsidP="00CC39C1">
            <w:pPr>
              <w:pStyle w:val="TableText"/>
            </w:pPr>
            <w:r w:rsidRPr="00D45B1A">
              <w:t>2</w:t>
            </w:r>
          </w:p>
        </w:tc>
      </w:tr>
      <w:tr w:rsidR="00DE5973" w:rsidRPr="00D45B1A" w14:paraId="3DB6EB09" w14:textId="77777777" w:rsidTr="00CC39C1">
        <w:tc>
          <w:tcPr>
            <w:tcW w:w="3898" w:type="dxa"/>
          </w:tcPr>
          <w:p w14:paraId="0684C7A9" w14:textId="77777777" w:rsidR="00DE5973" w:rsidRPr="00D45B1A" w:rsidRDefault="00DE5973" w:rsidP="00CC39C1">
            <w:pPr>
              <w:pStyle w:val="TableText"/>
              <w:ind w:left="34"/>
            </w:pPr>
            <w:r w:rsidRPr="00D45B1A">
              <w:t>ED</w:t>
            </w:r>
          </w:p>
        </w:tc>
        <w:tc>
          <w:tcPr>
            <w:tcW w:w="3898" w:type="dxa"/>
          </w:tcPr>
          <w:p w14:paraId="2EEC63A1" w14:textId="77777777" w:rsidR="00DE5973" w:rsidRPr="00D45B1A" w:rsidRDefault="00DE5973" w:rsidP="00CC39C1">
            <w:pPr>
              <w:pStyle w:val="TableText"/>
            </w:pPr>
            <w:r w:rsidRPr="00D45B1A">
              <w:t>1</w:t>
            </w:r>
          </w:p>
        </w:tc>
      </w:tr>
    </w:tbl>
    <w:p w14:paraId="2D63800D" w14:textId="77777777" w:rsidR="00DE5973" w:rsidRPr="00D45B1A" w:rsidRDefault="00DE5973" w:rsidP="00DE5973">
      <w:pPr>
        <w:numPr>
          <w:ilvl w:val="0"/>
          <w:numId w:val="0"/>
        </w:numPr>
        <w:ind w:left="1843"/>
      </w:pPr>
      <w:r w:rsidRPr="00D45B1A">
        <w:t>Under this scenario, of the $45,000 reported in the finance cost centre, ICU will be allocated $30,000 (= 2/3 X $45,000) and ED will be allocated $15,000.</w:t>
      </w:r>
    </w:p>
    <w:p w14:paraId="5D344D03" w14:textId="0D620393" w:rsidR="00DE5973" w:rsidRDefault="00DE5973" w:rsidP="00DE5973">
      <w:r w:rsidRPr="002E574D">
        <w:rPr>
          <w:b/>
        </w:rPr>
        <w:t>Scenario 3:</w:t>
      </w:r>
      <w:r w:rsidRPr="00695FA0">
        <w:rPr>
          <w:b/>
          <w:color w:val="5C9935" w:themeColor="accent3" w:themeShade="BF"/>
        </w:rPr>
        <w:t xml:space="preserve"> </w:t>
      </w:r>
      <w:r w:rsidRPr="00695FA0">
        <w:t>The location of the machines is known, but not their n</w:t>
      </w:r>
      <w:r w:rsidR="002E574D">
        <w:t>umber</w:t>
      </w:r>
      <w:r w:rsidRPr="00D45B1A">
        <w:t xml:space="preserve"> </w:t>
      </w:r>
    </w:p>
    <w:p w14:paraId="3A7B4136" w14:textId="34E25DD7" w:rsidR="00DE5973" w:rsidRPr="00D45B1A" w:rsidRDefault="00DE5973" w:rsidP="00DE5973">
      <w:pPr>
        <w:numPr>
          <w:ilvl w:val="0"/>
          <w:numId w:val="0"/>
        </w:numPr>
        <w:ind w:left="1843"/>
      </w:pPr>
      <w:r w:rsidRPr="00D45B1A">
        <w:t xml:space="preserve">Occupied </w:t>
      </w:r>
      <w:r w:rsidR="00B720FB">
        <w:t>b</w:t>
      </w:r>
      <w:r w:rsidRPr="00D45B1A">
        <w:t xml:space="preserve">ed </w:t>
      </w:r>
      <w:r w:rsidR="00B720FB">
        <w:t>d</w:t>
      </w:r>
      <w:r w:rsidRPr="00D45B1A">
        <w:t>ays (OBD) is used as a proxy to transfer depreciation expenses from the finance cost centres to departmental cost centres.</w:t>
      </w:r>
    </w:p>
    <w:tbl>
      <w:tblPr>
        <w:tblStyle w:val="LightShading"/>
        <w:tblW w:w="7796" w:type="dxa"/>
        <w:tblInd w:w="1951" w:type="dxa"/>
        <w:tblLook w:val="0620" w:firstRow="1" w:lastRow="0" w:firstColumn="0" w:lastColumn="0" w:noHBand="1" w:noVBand="1"/>
        <w:tblDescription w:val="Table with column headings Location/Department and Occuplied bed days."/>
      </w:tblPr>
      <w:tblGrid>
        <w:gridCol w:w="3898"/>
        <w:gridCol w:w="3898"/>
      </w:tblGrid>
      <w:tr w:rsidR="00DE5973" w:rsidRPr="00D45B1A" w14:paraId="4499CC79" w14:textId="77777777" w:rsidTr="0064124E">
        <w:trPr>
          <w:cnfStyle w:val="100000000000" w:firstRow="1" w:lastRow="0" w:firstColumn="0" w:lastColumn="0" w:oddVBand="0" w:evenVBand="0" w:oddHBand="0" w:evenHBand="0" w:firstRowFirstColumn="0" w:firstRowLastColumn="0" w:lastRowFirstColumn="0" w:lastRowLastColumn="0"/>
          <w:tblHeader/>
        </w:trPr>
        <w:tc>
          <w:tcPr>
            <w:tcW w:w="3898" w:type="dxa"/>
          </w:tcPr>
          <w:p w14:paraId="25817548" w14:textId="6B36C613" w:rsidR="00DE5973" w:rsidRPr="00D45B1A" w:rsidRDefault="00DE5973" w:rsidP="00CC39C1">
            <w:pPr>
              <w:pStyle w:val="TableText"/>
            </w:pPr>
            <w:r w:rsidRPr="00D45B1A">
              <w:t>Location/</w:t>
            </w:r>
            <w:r w:rsidR="00D215F6">
              <w:t>d</w:t>
            </w:r>
            <w:r w:rsidRPr="00D45B1A">
              <w:t>epartment</w:t>
            </w:r>
          </w:p>
        </w:tc>
        <w:tc>
          <w:tcPr>
            <w:tcW w:w="3898" w:type="dxa"/>
          </w:tcPr>
          <w:p w14:paraId="727D1BA0" w14:textId="1C898E22" w:rsidR="00DE5973" w:rsidRPr="00D45B1A" w:rsidRDefault="00DE5973" w:rsidP="002E574D">
            <w:pPr>
              <w:pStyle w:val="TableText"/>
            </w:pPr>
            <w:r w:rsidRPr="00D45B1A">
              <w:t xml:space="preserve">Occupied bed days </w:t>
            </w:r>
          </w:p>
        </w:tc>
      </w:tr>
      <w:tr w:rsidR="00DE5973" w:rsidRPr="00D45B1A" w14:paraId="2B7F5CA6" w14:textId="77777777" w:rsidTr="00CC39C1">
        <w:tc>
          <w:tcPr>
            <w:tcW w:w="3898" w:type="dxa"/>
          </w:tcPr>
          <w:p w14:paraId="5B4627D4" w14:textId="77777777" w:rsidR="00DE5973" w:rsidRPr="00D45B1A" w:rsidRDefault="00DE5973" w:rsidP="00CC39C1">
            <w:pPr>
              <w:pStyle w:val="TableText"/>
            </w:pPr>
            <w:r w:rsidRPr="00D45B1A">
              <w:t>ICU</w:t>
            </w:r>
          </w:p>
        </w:tc>
        <w:tc>
          <w:tcPr>
            <w:tcW w:w="3898" w:type="dxa"/>
          </w:tcPr>
          <w:p w14:paraId="2D72E31B" w14:textId="77777777" w:rsidR="00DE5973" w:rsidRPr="00D45B1A" w:rsidRDefault="00DE5973" w:rsidP="00CC39C1">
            <w:pPr>
              <w:pStyle w:val="TableText"/>
            </w:pPr>
            <w:r w:rsidRPr="00D45B1A">
              <w:t>200</w:t>
            </w:r>
          </w:p>
        </w:tc>
      </w:tr>
      <w:tr w:rsidR="00DE5973" w:rsidRPr="00D45B1A" w14:paraId="54DDBAD7" w14:textId="77777777" w:rsidTr="00CC39C1">
        <w:tc>
          <w:tcPr>
            <w:tcW w:w="3898" w:type="dxa"/>
          </w:tcPr>
          <w:p w14:paraId="50121DFA" w14:textId="77777777" w:rsidR="00DE5973" w:rsidRPr="00D45B1A" w:rsidRDefault="00DE5973" w:rsidP="00CC39C1">
            <w:pPr>
              <w:pStyle w:val="TableText"/>
            </w:pPr>
            <w:r w:rsidRPr="00D45B1A">
              <w:t>ED</w:t>
            </w:r>
          </w:p>
        </w:tc>
        <w:tc>
          <w:tcPr>
            <w:tcW w:w="3898" w:type="dxa"/>
          </w:tcPr>
          <w:p w14:paraId="6214D935" w14:textId="77777777" w:rsidR="00DE5973" w:rsidRPr="00D45B1A" w:rsidRDefault="00DE5973" w:rsidP="00CC39C1">
            <w:pPr>
              <w:pStyle w:val="TableText"/>
            </w:pPr>
            <w:r w:rsidRPr="00D45B1A">
              <w:t>200</w:t>
            </w:r>
          </w:p>
        </w:tc>
      </w:tr>
    </w:tbl>
    <w:p w14:paraId="5955BC38" w14:textId="77777777" w:rsidR="00DE5973" w:rsidRPr="00D45B1A" w:rsidRDefault="00DE5973" w:rsidP="00DE5973">
      <w:r w:rsidRPr="00D45B1A">
        <w:t>In this scenario, as there are two departments and the number of machines within each location is not known, each department will be allocated $22,500 (=200/400 X $45,000).</w:t>
      </w:r>
    </w:p>
    <w:p w14:paraId="4922A2AF" w14:textId="77777777" w:rsidR="00DE5973" w:rsidRPr="00D45B1A" w:rsidRDefault="00DE5973" w:rsidP="00DE5973">
      <w:r w:rsidRPr="00D45B1A">
        <w:t xml:space="preserve">Depending upon the accounting practices of the hospital, depreciation may not be treated as an overhead. Where assets are purchased for a specific direct cost centre, the depreciation of such assets can be charged directly to that cost centre. In this situation, costing practitioners do not need to identify and apply alternative allocation methods. For example, ventilators bought </w:t>
      </w:r>
      <w:r w:rsidRPr="00D45B1A">
        <w:lastRenderedPageBreak/>
        <w:t>specifically for the ICU ward where expenses are reported in the direct ICU cost centre should be treated as a direct cost in ICU, with depreciation expenses reported to the depreciation line item and allocated to patients as detailed in Stage 3 below.</w:t>
      </w:r>
    </w:p>
    <w:p w14:paraId="50C7F475" w14:textId="77777777" w:rsidR="00DE5973" w:rsidRPr="00D45B1A" w:rsidRDefault="00DE5973" w:rsidP="00DE5973">
      <w:r w:rsidRPr="00D45B1A">
        <w:t>Costing practitioners must also consider how to align the depreciation of an asset, where it is used across multiple settings.</w:t>
      </w:r>
    </w:p>
    <w:p w14:paraId="21FA0106" w14:textId="77777777" w:rsidR="00DE5973" w:rsidRPr="00695FA0" w:rsidRDefault="00DE5973" w:rsidP="00DE5973">
      <w:pPr>
        <w:numPr>
          <w:ilvl w:val="0"/>
          <w:numId w:val="0"/>
        </w:numPr>
        <w:ind w:left="1843"/>
        <w:rPr>
          <w:b/>
        </w:rPr>
      </w:pPr>
      <w:r w:rsidRPr="00695FA0">
        <w:rPr>
          <w:b/>
        </w:rPr>
        <w:t>Allocat</w:t>
      </w:r>
      <w:r>
        <w:rPr>
          <w:b/>
        </w:rPr>
        <w:t>e</w:t>
      </w:r>
      <w:r w:rsidRPr="00695FA0">
        <w:rPr>
          <w:b/>
        </w:rPr>
        <w:t xml:space="preserve"> depreciation in overhead cos</w:t>
      </w:r>
      <w:r>
        <w:rPr>
          <w:b/>
        </w:rPr>
        <w:t>t centres to final cost centres</w:t>
      </w:r>
    </w:p>
    <w:p w14:paraId="0F0618D3" w14:textId="12C0D407" w:rsidR="00DE5973" w:rsidRPr="00D45B1A" w:rsidRDefault="00DE5973" w:rsidP="00DE5973">
      <w:r w:rsidRPr="00D45B1A">
        <w:t>The depreciation attributed to overhead cost centres should be allocated to final cost centres in the same way as all other expenses in that overhead cost centre. This appli</w:t>
      </w:r>
      <w:r w:rsidR="002E574D">
        <w:t>cation requires agreement with f</w:t>
      </w:r>
      <w:r w:rsidRPr="00D45B1A">
        <w:t xml:space="preserve">inance </w:t>
      </w:r>
      <w:r>
        <w:t>staff</w:t>
      </w:r>
      <w:r w:rsidRPr="00D45B1A">
        <w:t>. For example, unless otherwise specified, equipment depreciation allocated to the finance department should be allocated the same way as the accountant’s salari</w:t>
      </w:r>
      <w:r w:rsidR="002E574D">
        <w:t>es and wages or number of full-time e</w:t>
      </w:r>
      <w:r w:rsidRPr="00D45B1A">
        <w:t xml:space="preserve">quivalents within the finance department. The </w:t>
      </w:r>
      <w:r>
        <w:t xml:space="preserve">underlying principle </w:t>
      </w:r>
      <w:r w:rsidRPr="00D45B1A">
        <w:t>here is that the greater the use of the asset the greater the depreciation share of that asset.</w:t>
      </w:r>
    </w:p>
    <w:p w14:paraId="77F321BA" w14:textId="77777777" w:rsidR="00DE5973" w:rsidRPr="00695FA0" w:rsidRDefault="00DE5973" w:rsidP="00DE5973">
      <w:pPr>
        <w:numPr>
          <w:ilvl w:val="0"/>
          <w:numId w:val="0"/>
        </w:numPr>
        <w:ind w:left="1843"/>
        <w:rPr>
          <w:b/>
        </w:rPr>
      </w:pPr>
      <w:r>
        <w:rPr>
          <w:b/>
        </w:rPr>
        <w:t>Allocate depreciation to final products</w:t>
      </w:r>
    </w:p>
    <w:p w14:paraId="4561DCEC" w14:textId="0E165771" w:rsidR="00DE5973" w:rsidRPr="007D2CC8" w:rsidRDefault="00DE5973" w:rsidP="00DE5973">
      <w:r w:rsidRPr="00D45B1A">
        <w:t xml:space="preserve">Depreciation should be allocated to final products. For example, to allocate the depreciation of ventilators allocated to ICU in the above example in Stage 1, cost practitioners can elect to use: ICU ward days, hours of mechanical </w:t>
      </w:r>
      <w:r w:rsidR="002E574D">
        <w:t>v</w:t>
      </w:r>
      <w:r w:rsidRPr="00D45B1A">
        <w:t>entilation (HMV) hours or ICD coding to identify and to allocate cost to patients who used ventilators in ICU.</w:t>
      </w:r>
    </w:p>
    <w:p w14:paraId="5665296B" w14:textId="77777777" w:rsidR="00DE5973" w:rsidRPr="00D45B1A" w:rsidRDefault="00DE5973" w:rsidP="00DE5973">
      <w:r w:rsidRPr="00D45B1A">
        <w:t xml:space="preserve">For reconciliation purposes, costing practitioners should ensure that expenses related to depreciation are specified as per </w:t>
      </w:r>
      <w:r w:rsidRPr="00F97E63">
        <w:t xml:space="preserve">Standard </w:t>
      </w:r>
      <w:r>
        <w:t xml:space="preserve">6.2 </w:t>
      </w:r>
      <w:r w:rsidRPr="00F97E63">
        <w:t>Reconciliation to Source Data.</w:t>
      </w:r>
    </w:p>
    <w:p w14:paraId="01F2C5FE" w14:textId="77777777" w:rsidR="00DE5973" w:rsidRPr="00D45B1A" w:rsidRDefault="00DE5973" w:rsidP="00DE5973">
      <w:r w:rsidRPr="00D45B1A">
        <w:br w:type="page"/>
      </w:r>
    </w:p>
    <w:p w14:paraId="59A245C3" w14:textId="429D54F3" w:rsidR="00DE5973" w:rsidRPr="001D23CB" w:rsidRDefault="00DE5973" w:rsidP="00DE5973">
      <w:pPr>
        <w:pStyle w:val="Heading2"/>
      </w:pPr>
      <w:bookmarkStart w:id="72" w:name="_Toc80348274"/>
      <w:r w:rsidRPr="001D23CB">
        <w:lastRenderedPageBreak/>
        <w:t xml:space="preserve">Corporate </w:t>
      </w:r>
      <w:r w:rsidR="009121A0">
        <w:t>O</w:t>
      </w:r>
      <w:r w:rsidRPr="001D23CB">
        <w:t>verhead</w:t>
      </w:r>
      <w:bookmarkEnd w:id="72"/>
    </w:p>
    <w:p w14:paraId="415B354A" w14:textId="77777777" w:rsidR="00DE5973" w:rsidRPr="00D45B1A" w:rsidRDefault="00DE5973" w:rsidP="00DE5973">
      <w:pPr>
        <w:pStyle w:val="Heading3"/>
      </w:pPr>
      <w:r w:rsidRPr="00D45B1A">
        <w:t>Scope</w:t>
      </w:r>
    </w:p>
    <w:p w14:paraId="6318347E" w14:textId="4CE30827" w:rsidR="00DE5973" w:rsidRPr="00D45B1A" w:rsidRDefault="00DE5973" w:rsidP="00DE5973">
      <w:pPr>
        <w:rPr>
          <w:lang w:eastAsia="ja-JP"/>
        </w:rPr>
      </w:pPr>
      <w:r w:rsidRPr="00D45B1A">
        <w:rPr>
          <w:lang w:eastAsia="ja-JP"/>
        </w:rPr>
        <w:t xml:space="preserve">This </w:t>
      </w:r>
      <w:r w:rsidR="00F604EA">
        <w:rPr>
          <w:lang w:eastAsia="ja-JP"/>
        </w:rPr>
        <w:t>B</w:t>
      </w:r>
      <w:r w:rsidR="001701AB">
        <w:rPr>
          <w:lang w:eastAsia="ja-JP"/>
        </w:rPr>
        <w:t xml:space="preserve">usiness </w:t>
      </w:r>
      <w:r w:rsidR="00F604EA">
        <w:rPr>
          <w:lang w:eastAsia="ja-JP"/>
        </w:rPr>
        <w:t>R</w:t>
      </w:r>
      <w:r w:rsidR="001701AB">
        <w:rPr>
          <w:lang w:eastAsia="ja-JP"/>
        </w:rPr>
        <w:t>ule</w:t>
      </w:r>
      <w:r w:rsidRPr="00D45B1A">
        <w:rPr>
          <w:lang w:eastAsia="ja-JP"/>
        </w:rPr>
        <w:t xml:space="preserve"> defines corporate overheads and specifies that these expenses accumulated in overhead cost centres shall be allocated to final cost centres.</w:t>
      </w:r>
    </w:p>
    <w:p w14:paraId="32A2B318" w14:textId="77777777" w:rsidR="00DE5973" w:rsidRPr="00D45B1A" w:rsidRDefault="00DE5973" w:rsidP="00DE5973">
      <w:pPr>
        <w:pStyle w:val="Heading3"/>
      </w:pPr>
      <w:r w:rsidRPr="00D45B1A">
        <w:t>Objective</w:t>
      </w:r>
    </w:p>
    <w:p w14:paraId="26BD7A16" w14:textId="77777777" w:rsidR="00DE5973" w:rsidRPr="00D45B1A" w:rsidRDefault="00DE5973" w:rsidP="00DE5973">
      <w:r w:rsidRPr="00D45B1A">
        <w:t>To ensure that all corporate overhead expenses accumulated in overhead cost centres are allocated to product</w:t>
      </w:r>
      <w:r>
        <w:t>ion</w:t>
      </w:r>
      <w:r w:rsidRPr="00D45B1A">
        <w:t xml:space="preserve"> cost centres to create final cost centres prior to undertaking the patient level costing process.</w:t>
      </w:r>
    </w:p>
    <w:p w14:paraId="4E0153B7" w14:textId="77777777" w:rsidR="00DE5973" w:rsidRPr="00D45B1A" w:rsidRDefault="00DE5973" w:rsidP="00DE5973">
      <w:r w:rsidRPr="00D45B1A">
        <w:t>To ensure that the treatment of corporate expenses is consistent across jurisdictions.</w:t>
      </w:r>
    </w:p>
    <w:p w14:paraId="23F57663" w14:textId="3CBC90A4" w:rsidR="00DE5973" w:rsidRPr="00D45B1A" w:rsidRDefault="001701AB" w:rsidP="00DE5973">
      <w:pPr>
        <w:pStyle w:val="Heading3"/>
      </w:pPr>
      <w:r>
        <w:t xml:space="preserve">Business </w:t>
      </w:r>
      <w:r w:rsidR="00F604EA">
        <w:t>R</w:t>
      </w:r>
      <w:r>
        <w:t>ule</w:t>
      </w:r>
    </w:p>
    <w:p w14:paraId="1ACB84D1" w14:textId="77777777" w:rsidR="00DE5973" w:rsidRPr="00D45B1A" w:rsidRDefault="00DE5973" w:rsidP="00DE5973">
      <w:r w:rsidRPr="00D45B1A">
        <w:t>Costing practitioners should define the corporate arrangements that exist within their jurisdictions to identify, where relevant, the existence of corporate overhead expenses.</w:t>
      </w:r>
    </w:p>
    <w:p w14:paraId="0CB2F908" w14:textId="1167A554" w:rsidR="00DE5973" w:rsidRPr="00D45B1A" w:rsidRDefault="00DE5973" w:rsidP="00DE5973">
      <w:r w:rsidRPr="00D45B1A">
        <w:t>A</w:t>
      </w:r>
      <w:r w:rsidRPr="00D45B1A">
        <w:rPr>
          <w:lang w:eastAsia="ja-JP"/>
        </w:rPr>
        <w:t xml:space="preserve">s a general rule corporate overhead expenses should not be included for more than one level above the management of the hospital. This infers that expenses related to the direct management of the </w:t>
      </w:r>
      <w:r w:rsidR="002E574D">
        <w:rPr>
          <w:lang w:eastAsia="ja-JP"/>
        </w:rPr>
        <w:t>local hospital network (</w:t>
      </w:r>
      <w:r w:rsidRPr="00D45B1A">
        <w:rPr>
          <w:lang w:eastAsia="ja-JP"/>
        </w:rPr>
        <w:t>LHN</w:t>
      </w:r>
      <w:r w:rsidR="002E574D">
        <w:rPr>
          <w:lang w:eastAsia="ja-JP"/>
        </w:rPr>
        <w:t>)</w:t>
      </w:r>
      <w:r w:rsidRPr="00D45B1A">
        <w:rPr>
          <w:lang w:eastAsia="ja-JP"/>
        </w:rPr>
        <w:t xml:space="preserve"> or corporate management are within scope. </w:t>
      </w:r>
    </w:p>
    <w:p w14:paraId="490856BC" w14:textId="77777777" w:rsidR="00DE5973" w:rsidRPr="00D45B1A" w:rsidRDefault="00DE5973" w:rsidP="00DE5973">
      <w:r w:rsidRPr="00D45B1A">
        <w:rPr>
          <w:lang w:eastAsia="ja-JP"/>
        </w:rPr>
        <w:t>However, scope should relate to the function that is directly related to the day to day management of the hospital; or the function of the hospital that in other models would be provided at the hospital in the creation of final hospital products.</w:t>
      </w:r>
    </w:p>
    <w:p w14:paraId="5FF4584A" w14:textId="77777777" w:rsidR="00DE5973" w:rsidRPr="00D45B1A" w:rsidRDefault="00DE5973" w:rsidP="00DE5973">
      <w:r w:rsidRPr="00D45B1A">
        <w:rPr>
          <w:lang w:eastAsia="ja-JP"/>
        </w:rPr>
        <w:t>Where jurisdictions provide services to their hospitals, those functions should be assessed against the scope noted above, as the same principles should apply.</w:t>
      </w:r>
    </w:p>
    <w:p w14:paraId="3BEC0199" w14:textId="77777777" w:rsidR="00DE5973" w:rsidRPr="00D45B1A" w:rsidRDefault="00DE5973" w:rsidP="00DE5973">
      <w:r w:rsidRPr="00D45B1A">
        <w:rPr>
          <w:lang w:eastAsia="ja-JP"/>
        </w:rPr>
        <w:t>Examples of in-scope expenses at the corporate level include:</w:t>
      </w:r>
    </w:p>
    <w:p w14:paraId="680627F1" w14:textId="70C43DE8" w:rsidR="00DE5973" w:rsidRPr="00D45B1A" w:rsidRDefault="002E574D" w:rsidP="00DE5973">
      <w:pPr>
        <w:pStyle w:val="ListBullet"/>
        <w:tabs>
          <w:tab w:val="clear" w:pos="360"/>
          <w:tab w:val="num" w:pos="2194"/>
        </w:tabs>
        <w:ind w:left="2194"/>
      </w:pPr>
      <w:r>
        <w:t>the LHN chief executive o</w:t>
      </w:r>
      <w:r w:rsidR="00DE5973" w:rsidRPr="00D45B1A">
        <w:t>ffic</w:t>
      </w:r>
      <w:r>
        <w:t>er (CEO) who engages in the day-to-</w:t>
      </w:r>
      <w:r w:rsidR="00DE5973" w:rsidRPr="00D45B1A">
        <w:t>day management of the hospital making day to day operational decisions of that hospital (as would a local or standalone hospital CEO)</w:t>
      </w:r>
    </w:p>
    <w:p w14:paraId="4F372ED4" w14:textId="20CD7166" w:rsidR="00DE5973" w:rsidRPr="00D45B1A" w:rsidRDefault="00DE5973" w:rsidP="00DE5973">
      <w:pPr>
        <w:pStyle w:val="ListBullet"/>
        <w:tabs>
          <w:tab w:val="clear" w:pos="360"/>
          <w:tab w:val="num" w:pos="2194"/>
        </w:tabs>
        <w:ind w:left="2194"/>
      </w:pPr>
      <w:r w:rsidRPr="00D45B1A">
        <w:t xml:space="preserve">the centralised </w:t>
      </w:r>
      <w:r>
        <w:t>f</w:t>
      </w:r>
      <w:r w:rsidRPr="00D45B1A">
        <w:t xml:space="preserve">inance </w:t>
      </w:r>
      <w:r>
        <w:t>d</w:t>
      </w:r>
      <w:r w:rsidRPr="00D45B1A">
        <w:t>epartment providing financial management to each hospital within the LHN to enable its day to day functioning</w:t>
      </w:r>
    </w:p>
    <w:p w14:paraId="130C5289" w14:textId="77777777" w:rsidR="00DE5973" w:rsidRPr="00D45B1A" w:rsidRDefault="00DE5973" w:rsidP="00DE5973">
      <w:pPr>
        <w:pStyle w:val="ListBullet"/>
        <w:tabs>
          <w:tab w:val="clear" w:pos="360"/>
          <w:tab w:val="num" w:pos="2194"/>
        </w:tabs>
        <w:ind w:left="2194"/>
      </w:pPr>
      <w:r w:rsidRPr="00D45B1A">
        <w:t xml:space="preserve">the centralised patient level costing function that is performed for all hospitals within the LHN. </w:t>
      </w:r>
    </w:p>
    <w:p w14:paraId="5AC70B3D" w14:textId="77777777" w:rsidR="00DE5973" w:rsidRPr="00D45B1A" w:rsidRDefault="00DE5973" w:rsidP="00DE5973">
      <w:r w:rsidRPr="00D45B1A">
        <w:t>Examples of activities deemed out of scope include:</w:t>
      </w:r>
    </w:p>
    <w:p w14:paraId="21070937" w14:textId="4BEC9816" w:rsidR="00DE5973" w:rsidRPr="00D45B1A" w:rsidRDefault="00DE5973" w:rsidP="00DE5973">
      <w:pPr>
        <w:pStyle w:val="ListBullet"/>
        <w:tabs>
          <w:tab w:val="clear" w:pos="360"/>
          <w:tab w:val="num" w:pos="2194"/>
        </w:tabs>
        <w:ind w:left="2194"/>
      </w:pPr>
      <w:r w:rsidRPr="00D45B1A">
        <w:t>a LHN CEO reporting managing the corporate organisation functions that do not relate to the direct management of the hospital</w:t>
      </w:r>
    </w:p>
    <w:p w14:paraId="25F94598" w14:textId="36AC3190" w:rsidR="00DE5973" w:rsidRPr="00D45B1A" w:rsidRDefault="002E574D" w:rsidP="00DE5973">
      <w:pPr>
        <w:pStyle w:val="ListBullet"/>
        <w:tabs>
          <w:tab w:val="clear" w:pos="360"/>
          <w:tab w:val="num" w:pos="2194"/>
        </w:tabs>
        <w:ind w:left="2194"/>
      </w:pPr>
      <w:r>
        <w:t>a jurisdictional chief executive (or deputy s</w:t>
      </w:r>
      <w:r w:rsidR="00DE5973" w:rsidRPr="00D45B1A">
        <w:t>ecretary) who is responsible for the hospital system as a whole and not the day to day operational functioning of the hospital</w:t>
      </w:r>
    </w:p>
    <w:p w14:paraId="66EF9E0D" w14:textId="77777777" w:rsidR="00DE5973" w:rsidRPr="00D45B1A" w:rsidRDefault="00DE5973" w:rsidP="00DE5973">
      <w:pPr>
        <w:pStyle w:val="ListBullet"/>
        <w:tabs>
          <w:tab w:val="clear" w:pos="360"/>
          <w:tab w:val="num" w:pos="2194"/>
        </w:tabs>
        <w:ind w:left="2194"/>
      </w:pPr>
      <w:r w:rsidRPr="00D45B1A">
        <w:t>any patient level costing function or reporting of patient level costing data by jurisdictional staff for collection or benchmarking purposes.</w:t>
      </w:r>
    </w:p>
    <w:p w14:paraId="118F3DA7" w14:textId="77777777" w:rsidR="00DE5973" w:rsidRPr="00D45B1A" w:rsidRDefault="00DE5973" w:rsidP="00DE5973">
      <w:r w:rsidRPr="00D45B1A">
        <w:lastRenderedPageBreak/>
        <w:t>Where there is any ambiguity in determining if expenses at corporate level are in scope, these matters should be referred directly to the jurisdiction for further clarification.</w:t>
      </w:r>
    </w:p>
    <w:p w14:paraId="3F3CFCD8" w14:textId="0B03ADD0" w:rsidR="00DE5973" w:rsidRPr="00D45B1A" w:rsidRDefault="00DE5973" w:rsidP="00DE5973">
      <w:r w:rsidRPr="00D45B1A">
        <w:t xml:space="preserve">Where corporate services are deemed within scope, it is likely that these expenses will appear on the hospital general ledger. Costing practitioners are advised to meet with appropriate </w:t>
      </w:r>
      <w:r>
        <w:t>staff members</w:t>
      </w:r>
      <w:r w:rsidR="002E574D">
        <w:t xml:space="preserve"> to obtain or </w:t>
      </w:r>
      <w:r w:rsidRPr="00D45B1A">
        <w:t>determine their share of corporate overheads for inclusion as part of the operating expenses of the hospital.</w:t>
      </w:r>
    </w:p>
    <w:p w14:paraId="21BCC7C2" w14:textId="77777777" w:rsidR="00DE5973" w:rsidRDefault="00DE5973" w:rsidP="00DE5973">
      <w:r w:rsidRPr="00D45B1A">
        <w:t>The corpo</w:t>
      </w:r>
      <w:r>
        <w:t>rate overhead can</w:t>
      </w:r>
      <w:r w:rsidRPr="00D45B1A">
        <w:t xml:space="preserve"> be</w:t>
      </w:r>
      <w:r>
        <w:t xml:space="preserve"> a:</w:t>
      </w:r>
    </w:p>
    <w:p w14:paraId="6248166C" w14:textId="31182B3B" w:rsidR="00DE5973" w:rsidRDefault="00DE5973" w:rsidP="00DE5973">
      <w:pPr>
        <w:pStyle w:val="ListBullet"/>
        <w:tabs>
          <w:tab w:val="clear" w:pos="360"/>
          <w:tab w:val="num" w:pos="2194"/>
        </w:tabs>
        <w:ind w:left="2194"/>
      </w:pPr>
      <w:r>
        <w:t>charge</w:t>
      </w:r>
      <w:r w:rsidRPr="00D45B1A">
        <w:t xml:space="preserve"> to an overhead cost centre of the receiving hospital and included</w:t>
      </w:r>
      <w:r w:rsidR="003F1BF5">
        <w:t xml:space="preserve"> in the hospital general ledger</w:t>
      </w:r>
    </w:p>
    <w:p w14:paraId="029108E0" w14:textId="77777777" w:rsidR="00DE5973" w:rsidRDefault="00DE5973" w:rsidP="00DE5973">
      <w:pPr>
        <w:pStyle w:val="ListBullet"/>
        <w:tabs>
          <w:tab w:val="clear" w:pos="360"/>
          <w:tab w:val="num" w:pos="2194"/>
        </w:tabs>
        <w:ind w:left="2194"/>
      </w:pPr>
      <w:r w:rsidRPr="00D45B1A">
        <w:t>journal adjustment to the hospital general ledger</w:t>
      </w:r>
      <w:r>
        <w:t>;</w:t>
      </w:r>
      <w:r w:rsidRPr="00D45B1A">
        <w:t xml:space="preserve"> or</w:t>
      </w:r>
    </w:p>
    <w:p w14:paraId="110E3279" w14:textId="77777777" w:rsidR="00DE5973" w:rsidRPr="00D45B1A" w:rsidRDefault="00DE5973" w:rsidP="00DE5973">
      <w:pPr>
        <w:pStyle w:val="ListBullet"/>
        <w:tabs>
          <w:tab w:val="clear" w:pos="360"/>
          <w:tab w:val="num" w:pos="2194"/>
        </w:tabs>
        <w:ind w:left="2194"/>
      </w:pPr>
      <w:r w:rsidRPr="00D45B1A">
        <w:t>transfer to the costing general ledger during the costing process.</w:t>
      </w:r>
    </w:p>
    <w:p w14:paraId="68B30F2B" w14:textId="422E163A" w:rsidR="00DE5973" w:rsidRDefault="00DE5973" w:rsidP="001E51A5">
      <w:r w:rsidRPr="00D45B1A">
        <w:t xml:space="preserve">All corporate overheads will be mapped to the </w:t>
      </w:r>
      <w:r>
        <w:t xml:space="preserve">NHCDC </w:t>
      </w:r>
      <w:r w:rsidRPr="00D45B1A">
        <w:t xml:space="preserve">line item corporate cost </w:t>
      </w:r>
      <w:r w:rsidR="001E51A5">
        <w:t>‘</w:t>
      </w:r>
      <w:r w:rsidRPr="003F3BEC">
        <w:t>All Other Goods and Services</w:t>
      </w:r>
      <w:r w:rsidR="001E51A5">
        <w:t xml:space="preserve">’ </w:t>
      </w:r>
      <w:r>
        <w:t>noting that:</w:t>
      </w:r>
    </w:p>
    <w:p w14:paraId="3859D2D7" w14:textId="6D92A970" w:rsidR="00DE5973" w:rsidRPr="003F3BEC" w:rsidRDefault="003F1BF5" w:rsidP="00DE5973">
      <w:pPr>
        <w:pStyle w:val="ListBullet"/>
        <w:tabs>
          <w:tab w:val="clear" w:pos="360"/>
          <w:tab w:val="num" w:pos="2194"/>
        </w:tabs>
        <w:ind w:left="2194"/>
      </w:pPr>
      <w:r>
        <w:t>w</w:t>
      </w:r>
      <w:r w:rsidR="00DE5973" w:rsidRPr="003F3BEC">
        <w:t>here an account code is solely used for the corporate expense then that should be mapped to line item ‘</w:t>
      </w:r>
      <w:r w:rsidR="00DE5973" w:rsidRPr="00CD3C62">
        <w:t>All Other Goods and Services</w:t>
      </w:r>
      <w:r>
        <w:t>’</w:t>
      </w:r>
    </w:p>
    <w:p w14:paraId="68FA635C" w14:textId="5F908EF3" w:rsidR="00DE5973" w:rsidRPr="003F3BEC" w:rsidRDefault="003F1BF5" w:rsidP="00DE5973">
      <w:pPr>
        <w:pStyle w:val="ListBullet"/>
        <w:tabs>
          <w:tab w:val="clear" w:pos="360"/>
          <w:tab w:val="num" w:pos="2194"/>
        </w:tabs>
        <w:ind w:left="2194"/>
      </w:pPr>
      <w:r>
        <w:t>w</w:t>
      </w:r>
      <w:r w:rsidR="00DE5973" w:rsidRPr="003F3BEC">
        <w:t xml:space="preserve">here an account code is not solely used for a </w:t>
      </w:r>
      <w:r w:rsidR="00702703" w:rsidRPr="003F3BEC">
        <w:t>corporate expense</w:t>
      </w:r>
      <w:r w:rsidR="00DE5973" w:rsidRPr="003F3BEC">
        <w:t xml:space="preserve"> then advice should be obtained to determine the amount related to the corporate portion. That should be isolated to a derived account code and mapped to line item ‘</w:t>
      </w:r>
      <w:r w:rsidR="00DE5973" w:rsidRPr="00CD3C62">
        <w:t>All Other Goods and Services</w:t>
      </w:r>
      <w:r>
        <w:t>’</w:t>
      </w:r>
    </w:p>
    <w:p w14:paraId="68C2B7C8" w14:textId="56BBF51B" w:rsidR="00DE5973" w:rsidRPr="003F3BEC" w:rsidRDefault="003F1BF5" w:rsidP="00DE5973">
      <w:pPr>
        <w:pStyle w:val="ListBullet"/>
        <w:tabs>
          <w:tab w:val="clear" w:pos="360"/>
          <w:tab w:val="num" w:pos="2194"/>
        </w:tabs>
        <w:ind w:left="2194"/>
      </w:pPr>
      <w:r>
        <w:t>w</w:t>
      </w:r>
      <w:r w:rsidR="00DE5973" w:rsidRPr="003F3BEC">
        <w:t>here a cost centre is purely identified as a corporate overhead cost centre then all the account codes should be mapped to the ‘</w:t>
      </w:r>
      <w:r w:rsidR="00DE5973" w:rsidRPr="00CD3C62">
        <w:t>All Other Goods and Services</w:t>
      </w:r>
      <w:r w:rsidR="00DE5973" w:rsidRPr="003F3BEC">
        <w:t>’ line items.</w:t>
      </w:r>
    </w:p>
    <w:p w14:paraId="11115B0F" w14:textId="77777777" w:rsidR="00DE5973" w:rsidRPr="00D45B1A" w:rsidRDefault="00DE5973" w:rsidP="00DE5973">
      <w:r w:rsidRPr="00D45B1A">
        <w:t>Some expenses included in the corporate overhead may need to be transferred to other cost centres or line items so that they can be allocated appropriately.</w:t>
      </w:r>
    </w:p>
    <w:p w14:paraId="61DF1B66" w14:textId="77777777" w:rsidR="00DE5973" w:rsidRPr="00D45B1A" w:rsidRDefault="00DE5973" w:rsidP="00DE5973">
      <w:r w:rsidRPr="00D45B1A">
        <w:t xml:space="preserve">Corporate overhead expenses will then be allocated using the usual overhead allocation statistics determined in consultation with the relevant hospital </w:t>
      </w:r>
      <w:r>
        <w:t>staff</w:t>
      </w:r>
      <w:r w:rsidRPr="00D45B1A">
        <w:t>.</w:t>
      </w:r>
    </w:p>
    <w:p w14:paraId="472B06CC" w14:textId="77777777" w:rsidR="00DE5973" w:rsidRPr="00D45B1A" w:rsidRDefault="00DE5973" w:rsidP="00DE5973">
      <w:r w:rsidRPr="00D45B1A">
        <w:t xml:space="preserve">For reconciliation purposes, costing practitioners should ensure that expenses related to corporate overheads are specified as per </w:t>
      </w:r>
      <w:r w:rsidRPr="00F97E63">
        <w:t>Standard 6.2 Reconciliation to Source Data.</w:t>
      </w:r>
    </w:p>
    <w:p w14:paraId="58B0ABC8" w14:textId="77777777" w:rsidR="00DE5973" w:rsidRPr="00D45B1A" w:rsidRDefault="00DE5973" w:rsidP="00DE5973">
      <w:r w:rsidRPr="00D45B1A">
        <w:br w:type="page"/>
      </w:r>
    </w:p>
    <w:p w14:paraId="1B38FCBD" w14:textId="2DCC082A" w:rsidR="00B73421" w:rsidRDefault="001701AB" w:rsidP="00D760F4">
      <w:pPr>
        <w:pStyle w:val="Heading1"/>
        <w:spacing w:after="480"/>
        <w:rPr>
          <w:lang w:eastAsia="ja-JP"/>
        </w:rPr>
      </w:pPr>
      <w:bookmarkStart w:id="73" w:name="_Toc80348275"/>
      <w:r>
        <w:rPr>
          <w:lang w:eastAsia="ja-JP"/>
        </w:rPr>
        <w:lastRenderedPageBreak/>
        <w:t>Identify products</w:t>
      </w:r>
      <w:bookmarkEnd w:id="73"/>
    </w:p>
    <w:p w14:paraId="13974989" w14:textId="77777777" w:rsidR="00594979" w:rsidRPr="002E574D" w:rsidRDefault="00594979" w:rsidP="00594979">
      <w:pPr>
        <w:pStyle w:val="Intro"/>
        <w:rPr>
          <w:rStyle w:val="LineNumber"/>
          <w:color w:val="auto"/>
        </w:rPr>
      </w:pPr>
      <w:r w:rsidRPr="002E574D">
        <w:rPr>
          <w:rStyle w:val="LineNumber"/>
          <w:color w:val="auto"/>
        </w:rPr>
        <w:t>Measures are identified to count and classify all products provided by the organisation. At a high level, the organisation products will be categorised into patient and non-patient products. Where possible, product subcategories will be identified in a way that is consistent with nationally established rules for classification and counting.</w:t>
      </w:r>
    </w:p>
    <w:p w14:paraId="05621D7F" w14:textId="77777777" w:rsidR="00CB7371" w:rsidRPr="00215955" w:rsidRDefault="00CB7371" w:rsidP="00CB7371">
      <w:pPr>
        <w:numPr>
          <w:ilvl w:val="0"/>
          <w:numId w:val="0"/>
        </w:numPr>
        <w:rPr>
          <w:rFonts w:eastAsia="Calibri"/>
          <w:b/>
        </w:rPr>
      </w:pPr>
      <w:r w:rsidRPr="00215955">
        <w:rPr>
          <w:rFonts w:eastAsia="Calibri"/>
          <w:b/>
        </w:rPr>
        <w:t>Application</w:t>
      </w:r>
    </w:p>
    <w:p w14:paraId="3247D852" w14:textId="2905C091" w:rsidR="00DB13AE" w:rsidRDefault="00DB13AE" w:rsidP="00DB13AE">
      <w:pPr>
        <w:numPr>
          <w:ilvl w:val="0"/>
          <w:numId w:val="0"/>
        </w:numPr>
        <w:rPr>
          <w:rFonts w:eastAsia="Calibri"/>
        </w:rPr>
      </w:pPr>
      <w:r>
        <w:rPr>
          <w:rFonts w:eastAsia="Calibri"/>
        </w:rPr>
        <w:t xml:space="preserve">These </w:t>
      </w:r>
      <w:r w:rsidR="001701AB">
        <w:rPr>
          <w:rFonts w:eastAsia="Calibri"/>
        </w:rPr>
        <w:t xml:space="preserve">Business </w:t>
      </w:r>
      <w:r w:rsidR="0083716F">
        <w:rPr>
          <w:rFonts w:eastAsia="Calibri"/>
        </w:rPr>
        <w:t>R</w:t>
      </w:r>
      <w:r w:rsidR="001701AB">
        <w:rPr>
          <w:rFonts w:eastAsia="Calibri"/>
        </w:rPr>
        <w:t>ules</w:t>
      </w:r>
      <w:r>
        <w:rPr>
          <w:rFonts w:eastAsia="Calibri"/>
        </w:rPr>
        <w:t xml:space="preserve"> </w:t>
      </w:r>
      <w:r w:rsidRPr="00215955">
        <w:rPr>
          <w:rFonts w:eastAsia="Calibri"/>
        </w:rPr>
        <w:t xml:space="preserve">shall be read in conjunction with the Standards </w:t>
      </w:r>
      <w:r>
        <w:rPr>
          <w:rFonts w:eastAsia="Calibri"/>
        </w:rPr>
        <w:t>associated with the following stages:</w:t>
      </w:r>
    </w:p>
    <w:p w14:paraId="5C1A1C18" w14:textId="11C6A0AC" w:rsidR="0007493D" w:rsidRDefault="0007493D" w:rsidP="0007493D">
      <w:pPr>
        <w:numPr>
          <w:ilvl w:val="0"/>
          <w:numId w:val="0"/>
        </w:numPr>
        <w:rPr>
          <w:rFonts w:eastAsia="Calibri"/>
        </w:rPr>
      </w:pPr>
      <w:r>
        <w:rPr>
          <w:rFonts w:eastAsia="Calibri"/>
        </w:rPr>
        <w:fldChar w:fldCharType="begin"/>
      </w:r>
      <w:r>
        <w:rPr>
          <w:rFonts w:eastAsia="Calibri"/>
        </w:rPr>
        <w:instrText xml:space="preserve"> REF _Ref498530776 \w \h </w:instrText>
      </w:r>
      <w:r>
        <w:rPr>
          <w:rFonts w:eastAsia="Calibri"/>
        </w:rPr>
      </w:r>
      <w:r>
        <w:rPr>
          <w:rFonts w:eastAsia="Calibri"/>
        </w:rPr>
        <w:fldChar w:fldCharType="separate"/>
      </w:r>
      <w:r w:rsidR="00EA6A78">
        <w:rPr>
          <w:rFonts w:eastAsia="Calibri"/>
        </w:rPr>
        <w:t>Stage 2</w:t>
      </w:r>
      <w:r>
        <w:rPr>
          <w:rFonts w:eastAsia="Calibri"/>
        </w:rPr>
        <w:fldChar w:fldCharType="end"/>
      </w:r>
      <w:r>
        <w:rPr>
          <w:rFonts w:eastAsia="Calibri"/>
        </w:rPr>
        <w:t xml:space="preserve">: </w:t>
      </w:r>
      <w:r>
        <w:rPr>
          <w:rFonts w:eastAsia="Calibri"/>
        </w:rPr>
        <w:fldChar w:fldCharType="begin"/>
      </w:r>
      <w:r>
        <w:rPr>
          <w:rFonts w:eastAsia="Calibri"/>
        </w:rPr>
        <w:instrText xml:space="preserve"> REF _Ref498530776 \h </w:instrText>
      </w:r>
      <w:r>
        <w:rPr>
          <w:rFonts w:eastAsia="Calibri"/>
        </w:rPr>
      </w:r>
      <w:r>
        <w:rPr>
          <w:rFonts w:eastAsia="Calibri"/>
        </w:rPr>
        <w:fldChar w:fldCharType="separate"/>
      </w:r>
      <w:r w:rsidR="002E574D">
        <w:rPr>
          <w:rFonts w:eastAsia="Calibri"/>
        </w:rPr>
        <w:t>Create the Cost L</w:t>
      </w:r>
      <w:r w:rsidR="00EA6A78">
        <w:rPr>
          <w:rFonts w:eastAsia="Calibri"/>
        </w:rPr>
        <w:t>edger</w:t>
      </w:r>
      <w:r>
        <w:rPr>
          <w:rFonts w:eastAsia="Calibri"/>
        </w:rPr>
        <w:fldChar w:fldCharType="end"/>
      </w:r>
    </w:p>
    <w:p w14:paraId="60AE9205" w14:textId="3C65BB63" w:rsidR="0007493D" w:rsidRDefault="0007493D" w:rsidP="0007493D">
      <w:pPr>
        <w:numPr>
          <w:ilvl w:val="0"/>
          <w:numId w:val="0"/>
        </w:numPr>
        <w:rPr>
          <w:rFonts w:eastAsia="Calibri"/>
        </w:rPr>
      </w:pPr>
      <w:r>
        <w:rPr>
          <w:rFonts w:eastAsia="Calibri"/>
        </w:rPr>
        <w:fldChar w:fldCharType="begin"/>
      </w:r>
      <w:r>
        <w:rPr>
          <w:rFonts w:eastAsia="Calibri"/>
        </w:rPr>
        <w:instrText xml:space="preserve"> REF _Ref498530933 \w \h </w:instrText>
      </w:r>
      <w:r>
        <w:rPr>
          <w:rFonts w:eastAsia="Calibri"/>
        </w:rPr>
      </w:r>
      <w:r>
        <w:rPr>
          <w:rFonts w:eastAsia="Calibri"/>
        </w:rPr>
        <w:fldChar w:fldCharType="separate"/>
      </w:r>
      <w:r w:rsidR="00EA6A78">
        <w:rPr>
          <w:rFonts w:eastAsia="Calibri"/>
        </w:rPr>
        <w:t>Stage 4</w:t>
      </w:r>
      <w:r>
        <w:rPr>
          <w:rFonts w:eastAsia="Calibri"/>
        </w:rPr>
        <w:fldChar w:fldCharType="end"/>
      </w:r>
      <w:r>
        <w:rPr>
          <w:rFonts w:eastAsia="Calibri"/>
        </w:rPr>
        <w:t xml:space="preserve">: </w:t>
      </w:r>
      <w:r>
        <w:rPr>
          <w:rFonts w:eastAsia="Calibri"/>
        </w:rPr>
        <w:fldChar w:fldCharType="begin"/>
      </w:r>
      <w:r>
        <w:rPr>
          <w:rFonts w:eastAsia="Calibri"/>
        </w:rPr>
        <w:instrText xml:space="preserve"> REF _Ref498530933 \h </w:instrText>
      </w:r>
      <w:r>
        <w:rPr>
          <w:rFonts w:eastAsia="Calibri"/>
        </w:rPr>
      </w:r>
      <w:r>
        <w:rPr>
          <w:rFonts w:eastAsia="Calibri"/>
        </w:rPr>
        <w:fldChar w:fldCharType="separate"/>
      </w:r>
      <w:r w:rsidR="002E574D">
        <w:rPr>
          <w:rFonts w:eastAsia="Calibri"/>
        </w:rPr>
        <w:t>Identify P</w:t>
      </w:r>
      <w:r w:rsidR="00EA6A78">
        <w:rPr>
          <w:rFonts w:eastAsia="Calibri"/>
        </w:rPr>
        <w:t>roducts</w:t>
      </w:r>
      <w:r>
        <w:rPr>
          <w:rFonts w:eastAsia="Calibri"/>
        </w:rPr>
        <w:fldChar w:fldCharType="end"/>
      </w:r>
    </w:p>
    <w:p w14:paraId="70B4BC74" w14:textId="3BAC6614" w:rsidR="0007493D" w:rsidRDefault="0007493D" w:rsidP="0007493D">
      <w:pPr>
        <w:numPr>
          <w:ilvl w:val="0"/>
          <w:numId w:val="0"/>
        </w:numPr>
        <w:rPr>
          <w:rFonts w:eastAsia="Calibri"/>
        </w:rPr>
      </w:pPr>
      <w:r>
        <w:rPr>
          <w:rFonts w:eastAsia="Calibri"/>
        </w:rPr>
        <w:fldChar w:fldCharType="begin"/>
      </w:r>
      <w:r>
        <w:rPr>
          <w:rFonts w:eastAsia="Calibri"/>
        </w:rPr>
        <w:instrText xml:space="preserve"> REF _Ref498530780 \w \h </w:instrText>
      </w:r>
      <w:r>
        <w:rPr>
          <w:rFonts w:eastAsia="Calibri"/>
        </w:rPr>
      </w:r>
      <w:r>
        <w:rPr>
          <w:rFonts w:eastAsia="Calibri"/>
        </w:rPr>
        <w:fldChar w:fldCharType="separate"/>
      </w:r>
      <w:r w:rsidR="00EA6A78">
        <w:rPr>
          <w:rFonts w:eastAsia="Calibri"/>
        </w:rPr>
        <w:t>Stage 6</w:t>
      </w:r>
      <w:r>
        <w:rPr>
          <w:rFonts w:eastAsia="Calibri"/>
        </w:rPr>
        <w:fldChar w:fldCharType="end"/>
      </w:r>
      <w:r>
        <w:rPr>
          <w:rFonts w:eastAsia="Calibri"/>
        </w:rPr>
        <w:t xml:space="preserve">: </w:t>
      </w:r>
      <w:r>
        <w:rPr>
          <w:rFonts w:eastAsia="Calibri"/>
        </w:rPr>
        <w:fldChar w:fldCharType="begin"/>
      </w:r>
      <w:r>
        <w:rPr>
          <w:rFonts w:eastAsia="Calibri"/>
        </w:rPr>
        <w:instrText xml:space="preserve"> REF _Ref498530780 \h </w:instrText>
      </w:r>
      <w:r>
        <w:rPr>
          <w:rFonts w:eastAsia="Calibri"/>
        </w:rPr>
      </w:r>
      <w:r>
        <w:rPr>
          <w:rFonts w:eastAsia="Calibri"/>
        </w:rPr>
        <w:fldChar w:fldCharType="separate"/>
      </w:r>
      <w:r w:rsidR="002E574D">
        <w:rPr>
          <w:rFonts w:eastAsia="Calibri"/>
        </w:rPr>
        <w:t>Review and R</w:t>
      </w:r>
      <w:r w:rsidR="00EA6A78">
        <w:rPr>
          <w:rFonts w:eastAsia="Calibri"/>
        </w:rPr>
        <w:t>econcile</w:t>
      </w:r>
      <w:r>
        <w:rPr>
          <w:rFonts w:eastAsia="Calibri"/>
        </w:rPr>
        <w:fldChar w:fldCharType="end"/>
      </w:r>
      <w:r w:rsidR="002E574D">
        <w:rPr>
          <w:rFonts w:eastAsia="Calibri"/>
        </w:rPr>
        <w:t>.</w:t>
      </w:r>
    </w:p>
    <w:p w14:paraId="57FDC5E6" w14:textId="77777777" w:rsidR="00CB7371" w:rsidRPr="00215955" w:rsidRDefault="00CB7371" w:rsidP="00CB7371">
      <w:pPr>
        <w:numPr>
          <w:ilvl w:val="0"/>
          <w:numId w:val="0"/>
        </w:numPr>
        <w:rPr>
          <w:rFonts w:eastAsia="Calibri"/>
          <w:b/>
        </w:rPr>
      </w:pPr>
      <w:r w:rsidRPr="00215955">
        <w:rPr>
          <w:rFonts w:eastAsia="Calibri"/>
          <w:b/>
        </w:rPr>
        <w:t>List of referenced documents</w:t>
      </w:r>
    </w:p>
    <w:p w14:paraId="6CDAD02C" w14:textId="5F82F45E" w:rsidR="00CB7371" w:rsidRPr="00215955" w:rsidRDefault="00A04467" w:rsidP="00CB7371">
      <w:pPr>
        <w:numPr>
          <w:ilvl w:val="0"/>
          <w:numId w:val="0"/>
        </w:numPr>
        <w:rPr>
          <w:rFonts w:eastAsia="Calibri"/>
          <w:b/>
          <w:bCs/>
        </w:rPr>
      </w:pPr>
      <w:r>
        <w:rPr>
          <w:rFonts w:eastAsia="Calibri"/>
        </w:rPr>
        <w:t>There are no documents referred to in this stage.</w:t>
      </w:r>
    </w:p>
    <w:p w14:paraId="217114B5" w14:textId="77777777" w:rsidR="00B73421" w:rsidRDefault="00B73421" w:rsidP="00554A66">
      <w:pPr>
        <w:rPr>
          <w:szCs w:val="44"/>
          <w:lang w:eastAsia="ja-JP"/>
        </w:rPr>
      </w:pPr>
      <w:r>
        <w:rPr>
          <w:lang w:eastAsia="ja-JP"/>
        </w:rPr>
        <w:br w:type="page"/>
      </w:r>
    </w:p>
    <w:p w14:paraId="0A342CD0" w14:textId="5CB93E1C" w:rsidR="002B6335" w:rsidRPr="005E3025" w:rsidRDefault="00DB58FF" w:rsidP="005E3025">
      <w:pPr>
        <w:pStyle w:val="Subtitle"/>
        <w:numPr>
          <w:ilvl w:val="1"/>
          <w:numId w:val="25"/>
        </w:numPr>
        <w:spacing w:after="240"/>
        <w:outlineLvl w:val="1"/>
        <w:rPr>
          <w:color w:val="auto"/>
          <w:sz w:val="28"/>
          <w:lang w:eastAsia="ja-JP"/>
        </w:rPr>
      </w:pPr>
      <w:bookmarkStart w:id="74" w:name="_Toc80348276"/>
      <w:r w:rsidRPr="005E3025">
        <w:rPr>
          <w:color w:val="auto"/>
          <w:sz w:val="28"/>
          <w:lang w:eastAsia="ja-JP"/>
        </w:rPr>
        <w:lastRenderedPageBreak/>
        <w:t>Product</w:t>
      </w:r>
      <w:r w:rsidR="00FB0537" w:rsidRPr="005E3025">
        <w:rPr>
          <w:color w:val="auto"/>
          <w:sz w:val="28"/>
          <w:lang w:eastAsia="ja-JP"/>
        </w:rPr>
        <w:t xml:space="preserve"> </w:t>
      </w:r>
      <w:r w:rsidR="00161CDB">
        <w:rPr>
          <w:color w:val="auto"/>
          <w:sz w:val="28"/>
          <w:lang w:eastAsia="ja-JP"/>
        </w:rPr>
        <w:t>T</w:t>
      </w:r>
      <w:r w:rsidR="00FB0537" w:rsidRPr="005E3025">
        <w:rPr>
          <w:color w:val="auto"/>
          <w:sz w:val="28"/>
          <w:lang w:eastAsia="ja-JP"/>
        </w:rPr>
        <w:t>ypes</w:t>
      </w:r>
      <w:bookmarkEnd w:id="74"/>
    </w:p>
    <w:p w14:paraId="0EA7DEDD" w14:textId="4990A44B" w:rsidR="00DB58FF" w:rsidRPr="00C22FE1" w:rsidRDefault="00DB58FF" w:rsidP="002B6335">
      <w:pPr>
        <w:pStyle w:val="Heading2"/>
      </w:pPr>
      <w:bookmarkStart w:id="75" w:name="_Toc80348277"/>
      <w:r w:rsidRPr="00C22FE1">
        <w:t xml:space="preserve">National </w:t>
      </w:r>
      <w:r w:rsidR="00161CDB">
        <w:t>D</w:t>
      </w:r>
      <w:r w:rsidRPr="00C22FE1">
        <w:t xml:space="preserve">ata </w:t>
      </w:r>
      <w:r w:rsidR="00DC1841">
        <w:t>s</w:t>
      </w:r>
      <w:r w:rsidRPr="00C22FE1">
        <w:t>ets</w:t>
      </w:r>
      <w:bookmarkEnd w:id="68"/>
      <w:bookmarkEnd w:id="75"/>
    </w:p>
    <w:p w14:paraId="591D79B5" w14:textId="77777777" w:rsidR="00DB58FF" w:rsidRPr="00D45B1A" w:rsidRDefault="00DB58FF" w:rsidP="00554A66">
      <w:pPr>
        <w:pStyle w:val="Heading3"/>
      </w:pPr>
      <w:r w:rsidRPr="00D45B1A">
        <w:t>Scope</w:t>
      </w:r>
    </w:p>
    <w:p w14:paraId="5AD30226" w14:textId="60E9E039" w:rsidR="00DB58FF" w:rsidRPr="00D45B1A" w:rsidRDefault="00DB58FF" w:rsidP="00554A66">
      <w:pPr>
        <w:rPr>
          <w:lang w:eastAsia="ja-JP"/>
        </w:rPr>
      </w:pPr>
      <w:r w:rsidRPr="00D45B1A">
        <w:rPr>
          <w:lang w:eastAsia="ja-JP"/>
        </w:rPr>
        <w:t xml:space="preserve">This </w:t>
      </w:r>
      <w:r w:rsidR="004D6235">
        <w:rPr>
          <w:lang w:eastAsia="ja-JP"/>
        </w:rPr>
        <w:t>b</w:t>
      </w:r>
      <w:r w:rsidR="001701AB">
        <w:rPr>
          <w:lang w:eastAsia="ja-JP"/>
        </w:rPr>
        <w:t>usiness rule</w:t>
      </w:r>
      <w:r w:rsidRPr="00D45B1A">
        <w:rPr>
          <w:lang w:eastAsia="ja-JP"/>
        </w:rPr>
        <w:t xml:space="preserve"> gives</w:t>
      </w:r>
      <w:r w:rsidR="00BB52D3">
        <w:rPr>
          <w:lang w:eastAsia="ja-JP"/>
        </w:rPr>
        <w:t xml:space="preserve"> costing</w:t>
      </w:r>
      <w:r w:rsidRPr="00D45B1A">
        <w:rPr>
          <w:lang w:eastAsia="ja-JP"/>
        </w:rPr>
        <w:t xml:space="preserve"> guidelines for aligning source hospital costing activity to national data sets for national reporting purposes.</w:t>
      </w:r>
    </w:p>
    <w:p w14:paraId="6C064D22" w14:textId="77777777" w:rsidR="00DB58FF" w:rsidRPr="00D45B1A" w:rsidRDefault="00DB58FF" w:rsidP="00554A66">
      <w:pPr>
        <w:pStyle w:val="Heading3"/>
      </w:pPr>
      <w:r w:rsidRPr="00D45B1A">
        <w:t>Objective</w:t>
      </w:r>
    </w:p>
    <w:p w14:paraId="48CA0FAE" w14:textId="77777777" w:rsidR="00DB58FF" w:rsidRPr="00D45B1A" w:rsidRDefault="00DB58FF" w:rsidP="00554A66">
      <w:r w:rsidRPr="00D45B1A">
        <w:t>To ensure that source costing data is aligned to national data sets to enable national consistent measures of costed patient products.</w:t>
      </w:r>
    </w:p>
    <w:p w14:paraId="0AC869A5" w14:textId="074BE5E5" w:rsidR="00DB58FF" w:rsidRPr="00D45B1A" w:rsidRDefault="001701AB" w:rsidP="00554A66">
      <w:pPr>
        <w:pStyle w:val="Heading3"/>
      </w:pPr>
      <w:r>
        <w:t xml:space="preserve">Business </w:t>
      </w:r>
      <w:r w:rsidR="00F604EA">
        <w:t>R</w:t>
      </w:r>
      <w:r>
        <w:t>ule</w:t>
      </w:r>
    </w:p>
    <w:p w14:paraId="458993D7" w14:textId="31A98F7F" w:rsidR="00DB58FF" w:rsidRPr="00D45B1A" w:rsidRDefault="00DB58FF" w:rsidP="00554A66">
      <w:r w:rsidRPr="00D45B1A">
        <w:t xml:space="preserve">Activity data that is extracted from the hospital’s local information systems such as the hospital </w:t>
      </w:r>
      <w:r w:rsidR="00D215F6">
        <w:t>p</w:t>
      </w:r>
      <w:r w:rsidRPr="00D45B1A">
        <w:t xml:space="preserve">atient </w:t>
      </w:r>
      <w:r w:rsidR="00D215F6">
        <w:t>a</w:t>
      </w:r>
      <w:r w:rsidRPr="00D45B1A">
        <w:t xml:space="preserve">dministration </w:t>
      </w:r>
      <w:r w:rsidR="00D215F6">
        <w:t>s</w:t>
      </w:r>
      <w:r w:rsidRPr="00D45B1A">
        <w:t xml:space="preserve">ystem, </w:t>
      </w:r>
      <w:r w:rsidR="00D215F6">
        <w:t>e</w:t>
      </w:r>
      <w:r w:rsidRPr="00D45B1A">
        <w:t xml:space="preserve">mergency </w:t>
      </w:r>
      <w:r w:rsidR="00D215F6">
        <w:t>d</w:t>
      </w:r>
      <w:r w:rsidRPr="00D45B1A">
        <w:t xml:space="preserve">epartment </w:t>
      </w:r>
      <w:r w:rsidR="00D215F6">
        <w:t>a</w:t>
      </w:r>
      <w:r w:rsidRPr="00D45B1A">
        <w:t xml:space="preserve">dmission </w:t>
      </w:r>
      <w:r w:rsidR="00D215F6">
        <w:t>s</w:t>
      </w:r>
      <w:r w:rsidRPr="00D45B1A">
        <w:t xml:space="preserve">ystem and </w:t>
      </w:r>
      <w:r w:rsidR="00D215F6">
        <w:t>o</w:t>
      </w:r>
      <w:r w:rsidRPr="00D45B1A">
        <w:t xml:space="preserve">utpatient </w:t>
      </w:r>
      <w:r w:rsidR="00D215F6">
        <w:t>b</w:t>
      </w:r>
      <w:r w:rsidRPr="00D45B1A">
        <w:t xml:space="preserve">ooking </w:t>
      </w:r>
      <w:r w:rsidR="00D215F6">
        <w:t>s</w:t>
      </w:r>
      <w:r w:rsidRPr="00D45B1A">
        <w:t>ystem is not only used to measure hospitals products but also used for national reporting.</w:t>
      </w:r>
    </w:p>
    <w:p w14:paraId="49F98216" w14:textId="461B94C1" w:rsidR="00DB58FF" w:rsidRPr="00D45B1A" w:rsidRDefault="00DB58FF" w:rsidP="00554A66">
      <w:r w:rsidRPr="00D45B1A">
        <w:t>Costing practitioners should be aware that patient activity used for national reporting purposes is generally co-ordinated by jurisdictional authorities as part of their national reporting obligations. The total quantum of activity (including costed activity such as those records reported to the National Hospital Cost Data Collection) that a jurisdiction may provide to national agencies to fulfil those obligations can differ from activity data that is available in the hospital’s local information systems and supplied by the hospital to the jurisdiction. These differences may occur for a number of reasons including the scope and purpose of national reporting and changes made to data after application of validation and quality assurance processes by the jurisdiction.</w:t>
      </w:r>
    </w:p>
    <w:p w14:paraId="04005DD0" w14:textId="77777777" w:rsidR="00DB58FF" w:rsidRPr="00D45B1A" w:rsidRDefault="00DB58FF" w:rsidP="00554A66">
      <w:r w:rsidRPr="00D45B1A">
        <w:t>To ensure that data used is appropriate to inform both local and national reporting obligation, costing practitioners should consult with their:</w:t>
      </w:r>
    </w:p>
    <w:p w14:paraId="1D1BA38C" w14:textId="12DB1B09" w:rsidR="00DB58FF" w:rsidRPr="00D45B1A" w:rsidRDefault="002E574D" w:rsidP="003F3BEC">
      <w:pPr>
        <w:pStyle w:val="ListBullet"/>
        <w:tabs>
          <w:tab w:val="clear" w:pos="360"/>
          <w:tab w:val="num" w:pos="2203"/>
        </w:tabs>
        <w:ind w:left="2203"/>
      </w:pPr>
      <w:r>
        <w:t>j</w:t>
      </w:r>
      <w:r w:rsidR="00DB58FF" w:rsidRPr="00D45B1A">
        <w:t>urisdictional authority, to understand the minimum reporting requirements for which hospital activity data is used at local and national levels</w:t>
      </w:r>
    </w:p>
    <w:p w14:paraId="485DE110" w14:textId="5450794F" w:rsidR="00DB58FF" w:rsidRPr="00D45B1A" w:rsidRDefault="002E574D" w:rsidP="003F3BEC">
      <w:pPr>
        <w:pStyle w:val="ListBullet"/>
        <w:tabs>
          <w:tab w:val="clear" w:pos="360"/>
          <w:tab w:val="num" w:pos="2203"/>
        </w:tabs>
        <w:ind w:left="2203"/>
      </w:pPr>
      <w:r>
        <w:t>l</w:t>
      </w:r>
      <w:r w:rsidR="00DB58FF" w:rsidRPr="00D45B1A">
        <w:t xml:space="preserve">ocal </w:t>
      </w:r>
      <w:r w:rsidR="00E12826">
        <w:t>health information s</w:t>
      </w:r>
      <w:r w:rsidR="00DB58FF" w:rsidRPr="00D45B1A">
        <w:t>er</w:t>
      </w:r>
      <w:r w:rsidR="00E12826">
        <w:t>vice</w:t>
      </w:r>
      <w:r w:rsidR="00DB58FF" w:rsidRPr="00D45B1A">
        <w:t xml:space="preserve"> </w:t>
      </w:r>
      <w:r w:rsidR="00251C82">
        <w:t>providers</w:t>
      </w:r>
      <w:r w:rsidR="00251C82" w:rsidRPr="00D45B1A">
        <w:t xml:space="preserve"> </w:t>
      </w:r>
      <w:r w:rsidR="00DB58FF" w:rsidRPr="00D45B1A">
        <w:t xml:space="preserve">to ensure that local activity information used for costing purposes is consistent and reconciles to data submitted to the jurisdiction authority for reporting purposes. </w:t>
      </w:r>
    </w:p>
    <w:p w14:paraId="54900D49" w14:textId="77777777" w:rsidR="00DB58FF" w:rsidRPr="00D45B1A" w:rsidRDefault="00DB58FF" w:rsidP="00554A66">
      <w:r w:rsidRPr="00D45B1A">
        <w:t>The primary national datasets that costing practitioners should be aware of include:</w:t>
      </w:r>
    </w:p>
    <w:p w14:paraId="355A87A1" w14:textId="50F2B5EB" w:rsidR="00DB58FF" w:rsidRPr="00D45B1A" w:rsidRDefault="00D215F6" w:rsidP="00342B27">
      <w:pPr>
        <w:pStyle w:val="ListBullet"/>
        <w:tabs>
          <w:tab w:val="clear" w:pos="360"/>
          <w:tab w:val="num" w:pos="2203"/>
        </w:tabs>
        <w:spacing w:after="120"/>
        <w:ind w:left="2203" w:hanging="357"/>
      </w:pPr>
      <w:r>
        <w:t>e</w:t>
      </w:r>
      <w:r w:rsidR="00DB58FF" w:rsidRPr="00D45B1A">
        <w:t>pisode of care, as collected in:</w:t>
      </w:r>
    </w:p>
    <w:p w14:paraId="6D120AB8" w14:textId="0A39D21A" w:rsidR="00DB58FF" w:rsidRPr="00D45B1A" w:rsidRDefault="00A62C0B" w:rsidP="00342B27">
      <w:pPr>
        <w:pStyle w:val="ListBullet"/>
        <w:numPr>
          <w:ilvl w:val="0"/>
          <w:numId w:val="5"/>
        </w:numPr>
        <w:spacing w:after="120"/>
        <w:ind w:hanging="357"/>
      </w:pPr>
      <w:r>
        <w:t>A</w:t>
      </w:r>
      <w:r w:rsidR="00DB58FF" w:rsidRPr="00D45B1A">
        <w:t xml:space="preserve">dmitted Patient Care National Minimum Data Set (NMDS) </w:t>
      </w:r>
    </w:p>
    <w:p w14:paraId="68322FE0" w14:textId="673DE372" w:rsidR="00DB58FF" w:rsidRPr="00D45B1A" w:rsidRDefault="00A62C0B" w:rsidP="00342B27">
      <w:pPr>
        <w:pStyle w:val="ListBullet"/>
        <w:numPr>
          <w:ilvl w:val="0"/>
          <w:numId w:val="5"/>
        </w:numPr>
        <w:spacing w:after="120"/>
        <w:ind w:hanging="357"/>
      </w:pPr>
      <w:r>
        <w:t>A</w:t>
      </w:r>
      <w:r w:rsidR="00DB58FF" w:rsidRPr="00D45B1A">
        <w:t xml:space="preserve">dmitted Subacute and Non-Acute Hospital Care National Best Endeavours Data Set (NBEDS) </w:t>
      </w:r>
    </w:p>
    <w:p w14:paraId="6863881A" w14:textId="4C4B6880" w:rsidR="00DB58FF" w:rsidRPr="00D45B1A" w:rsidRDefault="00A62C0B" w:rsidP="00342B27">
      <w:pPr>
        <w:pStyle w:val="ListBullet"/>
        <w:numPr>
          <w:ilvl w:val="0"/>
          <w:numId w:val="5"/>
        </w:numPr>
        <w:spacing w:after="120"/>
        <w:ind w:hanging="357"/>
      </w:pPr>
      <w:r>
        <w:t>M</w:t>
      </w:r>
      <w:r w:rsidR="00B370DF">
        <w:t>ental Health Care NBEDS</w:t>
      </w:r>
    </w:p>
    <w:p w14:paraId="4D694495" w14:textId="03F4D969" w:rsidR="00DB58FF" w:rsidRPr="00D45B1A" w:rsidRDefault="00D215F6" w:rsidP="00342B27">
      <w:pPr>
        <w:pStyle w:val="ListBullet"/>
        <w:tabs>
          <w:tab w:val="clear" w:pos="360"/>
          <w:tab w:val="num" w:pos="2203"/>
        </w:tabs>
        <w:spacing w:after="120"/>
        <w:ind w:left="2203" w:hanging="357"/>
      </w:pPr>
      <w:r>
        <w:t>e</w:t>
      </w:r>
      <w:r w:rsidR="00DB58FF" w:rsidRPr="00D45B1A">
        <w:t>mergency department stay, as collected in:</w:t>
      </w:r>
    </w:p>
    <w:p w14:paraId="5A78DAA0" w14:textId="63453BA1" w:rsidR="00DB58FF" w:rsidRPr="00D45B1A" w:rsidRDefault="00A62C0B" w:rsidP="00342B27">
      <w:pPr>
        <w:pStyle w:val="ListBullet"/>
        <w:numPr>
          <w:ilvl w:val="0"/>
          <w:numId w:val="5"/>
        </w:numPr>
        <w:spacing w:after="120"/>
        <w:ind w:hanging="357"/>
      </w:pPr>
      <w:r>
        <w:t>N</w:t>
      </w:r>
      <w:r w:rsidR="00DB58FF" w:rsidRPr="00D45B1A">
        <w:t>on-Admitted Patient Emergency Department Care NMDS</w:t>
      </w:r>
    </w:p>
    <w:p w14:paraId="69680570" w14:textId="720D68F3" w:rsidR="00DB58FF" w:rsidRPr="00D45B1A" w:rsidRDefault="00A62C0B" w:rsidP="00342B27">
      <w:pPr>
        <w:pStyle w:val="ListBullet"/>
        <w:numPr>
          <w:ilvl w:val="0"/>
          <w:numId w:val="5"/>
        </w:numPr>
        <w:spacing w:after="120"/>
        <w:ind w:hanging="357"/>
      </w:pPr>
      <w:r>
        <w:t>E</w:t>
      </w:r>
      <w:r w:rsidR="00DB58FF" w:rsidRPr="00D45B1A">
        <w:t>mergency Service Care NBEDS</w:t>
      </w:r>
    </w:p>
    <w:p w14:paraId="56A5874E" w14:textId="07802DD6" w:rsidR="00DB58FF" w:rsidRPr="00D45B1A" w:rsidRDefault="00A62C0B" w:rsidP="00342B27">
      <w:pPr>
        <w:pStyle w:val="ListBullet"/>
        <w:tabs>
          <w:tab w:val="clear" w:pos="360"/>
          <w:tab w:val="num" w:pos="2203"/>
        </w:tabs>
        <w:spacing w:after="120"/>
        <w:ind w:left="2203" w:hanging="357"/>
      </w:pPr>
      <w:r>
        <w:t>s</w:t>
      </w:r>
      <w:r w:rsidR="00DB58FF" w:rsidRPr="00D45B1A">
        <w:t>ervice events, as collected in:</w:t>
      </w:r>
    </w:p>
    <w:p w14:paraId="2744B193" w14:textId="5B6B3272" w:rsidR="00DB58FF" w:rsidRDefault="00A62C0B" w:rsidP="00342B27">
      <w:pPr>
        <w:pStyle w:val="ListBullet"/>
        <w:numPr>
          <w:ilvl w:val="0"/>
          <w:numId w:val="5"/>
        </w:numPr>
        <w:spacing w:after="120"/>
        <w:ind w:hanging="357"/>
      </w:pPr>
      <w:r>
        <w:lastRenderedPageBreak/>
        <w:t>N</w:t>
      </w:r>
      <w:r w:rsidR="00DB58FF" w:rsidRPr="00D45B1A">
        <w:t>on-Admitted Patient NBEDS</w:t>
      </w:r>
    </w:p>
    <w:p w14:paraId="1FD158D1" w14:textId="15F2685C" w:rsidR="004407EA" w:rsidRDefault="002E574D" w:rsidP="00342B27">
      <w:pPr>
        <w:pStyle w:val="ListBullet"/>
        <w:tabs>
          <w:tab w:val="clear" w:pos="360"/>
          <w:tab w:val="num" w:pos="2203"/>
        </w:tabs>
        <w:spacing w:after="120"/>
        <w:ind w:left="2203" w:hanging="357"/>
      </w:pPr>
      <w:r>
        <w:t>Teaching, training and r</w:t>
      </w:r>
      <w:r w:rsidR="004407EA">
        <w:t>esearch activities, as collected in:</w:t>
      </w:r>
    </w:p>
    <w:p w14:paraId="1A2419A5" w14:textId="3D85E7E6" w:rsidR="004407EA" w:rsidRPr="00D45B1A" w:rsidRDefault="004407EA" w:rsidP="00342B27">
      <w:pPr>
        <w:pStyle w:val="ListBullet"/>
        <w:numPr>
          <w:ilvl w:val="0"/>
          <w:numId w:val="5"/>
        </w:numPr>
        <w:spacing w:after="120"/>
        <w:ind w:hanging="357"/>
      </w:pPr>
      <w:r w:rsidRPr="00D91D75">
        <w:t xml:space="preserve">Hospital </w:t>
      </w:r>
      <w:r>
        <w:t>T</w:t>
      </w:r>
      <w:r w:rsidRPr="00D91D75">
        <w:t xml:space="preserve">eaching, </w:t>
      </w:r>
      <w:r>
        <w:t>T</w:t>
      </w:r>
      <w:r w:rsidRPr="00D91D75">
        <w:t xml:space="preserve">raining and </w:t>
      </w:r>
      <w:r>
        <w:t>R</w:t>
      </w:r>
      <w:r w:rsidRPr="00D91D75">
        <w:t xml:space="preserve">esearch </w:t>
      </w:r>
      <w:r>
        <w:t>A</w:t>
      </w:r>
      <w:r w:rsidRPr="00D91D75">
        <w:t xml:space="preserve">ctivities </w:t>
      </w:r>
      <w:r w:rsidR="002E574D">
        <w:t>NBEDS</w:t>
      </w:r>
    </w:p>
    <w:p w14:paraId="115D2002" w14:textId="1A4BEB0E" w:rsidR="00416E51" w:rsidRPr="00C86147" w:rsidRDefault="002E574D" w:rsidP="00554A66">
      <w:r>
        <w:t>Costing p</w:t>
      </w:r>
      <w:r w:rsidR="00DB58FF" w:rsidRPr="00D45B1A">
        <w:t>ractitioners should work with jurisdictions to account for and document any differences of patient activity that is costed and activity information that is provided for national reporting.</w:t>
      </w:r>
    </w:p>
    <w:p w14:paraId="3CA1AAC5" w14:textId="3A7B3919" w:rsidR="00FF77DA" w:rsidRDefault="00DB58FF" w:rsidP="00631701">
      <w:pPr>
        <w:pStyle w:val="Heading2"/>
        <w:numPr>
          <w:ilvl w:val="1"/>
          <w:numId w:val="10"/>
        </w:numPr>
        <w:spacing w:before="0" w:after="240"/>
        <w:contextualSpacing w:val="0"/>
        <w:rPr>
          <w:lang w:eastAsia="ja-JP"/>
        </w:rPr>
      </w:pPr>
      <w:r w:rsidRPr="00D45B1A">
        <w:rPr>
          <w:rFonts w:cs="Arial"/>
        </w:rPr>
        <w:br w:type="page"/>
      </w:r>
      <w:bookmarkStart w:id="76" w:name="_Toc80348278"/>
      <w:bookmarkStart w:id="77" w:name="_Ref478652115"/>
      <w:bookmarkStart w:id="78" w:name="_Toc480492947"/>
      <w:r w:rsidR="00FF77DA">
        <w:rPr>
          <w:lang w:eastAsia="ja-JP"/>
        </w:rPr>
        <w:lastRenderedPageBreak/>
        <w:t xml:space="preserve">Information </w:t>
      </w:r>
      <w:r w:rsidR="00161CDB">
        <w:rPr>
          <w:lang w:eastAsia="ja-JP"/>
        </w:rPr>
        <w:t>R</w:t>
      </w:r>
      <w:r w:rsidR="00FF77DA">
        <w:rPr>
          <w:lang w:eastAsia="ja-JP"/>
        </w:rPr>
        <w:t>equirements</w:t>
      </w:r>
      <w:bookmarkEnd w:id="76"/>
      <w:r w:rsidRPr="00416E51">
        <w:rPr>
          <w:lang w:eastAsia="ja-JP"/>
        </w:rPr>
        <w:t xml:space="preserve"> </w:t>
      </w:r>
    </w:p>
    <w:p w14:paraId="21210A54" w14:textId="51852971" w:rsidR="00DB58FF" w:rsidRPr="00416E51" w:rsidRDefault="00DB58FF" w:rsidP="00FF77DA">
      <w:pPr>
        <w:pStyle w:val="Heading2"/>
      </w:pPr>
      <w:bookmarkStart w:id="79" w:name="_Toc80348279"/>
      <w:r w:rsidRPr="00416E51">
        <w:t xml:space="preserve">Overhead </w:t>
      </w:r>
      <w:r w:rsidR="00161CDB">
        <w:t>A</w:t>
      </w:r>
      <w:r w:rsidR="00DC1841" w:rsidRPr="00416E51">
        <w:t xml:space="preserve">llocation </w:t>
      </w:r>
      <w:r w:rsidR="00161CDB">
        <w:t>S</w:t>
      </w:r>
      <w:r w:rsidR="00DC1841" w:rsidRPr="00416E51">
        <w:t>tatistics</w:t>
      </w:r>
      <w:bookmarkEnd w:id="79"/>
    </w:p>
    <w:bookmarkEnd w:id="77"/>
    <w:bookmarkEnd w:id="78"/>
    <w:p w14:paraId="0B960C4A" w14:textId="77777777" w:rsidR="00DB58FF" w:rsidRPr="00D45B1A" w:rsidRDefault="00DB58FF" w:rsidP="00554A66">
      <w:pPr>
        <w:pStyle w:val="Heading3"/>
      </w:pPr>
      <w:r w:rsidRPr="00D45B1A">
        <w:t>Scope</w:t>
      </w:r>
    </w:p>
    <w:p w14:paraId="16622935" w14:textId="5AA9B776" w:rsidR="00DB58FF" w:rsidRPr="00D45B1A" w:rsidRDefault="00DB58FF" w:rsidP="00554A66">
      <w:r w:rsidRPr="00D45B1A">
        <w:t xml:space="preserve">This </w:t>
      </w:r>
      <w:r w:rsidR="00F604EA">
        <w:t>B</w:t>
      </w:r>
      <w:r w:rsidR="001701AB">
        <w:t xml:space="preserve">usiness </w:t>
      </w:r>
      <w:r w:rsidR="00F604EA">
        <w:t>R</w:t>
      </w:r>
      <w:r w:rsidR="001701AB">
        <w:t>ule</w:t>
      </w:r>
      <w:r w:rsidRPr="00D45B1A">
        <w:t xml:space="preserve"> provides a </w:t>
      </w:r>
      <w:r w:rsidR="00BB52D3">
        <w:t xml:space="preserve">costing </w:t>
      </w:r>
      <w:r w:rsidRPr="00D45B1A">
        <w:t xml:space="preserve">guideline on the application of overhead allocation statistics used to allocate overhead expense to final cost centres. </w:t>
      </w:r>
    </w:p>
    <w:p w14:paraId="4ED3A42E" w14:textId="77777777" w:rsidR="00DB58FF" w:rsidRPr="00D45B1A" w:rsidRDefault="00DB58FF" w:rsidP="00554A66">
      <w:pPr>
        <w:pStyle w:val="Heading3"/>
      </w:pPr>
      <w:r w:rsidRPr="00D45B1A">
        <w:t>Objective</w:t>
      </w:r>
    </w:p>
    <w:p w14:paraId="284E4EF5" w14:textId="05997C97" w:rsidR="00DB58FF" w:rsidRPr="00D45B1A" w:rsidRDefault="00DB58FF" w:rsidP="00554A66">
      <w:r w:rsidRPr="00D45B1A">
        <w:t xml:space="preserve">The objective of this </w:t>
      </w:r>
      <w:r w:rsidR="001701AB">
        <w:t>rule</w:t>
      </w:r>
      <w:r w:rsidRPr="00D45B1A">
        <w:t xml:space="preserve"> is to </w:t>
      </w:r>
      <w:r w:rsidRPr="00D45B1A">
        <w:rPr>
          <w:lang w:eastAsia="ja-JP"/>
        </w:rPr>
        <w:t>ensure that costing practitioners apply the most appropriate statistic to allocate overhead expenses to final cost centres. This selection enables the most appropriate allocation</w:t>
      </w:r>
      <w:r w:rsidR="001701AB">
        <w:rPr>
          <w:lang w:eastAsia="ja-JP"/>
        </w:rPr>
        <w:t>/</w:t>
      </w:r>
      <w:r w:rsidRPr="00D45B1A">
        <w:rPr>
          <w:lang w:eastAsia="ja-JP"/>
        </w:rPr>
        <w:t>share of overhead expenses to various final cost centres, thereby improving the quality and comparability of the costing results</w:t>
      </w:r>
      <w:r w:rsidRPr="00D45B1A">
        <w:t xml:space="preserve">. </w:t>
      </w:r>
    </w:p>
    <w:p w14:paraId="5F37C31A" w14:textId="6C4D4FEB" w:rsidR="00DB58FF" w:rsidRPr="00D45B1A" w:rsidRDefault="001701AB" w:rsidP="00554A66">
      <w:pPr>
        <w:pStyle w:val="Heading3"/>
      </w:pPr>
      <w:r>
        <w:t xml:space="preserve">Business </w:t>
      </w:r>
      <w:r w:rsidR="00F604EA">
        <w:t>R</w:t>
      </w:r>
      <w:r>
        <w:t>ules</w:t>
      </w:r>
    </w:p>
    <w:p w14:paraId="79449BD3" w14:textId="77777777" w:rsidR="00DB58FF" w:rsidRPr="00D45B1A" w:rsidRDefault="00DB58FF" w:rsidP="00554A66">
      <w:r w:rsidRPr="00D45B1A">
        <w:rPr>
          <w:lang w:eastAsia="ja-JP"/>
        </w:rPr>
        <w:t>All expenses accumulated in overhead cost centres must be allocated to the final cost centres.</w:t>
      </w:r>
    </w:p>
    <w:p w14:paraId="581AF69F" w14:textId="77777777" w:rsidR="00DB58FF" w:rsidRDefault="00DB58FF" w:rsidP="00554A66">
      <w:pPr>
        <w:rPr>
          <w:lang w:eastAsia="ja-JP"/>
        </w:rPr>
      </w:pPr>
      <w:r w:rsidRPr="00D45B1A">
        <w:t xml:space="preserve">There are </w:t>
      </w:r>
      <w:r w:rsidRPr="00D45B1A">
        <w:rPr>
          <w:lang w:eastAsia="ja-JP"/>
        </w:rPr>
        <w:t>two types of overhead allocation statistics:</w:t>
      </w:r>
    </w:p>
    <w:p w14:paraId="1D740D1A" w14:textId="41FFDDBE" w:rsidR="00C9390B" w:rsidRPr="00C9390B" w:rsidRDefault="00DD265C" w:rsidP="003F3BEC">
      <w:pPr>
        <w:pStyle w:val="ListBullet"/>
        <w:tabs>
          <w:tab w:val="clear" w:pos="360"/>
          <w:tab w:val="num" w:pos="2194"/>
        </w:tabs>
        <w:ind w:left="2194"/>
      </w:pPr>
      <w:r w:rsidRPr="00C9390B">
        <w:t>fina</w:t>
      </w:r>
      <w:r w:rsidR="003F1BF5">
        <w:t>ncial allocation statistics</w:t>
      </w:r>
    </w:p>
    <w:p w14:paraId="08276209" w14:textId="6412448D" w:rsidR="00C9390B" w:rsidRPr="00C9390B" w:rsidRDefault="00DD265C" w:rsidP="003F3BEC">
      <w:pPr>
        <w:pStyle w:val="ListBullet"/>
        <w:tabs>
          <w:tab w:val="clear" w:pos="360"/>
          <w:tab w:val="num" w:pos="2194"/>
        </w:tabs>
        <w:ind w:left="2194"/>
      </w:pPr>
      <w:r w:rsidRPr="00C9390B">
        <w:t>non-financial allocation st</w:t>
      </w:r>
      <w:r w:rsidR="00C9390B" w:rsidRPr="00C9390B">
        <w:t>atistics.</w:t>
      </w:r>
    </w:p>
    <w:p w14:paraId="69E8A099" w14:textId="2F08B8F1" w:rsidR="00DB58FF" w:rsidRPr="00D45B1A" w:rsidRDefault="00DB58FF" w:rsidP="00554A66">
      <w:r w:rsidRPr="00F97E63">
        <w:t>Financial allocation statistics</w:t>
      </w:r>
      <w:r w:rsidRPr="00BD47FF">
        <w:t xml:space="preserve"> </w:t>
      </w:r>
      <w:r w:rsidRPr="00D45B1A">
        <w:t xml:space="preserve">generally use data from the general ledger to allocate expense to final cost centres. For example, the use of nurse salaries to allocate the cost of nursing management overheads to all </w:t>
      </w:r>
      <w:r w:rsidR="00EC7B20">
        <w:t>cost centres with nursing staff where nursing management has operational oversight</w:t>
      </w:r>
      <w:r w:rsidRPr="00D45B1A">
        <w:t>; and</w:t>
      </w:r>
    </w:p>
    <w:p w14:paraId="1C6609AA" w14:textId="6DA04347" w:rsidR="00DB58FF" w:rsidRPr="00D45B1A" w:rsidRDefault="00DB58FF" w:rsidP="00554A66">
      <w:r w:rsidRPr="00F97E63">
        <w:t>N</w:t>
      </w:r>
      <w:r w:rsidR="00DD265C" w:rsidRPr="00F97E63">
        <w:t>on-fina</w:t>
      </w:r>
      <w:r w:rsidRPr="00F97E63">
        <w:t>ncial allocation statistics</w:t>
      </w:r>
      <w:r w:rsidRPr="00D45B1A">
        <w:t xml:space="preserve"> generally refer to statistics from that overhead</w:t>
      </w:r>
      <w:r w:rsidRPr="00D45B1A">
        <w:rPr>
          <w:lang w:eastAsia="ja-JP"/>
        </w:rPr>
        <w:t xml:space="preserve"> organisational area used for allocation to final cost centres. For example, the number of meals produced for each ward (for catering expenses) or metres of floor space (for cleaning expenses).</w:t>
      </w:r>
    </w:p>
    <w:p w14:paraId="118D90CF" w14:textId="77777777" w:rsidR="00DB58FF" w:rsidRPr="00D45B1A" w:rsidRDefault="00DB58FF" w:rsidP="00554A66">
      <w:r w:rsidRPr="00D45B1A">
        <w:rPr>
          <w:lang w:eastAsia="ja-JP"/>
        </w:rPr>
        <w:t>Where overheads are traceable, and can be directly allocated to patient activity, costing practitioners should prioritise this allocation approach.</w:t>
      </w:r>
    </w:p>
    <w:p w14:paraId="7EF904B3" w14:textId="77777777" w:rsidR="00DB58FF" w:rsidRPr="00D45B1A" w:rsidRDefault="00DB58FF" w:rsidP="00554A66">
      <w:r w:rsidRPr="00D45B1A">
        <w:t xml:space="preserve">Technology advances and better feeder systems in hospitals have improved the hospital’s ability to track the type and amount of resources used by patients. Costing practitioners should assign </w:t>
      </w:r>
      <w:r w:rsidR="00C9390B" w:rsidRPr="00D45B1A">
        <w:t>these overhead expenses</w:t>
      </w:r>
      <w:r w:rsidRPr="00D45B1A">
        <w:t xml:space="preserve"> directly to patients if this information is available. For example, patient food ordering systems integrated with the Patient Management System enables the hospital to allocate catering expenses directly to the patient.</w:t>
      </w:r>
    </w:p>
    <w:p w14:paraId="32364D60" w14:textId="1374B136" w:rsidR="00DB58FF" w:rsidRPr="00D45B1A" w:rsidRDefault="00DB58FF" w:rsidP="00554A66">
      <w:r w:rsidRPr="00D45B1A">
        <w:t xml:space="preserve">Some expenses in overhead cost centres may need to be moved so that they can be allocated in more than one way. For example, traceable expenses in catering may be allocated directly to patients using utilisation data from a patient ordering system and the </w:t>
      </w:r>
      <w:r w:rsidR="002358BD">
        <w:t xml:space="preserve">non-traceable expenses allocated </w:t>
      </w:r>
      <w:r w:rsidR="002E574D">
        <w:t>using full-time e</w:t>
      </w:r>
      <w:r w:rsidRPr="00D45B1A">
        <w:t>quivalents</w:t>
      </w:r>
      <w:r w:rsidR="00DD265C">
        <w:t xml:space="preserve"> (FTE)</w:t>
      </w:r>
      <w:r w:rsidRPr="00D45B1A">
        <w:t xml:space="preserve"> (for staff meals).</w:t>
      </w:r>
    </w:p>
    <w:p w14:paraId="68432993" w14:textId="7CABB84F" w:rsidR="00DB58FF" w:rsidRPr="00D45B1A" w:rsidRDefault="00DB58FF" w:rsidP="00554A66">
      <w:r w:rsidRPr="00D45B1A">
        <w:t xml:space="preserve">Some overhead organisational services may provide reciprocal support to other overhead organisational services besides supporting the final cost centres. </w:t>
      </w:r>
      <w:r w:rsidRPr="00D45B1A">
        <w:rPr>
          <w:lang w:eastAsia="ja-JP"/>
        </w:rPr>
        <w:t xml:space="preserve">Costing practitioners should consult their finance </w:t>
      </w:r>
      <w:r w:rsidR="00251C82">
        <w:rPr>
          <w:lang w:eastAsia="ja-JP"/>
        </w:rPr>
        <w:t>staff</w:t>
      </w:r>
      <w:r w:rsidR="00251C82" w:rsidRPr="00D45B1A">
        <w:rPr>
          <w:lang w:eastAsia="ja-JP"/>
        </w:rPr>
        <w:t xml:space="preserve"> </w:t>
      </w:r>
      <w:r w:rsidRPr="00D45B1A">
        <w:rPr>
          <w:lang w:eastAsia="ja-JP"/>
        </w:rPr>
        <w:t>to identify and recognise all overhead cost centres and their services in the hospital.</w:t>
      </w:r>
    </w:p>
    <w:p w14:paraId="739ED41A" w14:textId="77777777" w:rsidR="00DB58FF" w:rsidRPr="00D45B1A" w:rsidRDefault="00DB58FF" w:rsidP="00554A66">
      <w:r w:rsidRPr="00D45B1A">
        <w:lastRenderedPageBreak/>
        <w:t>Once overhead cost centres are identified, costing practitioners should review all data available and decide on the most appropriate allocation statistics used to allocate overhead expenses to relevant cost centres.</w:t>
      </w:r>
    </w:p>
    <w:p w14:paraId="2F3BD245" w14:textId="13BBD011" w:rsidR="00DB58FF" w:rsidRPr="00D45B1A" w:rsidRDefault="00DB58FF" w:rsidP="00554A66">
      <w:r w:rsidRPr="00D45B1A">
        <w:rPr>
          <w:lang w:eastAsia="ja-JP"/>
        </w:rPr>
        <w:t xml:space="preserve">When allocating overheads to other cost centres, </w:t>
      </w:r>
      <w:r w:rsidR="00531794">
        <w:rPr>
          <w:lang w:eastAsia="ja-JP"/>
        </w:rPr>
        <w:t xml:space="preserve">one option is to use the actual cost as the </w:t>
      </w:r>
      <w:r w:rsidRPr="00D45B1A">
        <w:t xml:space="preserve">allocation statistic. Examples include detail provided within internal or external billing for overhead organisational services, such as external transport billing. </w:t>
      </w:r>
    </w:p>
    <w:p w14:paraId="24FE7F67" w14:textId="3C35F86D" w:rsidR="00DB58FF" w:rsidRPr="00D45B1A" w:rsidRDefault="00DB58FF" w:rsidP="00554A66">
      <w:pPr>
        <w:rPr>
          <w:lang w:eastAsia="ja-JP"/>
        </w:rPr>
      </w:pPr>
      <w:r w:rsidRPr="00D45B1A">
        <w:rPr>
          <w:lang w:eastAsia="ja-JP"/>
        </w:rPr>
        <w:t xml:space="preserve">Where the actual costs are not known, </w:t>
      </w:r>
      <w:r w:rsidR="00DB0B85">
        <w:rPr>
          <w:lang w:eastAsia="ja-JP"/>
        </w:rPr>
        <w:t>Standard 2.2 Matching Cost Objects and Expenses</w:t>
      </w:r>
      <w:r w:rsidRPr="00D45B1A">
        <w:rPr>
          <w:lang w:eastAsia="ja-JP"/>
        </w:rPr>
        <w:t xml:space="preserve"> provides the costing practitioner an alternate order of allocation statistics for application.</w:t>
      </w:r>
    </w:p>
    <w:p w14:paraId="526A6031" w14:textId="15CBC1A6" w:rsidR="00DB58FF" w:rsidRPr="00D45B1A" w:rsidRDefault="00CB7371" w:rsidP="00554A66">
      <w:pPr>
        <w:rPr>
          <w:lang w:eastAsia="ja-JP"/>
        </w:rPr>
      </w:pPr>
      <w:r>
        <w:rPr>
          <w:lang w:eastAsia="ja-JP"/>
        </w:rPr>
        <w:t xml:space="preserve">Whilst the detail in </w:t>
      </w:r>
      <w:r w:rsidR="00DB0B85">
        <w:rPr>
          <w:lang w:eastAsia="ja-JP"/>
        </w:rPr>
        <w:t>Standard 2.2 Matching Cost Objects and Expenses</w:t>
      </w:r>
      <w:r w:rsidR="00DB0B85" w:rsidRPr="00D45B1A">
        <w:rPr>
          <w:lang w:eastAsia="ja-JP"/>
        </w:rPr>
        <w:t xml:space="preserve"> </w:t>
      </w:r>
      <w:r w:rsidR="00DB58FF" w:rsidRPr="00D45B1A">
        <w:rPr>
          <w:lang w:eastAsia="ja-JP"/>
        </w:rPr>
        <w:t>provides a suggested order of allocation statistics, costing practitioners should not choose the allocation statistics purely based on that order of preference.</w:t>
      </w:r>
    </w:p>
    <w:p w14:paraId="55F92678" w14:textId="77777777" w:rsidR="00DB58FF" w:rsidRPr="00D45B1A" w:rsidRDefault="00DB58FF" w:rsidP="00554A66">
      <w:r w:rsidRPr="00D45B1A">
        <w:rPr>
          <w:lang w:eastAsia="ja-JP"/>
        </w:rPr>
        <w:t xml:space="preserve">Other factors the costing practitioner should </w:t>
      </w:r>
      <w:r w:rsidRPr="00D45B1A">
        <w:t>consider when choosing allocation statistics include:</w:t>
      </w:r>
    </w:p>
    <w:p w14:paraId="5245AE4C" w14:textId="49143B8F" w:rsidR="00DB58FF" w:rsidRPr="00D45B1A" w:rsidRDefault="002E574D" w:rsidP="003F3BEC">
      <w:pPr>
        <w:pStyle w:val="ListBullet"/>
        <w:tabs>
          <w:tab w:val="clear" w:pos="360"/>
          <w:tab w:val="num" w:pos="2194"/>
        </w:tabs>
        <w:ind w:left="2194"/>
      </w:pPr>
      <w:r>
        <w:t>Cause and effect – t</w:t>
      </w:r>
      <w:r w:rsidR="00DB58FF" w:rsidRPr="00D45B1A">
        <w:t>he overhead should be allocated considering a cause and effect with products or services they produce</w:t>
      </w:r>
      <w:r>
        <w:t>.</w:t>
      </w:r>
      <w:r w:rsidR="00DB58FF" w:rsidRPr="00D45B1A">
        <w:t xml:space="preserve"> </w:t>
      </w:r>
    </w:p>
    <w:p w14:paraId="563C783E" w14:textId="6A9473C6" w:rsidR="00DB58FF" w:rsidRPr="00D45B1A" w:rsidRDefault="002E574D" w:rsidP="003F3BEC">
      <w:pPr>
        <w:pStyle w:val="ListBullet"/>
        <w:tabs>
          <w:tab w:val="clear" w:pos="360"/>
          <w:tab w:val="num" w:pos="2194"/>
        </w:tabs>
        <w:ind w:left="2194"/>
      </w:pPr>
      <w:r>
        <w:t>Q</w:t>
      </w:r>
      <w:r w:rsidR="00DB58FF" w:rsidRPr="00D45B1A">
        <w:t>uality of the a</w:t>
      </w:r>
      <w:r>
        <w:t xml:space="preserve">llocation statistics available – </w:t>
      </w:r>
      <w:r w:rsidR="00161CDB">
        <w:t>t</w:t>
      </w:r>
      <w:r w:rsidR="00DB58FF" w:rsidRPr="00D45B1A">
        <w:t xml:space="preserve">he allocation statistics available should be accurate, reliable, consistent and complete. They should be available and updated </w:t>
      </w:r>
      <w:r w:rsidR="00D61170">
        <w:t>regularly to reflect any changes in operations</w:t>
      </w:r>
      <w:r>
        <w:t>.</w:t>
      </w:r>
    </w:p>
    <w:p w14:paraId="68DDCC2C" w14:textId="5E910FFA" w:rsidR="00DB58FF" w:rsidRPr="00D45B1A" w:rsidRDefault="002E574D" w:rsidP="003F3BEC">
      <w:pPr>
        <w:pStyle w:val="ListBullet"/>
        <w:tabs>
          <w:tab w:val="clear" w:pos="360"/>
          <w:tab w:val="num" w:pos="2194"/>
        </w:tabs>
        <w:ind w:left="2194"/>
      </w:pPr>
      <w:r>
        <w:t>W</w:t>
      </w:r>
      <w:r w:rsidR="00CB6A8E">
        <w:t>here economically feasible</w:t>
      </w:r>
      <w:r>
        <w:t xml:space="preserve"> – s</w:t>
      </w:r>
      <w:r w:rsidR="00DB58FF" w:rsidRPr="00D45B1A">
        <w:t>ome of the allocation statistics are time-consuming and expensive to obtain or manage. Costing practitioners should consider whether the benefits of precise or more reliable cost information justify the additional expense incurred in obtaining accurate and detailed information.</w:t>
      </w:r>
    </w:p>
    <w:p w14:paraId="1FEE922C" w14:textId="77777777" w:rsidR="00DB58FF" w:rsidRPr="00D45B1A" w:rsidRDefault="00DB58FF" w:rsidP="00554A66">
      <w:r w:rsidRPr="00D45B1A">
        <w:t xml:space="preserve">Costing practitioners should also review </w:t>
      </w:r>
      <w:r w:rsidR="00C9390B">
        <w:t>the</w:t>
      </w:r>
      <w:r w:rsidRPr="00D45B1A">
        <w:t xml:space="preserve"> organisational data provided by overhead organisational units and examine if they cannot be further refined for more detailed and robust allocations. For example, </w:t>
      </w:r>
      <w:r w:rsidRPr="00D45B1A">
        <w:rPr>
          <w:lang w:eastAsia="ja-JP"/>
        </w:rPr>
        <w:t>metres of floor space may be used as the allocation statistic for distributing cleaning expenses, and under this scenario would provide greater overhead costs to general wards than the ICU as the former may be larger. This may be incorrect from a cost perspective, as this statistic does not take into account cleaning frequency. An ICU may be cleaned three times per day more than a general ward. In this case a weighted floor space (weight multiplied by floor space) might be the preferred allocation statistic to demonstrate the activity of cleaners and the distribution of overhead cleaning expenses to final cost centres (general ward and ICU).</w:t>
      </w:r>
    </w:p>
    <w:p w14:paraId="1E6A61D3" w14:textId="6E977F20" w:rsidR="00625B13" w:rsidRDefault="00DB58FF" w:rsidP="00554A66">
      <w:pPr>
        <w:rPr>
          <w:lang w:eastAsia="ja-JP"/>
        </w:rPr>
      </w:pPr>
      <w:r w:rsidRPr="00D45B1A">
        <w:rPr>
          <w:lang w:eastAsia="ja-JP"/>
        </w:rPr>
        <w:t>Cost practitioners should document the allocation statistics used for each overhead cost centre as part of the patient level costing process.</w:t>
      </w:r>
    </w:p>
    <w:p w14:paraId="44F4E490" w14:textId="77777777" w:rsidR="00625B13" w:rsidRDefault="00625B13">
      <w:pPr>
        <w:numPr>
          <w:ilvl w:val="0"/>
          <w:numId w:val="0"/>
        </w:numPr>
        <w:spacing w:before="0" w:after="0" w:line="240" w:lineRule="auto"/>
        <w:rPr>
          <w:lang w:eastAsia="ja-JP"/>
        </w:rPr>
      </w:pPr>
      <w:r>
        <w:rPr>
          <w:lang w:eastAsia="ja-JP"/>
        </w:rPr>
        <w:br w:type="page"/>
      </w:r>
    </w:p>
    <w:p w14:paraId="4C5AFF92" w14:textId="049A0D6F" w:rsidR="00CD0467" w:rsidRDefault="00CD0467" w:rsidP="00CD0467">
      <w:pPr>
        <w:pStyle w:val="Heading2"/>
      </w:pPr>
      <w:bookmarkStart w:id="80" w:name="_Toc80348280"/>
      <w:r>
        <w:lastRenderedPageBreak/>
        <w:t xml:space="preserve">Final </w:t>
      </w:r>
      <w:r w:rsidR="00161CDB">
        <w:t>A</w:t>
      </w:r>
      <w:r>
        <w:t xml:space="preserve">llocation </w:t>
      </w:r>
      <w:r w:rsidR="00161CDB">
        <w:t>S</w:t>
      </w:r>
      <w:r>
        <w:t>tatistics</w:t>
      </w:r>
      <w:bookmarkEnd w:id="80"/>
    </w:p>
    <w:p w14:paraId="5A0B6D9D" w14:textId="77777777" w:rsidR="00CD0467" w:rsidRDefault="00CD0467" w:rsidP="00CD0467">
      <w:pPr>
        <w:pStyle w:val="Heading3"/>
      </w:pPr>
      <w:r>
        <w:t>Scope</w:t>
      </w:r>
    </w:p>
    <w:p w14:paraId="0378F741" w14:textId="4F8F7300" w:rsidR="00CD0467" w:rsidRDefault="00CD0467" w:rsidP="00CD0467">
      <w:r>
        <w:t xml:space="preserve">This </w:t>
      </w:r>
      <w:r w:rsidR="00F21863">
        <w:t>B</w:t>
      </w:r>
      <w:r w:rsidR="001701AB">
        <w:t xml:space="preserve">usiness </w:t>
      </w:r>
      <w:r w:rsidR="00F21863">
        <w:t>R</w:t>
      </w:r>
      <w:r w:rsidR="001701AB">
        <w:t>ule</w:t>
      </w:r>
      <w:r>
        <w:t xml:space="preserve"> provides</w:t>
      </w:r>
      <w:r w:rsidRPr="00E13C1A">
        <w:rPr>
          <w:lang w:eastAsia="ja-JP"/>
        </w:rPr>
        <w:t xml:space="preserve"> </w:t>
      </w:r>
      <w:r>
        <w:rPr>
          <w:lang w:eastAsia="ja-JP"/>
        </w:rPr>
        <w:t>costing</w:t>
      </w:r>
      <w:r w:rsidRPr="00D45B1A">
        <w:rPr>
          <w:lang w:eastAsia="ja-JP"/>
        </w:rPr>
        <w:t xml:space="preserve"> guidelines </w:t>
      </w:r>
      <w:r>
        <w:rPr>
          <w:lang w:eastAsia="ja-JP"/>
        </w:rPr>
        <w:t xml:space="preserve">with a hierarchy </w:t>
      </w:r>
      <w:r w:rsidRPr="00D45B1A">
        <w:rPr>
          <w:lang w:eastAsia="ja-JP"/>
        </w:rPr>
        <w:t xml:space="preserve">for </w:t>
      </w:r>
      <w:r>
        <w:rPr>
          <w:lang w:eastAsia="ja-JP"/>
        </w:rPr>
        <w:t xml:space="preserve">allocation </w:t>
      </w:r>
      <w:r>
        <w:t>of costs to patient products.</w:t>
      </w:r>
    </w:p>
    <w:p w14:paraId="52B23C93" w14:textId="77777777" w:rsidR="00CD0467" w:rsidRDefault="00CD0467" w:rsidP="00CD0467">
      <w:pPr>
        <w:pStyle w:val="Heading3"/>
      </w:pPr>
      <w:r>
        <w:t>Objective</w:t>
      </w:r>
    </w:p>
    <w:p w14:paraId="1ACAA394" w14:textId="044581E4" w:rsidR="00CD0467" w:rsidRDefault="00CD0467" w:rsidP="00CD0467">
      <w:r>
        <w:t xml:space="preserve">The objective of this </w:t>
      </w:r>
      <w:r w:rsidR="001701AB">
        <w:t>rule</w:t>
      </w:r>
      <w:r>
        <w:t xml:space="preserve"> is to </w:t>
      </w:r>
      <w:r w:rsidRPr="00D45B1A">
        <w:rPr>
          <w:lang w:eastAsia="ja-JP"/>
        </w:rPr>
        <w:t xml:space="preserve">ensure that costing practitioners apply </w:t>
      </w:r>
      <w:r>
        <w:rPr>
          <w:lang w:eastAsia="ja-JP"/>
        </w:rPr>
        <w:t xml:space="preserve">a consistent approach when allocating costs </w:t>
      </w:r>
      <w:r w:rsidRPr="00D45B1A">
        <w:rPr>
          <w:lang w:eastAsia="ja-JP"/>
        </w:rPr>
        <w:t xml:space="preserve">to </w:t>
      </w:r>
      <w:r>
        <w:rPr>
          <w:lang w:eastAsia="ja-JP"/>
        </w:rPr>
        <w:t>patient products</w:t>
      </w:r>
      <w:r w:rsidRPr="00D45B1A">
        <w:rPr>
          <w:lang w:eastAsia="ja-JP"/>
        </w:rPr>
        <w:t>.</w:t>
      </w:r>
      <w:r>
        <w:rPr>
          <w:lang w:eastAsia="ja-JP"/>
        </w:rPr>
        <w:t xml:space="preserve"> The hierarchy of order of allocation </w:t>
      </w:r>
      <w:r w:rsidRPr="00D45B1A">
        <w:rPr>
          <w:lang w:eastAsia="ja-JP"/>
        </w:rPr>
        <w:t xml:space="preserve">enables the most appropriate </w:t>
      </w:r>
      <w:r>
        <w:rPr>
          <w:lang w:eastAsia="ja-JP"/>
        </w:rPr>
        <w:t xml:space="preserve">statistic to be used reflecting availability of information. </w:t>
      </w:r>
    </w:p>
    <w:p w14:paraId="6AF225E0" w14:textId="7994CC02" w:rsidR="00CD0467" w:rsidRDefault="001701AB" w:rsidP="00CD0467">
      <w:pPr>
        <w:pStyle w:val="Heading3"/>
      </w:pPr>
      <w:r>
        <w:t xml:space="preserve">Business </w:t>
      </w:r>
      <w:r w:rsidR="00F604EA">
        <w:t>R</w:t>
      </w:r>
      <w:r>
        <w:t>ules</w:t>
      </w:r>
    </w:p>
    <w:p w14:paraId="66A3FCA8" w14:textId="77777777" w:rsidR="00CD0467" w:rsidRDefault="00CD0467" w:rsidP="00CD0467">
      <w:r>
        <w:rPr>
          <w:lang w:eastAsia="ja-JP"/>
        </w:rPr>
        <w:t>The allocation of costs from final cost centres to patients should be considered reflecting the patient setting such as</w:t>
      </w:r>
      <w:r>
        <w:t xml:space="preserve"> admitted, emergency department and non-admitted patients, </w:t>
      </w:r>
    </w:p>
    <w:p w14:paraId="3C20A3A8" w14:textId="6E1A1707" w:rsidR="00CD0467" w:rsidRDefault="00CD0467" w:rsidP="00CD0467">
      <w:r>
        <w:t xml:space="preserve">Approach to allocation statistics will differ depending on the availability of utilisation data. Where actual cost is not known costs may be attributed using utilisation of the delivery setting. For </w:t>
      </w:r>
      <w:r w:rsidR="00702703">
        <w:t>example,</w:t>
      </w:r>
      <w:r>
        <w:t xml:space="preserve"> occupied bed day for medical salaries and wages, or procedure code for theatres. </w:t>
      </w:r>
    </w:p>
    <w:p w14:paraId="4B3329B7" w14:textId="77777777" w:rsidR="00CD0467" w:rsidRDefault="00CD0467" w:rsidP="00CD0467">
      <w:pPr>
        <w:rPr>
          <w:lang w:eastAsia="ja-JP"/>
        </w:rPr>
      </w:pPr>
      <w:r>
        <w:rPr>
          <w:lang w:eastAsia="ja-JP"/>
        </w:rPr>
        <w:t>The allocation methods in order of preference are:</w:t>
      </w:r>
    </w:p>
    <w:p w14:paraId="04D4287A" w14:textId="089516D6" w:rsidR="00CD0467" w:rsidRDefault="00CD0467" w:rsidP="001E51A5">
      <w:pPr>
        <w:pStyle w:val="ListBullet"/>
        <w:tabs>
          <w:tab w:val="clear" w:pos="360"/>
          <w:tab w:val="num" w:pos="2194"/>
        </w:tabs>
        <w:spacing w:after="120"/>
        <w:ind w:left="2188" w:hanging="357"/>
      </w:pPr>
      <w:r>
        <w:t>actual cost allo</w:t>
      </w:r>
      <w:r w:rsidR="002E574D">
        <w:t xml:space="preserve">cation or </w:t>
      </w:r>
      <w:r w:rsidR="003F1BF5">
        <w:t>actual time with patient</w:t>
      </w:r>
    </w:p>
    <w:p w14:paraId="5A217F60" w14:textId="5D6C5FE4" w:rsidR="00CD0467" w:rsidRDefault="00CD0467" w:rsidP="001E51A5">
      <w:pPr>
        <w:pStyle w:val="ListBullet"/>
        <w:tabs>
          <w:tab w:val="clear" w:pos="360"/>
          <w:tab w:val="num" w:pos="2194"/>
        </w:tabs>
        <w:spacing w:after="120"/>
        <w:ind w:left="2188" w:hanging="357"/>
      </w:pPr>
      <w:r>
        <w:t>plan</w:t>
      </w:r>
      <w:r w:rsidR="002E574D">
        <w:t xml:space="preserve">ned or </w:t>
      </w:r>
      <w:r w:rsidR="003F1BF5">
        <w:t>rostered time with patients</w:t>
      </w:r>
    </w:p>
    <w:p w14:paraId="52206269" w14:textId="3E3D3A2B" w:rsidR="00CD0467" w:rsidRDefault="00CD0467" w:rsidP="001E51A5">
      <w:pPr>
        <w:pStyle w:val="ListBullet"/>
        <w:tabs>
          <w:tab w:val="clear" w:pos="360"/>
          <w:tab w:val="num" w:pos="2194"/>
        </w:tabs>
        <w:spacing w:after="120"/>
        <w:ind w:left="2188" w:hanging="357"/>
      </w:pPr>
      <w:r>
        <w:t>actual utilisation with internally derived</w:t>
      </w:r>
      <w:r w:rsidR="002E574D">
        <w:t xml:space="preserve"> r</w:t>
      </w:r>
      <w:r w:rsidR="004D6235">
        <w:t xml:space="preserve">elative </w:t>
      </w:r>
      <w:r w:rsidR="00F21863">
        <w:t>v</w:t>
      </w:r>
      <w:r w:rsidR="004D6235">
        <w:t xml:space="preserve">alue </w:t>
      </w:r>
      <w:r w:rsidR="00F21863">
        <w:t>u</w:t>
      </w:r>
      <w:r w:rsidR="004D6235">
        <w:t>nits</w:t>
      </w:r>
      <w:r>
        <w:t xml:space="preserve"> </w:t>
      </w:r>
      <w:r w:rsidR="004D6235">
        <w:t>(</w:t>
      </w:r>
      <w:r>
        <w:t>RVU</w:t>
      </w:r>
      <w:r w:rsidR="004D6235">
        <w:t>)</w:t>
      </w:r>
      <w:r>
        <w:t xml:space="preserve"> that measure relative costs of</w:t>
      </w:r>
      <w:r w:rsidR="00342B27">
        <w:t xml:space="preserve"> intermediate products or </w:t>
      </w:r>
      <w:r w:rsidR="003F1BF5">
        <w:t>services</w:t>
      </w:r>
    </w:p>
    <w:p w14:paraId="3F6C3C7F" w14:textId="6A09EF0E" w:rsidR="00CD0467" w:rsidRDefault="00CD0467" w:rsidP="001E51A5">
      <w:pPr>
        <w:pStyle w:val="ListBullet"/>
        <w:tabs>
          <w:tab w:val="clear" w:pos="360"/>
          <w:tab w:val="num" w:pos="2194"/>
        </w:tabs>
        <w:spacing w:after="120"/>
        <w:ind w:left="2188" w:hanging="357"/>
      </w:pPr>
      <w:r>
        <w:t>actual utilisation with externally derived RVUs that measure relative costs of</w:t>
      </w:r>
      <w:r w:rsidR="002E574D">
        <w:t xml:space="preserve"> intermediate products or </w:t>
      </w:r>
      <w:r w:rsidR="003F1BF5">
        <w:t>services</w:t>
      </w:r>
    </w:p>
    <w:p w14:paraId="3659B29F" w14:textId="4EC683F8" w:rsidR="00CD0467" w:rsidRDefault="00CD0467" w:rsidP="001E51A5">
      <w:pPr>
        <w:pStyle w:val="ListBullet"/>
        <w:tabs>
          <w:tab w:val="clear" w:pos="360"/>
          <w:tab w:val="num" w:pos="2194"/>
        </w:tabs>
        <w:spacing w:after="120"/>
        <w:ind w:left="2188" w:hanging="357"/>
      </w:pPr>
      <w:r>
        <w:t>int</w:t>
      </w:r>
      <w:r w:rsidR="003F1BF5">
        <w:t>ernally derived service weights</w:t>
      </w:r>
    </w:p>
    <w:p w14:paraId="2A26597A" w14:textId="5C6F64B7" w:rsidR="00CD0467" w:rsidRDefault="00CD0467" w:rsidP="001E51A5">
      <w:pPr>
        <w:pStyle w:val="ListBullet"/>
        <w:tabs>
          <w:tab w:val="clear" w:pos="360"/>
          <w:tab w:val="num" w:pos="2194"/>
        </w:tabs>
        <w:spacing w:after="120"/>
        <w:ind w:left="2188" w:hanging="357"/>
      </w:pPr>
      <w:r>
        <w:t>ext</w:t>
      </w:r>
      <w:r w:rsidR="003F1BF5">
        <w:t>ernally derived service weights</w:t>
      </w:r>
      <w:r w:rsidR="00F21863">
        <w:t>.</w:t>
      </w:r>
    </w:p>
    <w:p w14:paraId="1C435D63" w14:textId="7B76A1BE" w:rsidR="00CD0467" w:rsidRDefault="00CD0467" w:rsidP="00CD0467">
      <w:pPr>
        <w:rPr>
          <w:lang w:eastAsia="ja-JP"/>
        </w:rPr>
      </w:pPr>
      <w:r>
        <w:rPr>
          <w:lang w:eastAsia="ja-JP"/>
        </w:rPr>
        <w:t xml:space="preserve">When actual cost or time with a patient is not available then it is necessary to identify a unit for allocating costs which reflects the type of resource to be costed. For </w:t>
      </w:r>
      <w:r w:rsidR="00702703">
        <w:rPr>
          <w:lang w:eastAsia="ja-JP"/>
        </w:rPr>
        <w:t>example,</w:t>
      </w:r>
      <w:r>
        <w:rPr>
          <w:lang w:eastAsia="ja-JP"/>
        </w:rPr>
        <w:t xml:space="preserve"> in wards it could be occupied bed day, in theatres it could be procedure. </w:t>
      </w:r>
    </w:p>
    <w:p w14:paraId="5F625E0E" w14:textId="42A2589B" w:rsidR="00CD0467" w:rsidRDefault="00CD0467" w:rsidP="00CD0467">
      <w:pPr>
        <w:rPr>
          <w:lang w:eastAsia="ja-JP"/>
        </w:rPr>
      </w:pPr>
      <w:r>
        <w:rPr>
          <w:lang w:eastAsia="ja-JP"/>
        </w:rPr>
        <w:t xml:space="preserve">When determining what allocation methods need to be used to cost a particular service, additional emphasis needs to be placed on what sub-components of the costing should be recognised. For </w:t>
      </w:r>
      <w:r w:rsidR="00702703">
        <w:rPr>
          <w:lang w:eastAsia="ja-JP"/>
        </w:rPr>
        <w:t>example,</w:t>
      </w:r>
      <w:r>
        <w:rPr>
          <w:lang w:eastAsia="ja-JP"/>
        </w:rPr>
        <w:t xml:space="preserve"> it would be considered less reliable to have a single RVU for all of Imaging, when it is possible to have an RVU for each Imaging service. </w:t>
      </w:r>
    </w:p>
    <w:p w14:paraId="7237AC33" w14:textId="28FB3801" w:rsidR="00DB58FF" w:rsidRPr="00D45B1A" w:rsidRDefault="00CD0467" w:rsidP="00CD0467">
      <w:r>
        <w:rPr>
          <w:lang w:eastAsia="ja-JP"/>
        </w:rPr>
        <w:t>The allocation of costs may also be a hybrid of alternatives given availab</w:t>
      </w:r>
      <w:r w:rsidR="004971D5">
        <w:rPr>
          <w:lang w:eastAsia="ja-JP"/>
        </w:rPr>
        <w:t>l</w:t>
      </w:r>
      <w:r>
        <w:rPr>
          <w:lang w:eastAsia="ja-JP"/>
        </w:rPr>
        <w:t xml:space="preserve">e data. Costs associated with a theatre procedure may be divided </w:t>
      </w:r>
      <w:r w:rsidR="00702703">
        <w:rPr>
          <w:lang w:eastAsia="ja-JP"/>
        </w:rPr>
        <w:t>into</w:t>
      </w:r>
      <w:r>
        <w:rPr>
          <w:lang w:eastAsia="ja-JP"/>
        </w:rPr>
        <w:t xml:space="preserve"> the actual procedure time where utilisation of staff time may be known and the use of an RVU to allocate costs associated with setup/clean for a procedure.</w:t>
      </w:r>
      <w:r w:rsidR="00DB58FF" w:rsidRPr="00D45B1A">
        <w:br w:type="page"/>
      </w:r>
    </w:p>
    <w:p w14:paraId="5CD6047B" w14:textId="56FF3C8E" w:rsidR="00DB58FF" w:rsidRPr="00416E51" w:rsidRDefault="00416E51" w:rsidP="00FF77DA">
      <w:pPr>
        <w:pStyle w:val="Heading2"/>
      </w:pPr>
      <w:bookmarkStart w:id="81" w:name="_Toc480492948"/>
      <w:bookmarkStart w:id="82" w:name="_Toc80348281"/>
      <w:r w:rsidRPr="00416E51">
        <w:lastRenderedPageBreak/>
        <w:t xml:space="preserve">Feeder </w:t>
      </w:r>
      <w:r w:rsidR="00161CDB">
        <w:t>D</w:t>
      </w:r>
      <w:r w:rsidR="0090616A" w:rsidRPr="00416E51">
        <w:t xml:space="preserve">ata and </w:t>
      </w:r>
      <w:r w:rsidR="00161CDB">
        <w:t>M</w:t>
      </w:r>
      <w:r w:rsidR="0090616A" w:rsidRPr="00416E51">
        <w:t>atching</w:t>
      </w:r>
      <w:bookmarkEnd w:id="81"/>
      <w:bookmarkEnd w:id="82"/>
    </w:p>
    <w:p w14:paraId="1976C884" w14:textId="77777777" w:rsidR="00DB58FF" w:rsidRPr="00D45B1A" w:rsidRDefault="00DB58FF" w:rsidP="00554A66">
      <w:pPr>
        <w:pStyle w:val="Heading3"/>
      </w:pPr>
      <w:r w:rsidRPr="00D45B1A">
        <w:t>Scope</w:t>
      </w:r>
    </w:p>
    <w:p w14:paraId="7CF71DA8" w14:textId="5E964658" w:rsidR="00DB58FF" w:rsidRPr="00D45B1A" w:rsidRDefault="00DB58FF" w:rsidP="00554A66">
      <w:pPr>
        <w:rPr>
          <w:lang w:eastAsia="ja-JP"/>
        </w:rPr>
      </w:pPr>
      <w:r w:rsidRPr="00D45B1A">
        <w:rPr>
          <w:lang w:eastAsia="ja-JP"/>
        </w:rPr>
        <w:t xml:space="preserve">This </w:t>
      </w:r>
      <w:r w:rsidR="001701AB">
        <w:rPr>
          <w:lang w:eastAsia="ja-JP"/>
        </w:rPr>
        <w:t>rule</w:t>
      </w:r>
      <w:r w:rsidRPr="00D45B1A">
        <w:rPr>
          <w:lang w:eastAsia="ja-JP"/>
        </w:rPr>
        <w:t xml:space="preserve"> gives </w:t>
      </w:r>
      <w:r w:rsidR="00BB52D3">
        <w:rPr>
          <w:lang w:eastAsia="ja-JP"/>
        </w:rPr>
        <w:t xml:space="preserve">costing </w:t>
      </w:r>
      <w:r w:rsidRPr="00D45B1A">
        <w:rPr>
          <w:lang w:eastAsia="ja-JP"/>
        </w:rPr>
        <w:t>guidelines for identifying relevant resource level activity from local hospital information (or service area or department) systems known as feeders and matching these to source hospital costing activity and products.</w:t>
      </w:r>
    </w:p>
    <w:p w14:paraId="2F39AE98" w14:textId="77777777" w:rsidR="00DB58FF" w:rsidRPr="00D45B1A" w:rsidRDefault="00DB58FF" w:rsidP="00554A66">
      <w:pPr>
        <w:pStyle w:val="Heading3"/>
      </w:pPr>
      <w:r w:rsidRPr="00D45B1A">
        <w:t>Objective</w:t>
      </w:r>
    </w:p>
    <w:p w14:paraId="52EBBABC" w14:textId="77777777" w:rsidR="00DB58FF" w:rsidRPr="00D45B1A" w:rsidRDefault="00DB58FF" w:rsidP="00554A66">
      <w:r w:rsidRPr="00D45B1A">
        <w:t>To ensure that costed products are derived from expenses and activity that have been matched using feeder data from local activity information systems.</w:t>
      </w:r>
    </w:p>
    <w:p w14:paraId="38679D02" w14:textId="77777777" w:rsidR="00DB58FF" w:rsidRPr="00D45B1A" w:rsidRDefault="00DB58FF" w:rsidP="00554A66">
      <w:r w:rsidRPr="00D45B1A">
        <w:t>To ensure that intermediate products described in feeder data are matched to the appropriate patient activity and final product.</w:t>
      </w:r>
    </w:p>
    <w:p w14:paraId="79FF1FFA" w14:textId="4615891E" w:rsidR="00DB58FF" w:rsidRPr="008A3FF9" w:rsidRDefault="001701AB" w:rsidP="00554A66">
      <w:pPr>
        <w:pStyle w:val="Heading3"/>
      </w:pPr>
      <w:r>
        <w:t xml:space="preserve">Business </w:t>
      </w:r>
      <w:r w:rsidR="00F604EA">
        <w:t>R</w:t>
      </w:r>
      <w:r>
        <w:t>ule</w:t>
      </w:r>
    </w:p>
    <w:p w14:paraId="4B7ABA3F" w14:textId="044B008A" w:rsidR="00DB58FF" w:rsidRPr="00857E46" w:rsidRDefault="00DB58FF" w:rsidP="00CB7371">
      <w:pPr>
        <w:numPr>
          <w:ilvl w:val="0"/>
          <w:numId w:val="0"/>
        </w:numPr>
        <w:ind w:left="1843"/>
        <w:rPr>
          <w:rStyle w:val="Strong"/>
        </w:rPr>
      </w:pPr>
      <w:r w:rsidRPr="00857E46">
        <w:rPr>
          <w:rStyle w:val="Strong"/>
        </w:rPr>
        <w:t xml:space="preserve">Information </w:t>
      </w:r>
      <w:r w:rsidR="00DC1841">
        <w:rPr>
          <w:rStyle w:val="Strong"/>
        </w:rPr>
        <w:t>r</w:t>
      </w:r>
      <w:r w:rsidRPr="00857E46">
        <w:rPr>
          <w:rStyle w:val="Strong"/>
        </w:rPr>
        <w:t xml:space="preserve">equirements and </w:t>
      </w:r>
      <w:r w:rsidR="00DC1841">
        <w:rPr>
          <w:rStyle w:val="Strong"/>
        </w:rPr>
        <w:t>l</w:t>
      </w:r>
      <w:r w:rsidRPr="00857E46">
        <w:rPr>
          <w:rStyle w:val="Strong"/>
        </w:rPr>
        <w:t xml:space="preserve">ocal </w:t>
      </w:r>
      <w:r w:rsidR="00DC1841">
        <w:rPr>
          <w:rStyle w:val="Strong"/>
        </w:rPr>
        <w:t>f</w:t>
      </w:r>
      <w:r w:rsidRPr="00857E46">
        <w:rPr>
          <w:rStyle w:val="Strong"/>
        </w:rPr>
        <w:t xml:space="preserve">eeder </w:t>
      </w:r>
      <w:r w:rsidR="00DC1841">
        <w:rPr>
          <w:rStyle w:val="Strong"/>
        </w:rPr>
        <w:t>d</w:t>
      </w:r>
      <w:r w:rsidRPr="00857E46">
        <w:rPr>
          <w:rStyle w:val="Strong"/>
        </w:rPr>
        <w:t>ata</w:t>
      </w:r>
    </w:p>
    <w:p w14:paraId="3E47E99D" w14:textId="77777777" w:rsidR="00DB58FF" w:rsidRDefault="00DB58FF" w:rsidP="00554A66">
      <w:r w:rsidRPr="00D45B1A">
        <w:t xml:space="preserve">Feeder data can be described in </w:t>
      </w:r>
      <w:r w:rsidR="00857E46">
        <w:t>two</w:t>
      </w:r>
      <w:r w:rsidRPr="00D45B1A">
        <w:t xml:space="preserve"> parts for costing purposes:</w:t>
      </w:r>
    </w:p>
    <w:p w14:paraId="07BF9E28" w14:textId="71E3DBC6" w:rsidR="009D1FA3" w:rsidRDefault="009D1FA3" w:rsidP="001E51A5">
      <w:pPr>
        <w:pStyle w:val="ListBullet"/>
        <w:tabs>
          <w:tab w:val="clear" w:pos="360"/>
          <w:tab w:val="num" w:pos="2194"/>
        </w:tabs>
        <w:spacing w:after="120"/>
        <w:ind w:left="2188" w:hanging="357"/>
      </w:pPr>
      <w:r>
        <w:t>h</w:t>
      </w:r>
      <w:r w:rsidRPr="00D45B1A">
        <w:t xml:space="preserve">ospital </w:t>
      </w:r>
      <w:r>
        <w:t>s</w:t>
      </w:r>
      <w:r w:rsidRPr="00D45B1A">
        <w:t xml:space="preserve">ervice </w:t>
      </w:r>
      <w:r>
        <w:t>a</w:t>
      </w:r>
      <w:r w:rsidRPr="00D45B1A">
        <w:t>rea</w:t>
      </w:r>
      <w:r>
        <w:t xml:space="preserve"> or d</w:t>
      </w:r>
      <w:r w:rsidRPr="00D45B1A">
        <w:t xml:space="preserve">epartment </w:t>
      </w:r>
      <w:r>
        <w:t>data</w:t>
      </w:r>
    </w:p>
    <w:p w14:paraId="67DA06FF" w14:textId="79C135D8" w:rsidR="00857E46" w:rsidRDefault="00F604EA" w:rsidP="001E51A5">
      <w:pPr>
        <w:pStyle w:val="ListBullet"/>
        <w:tabs>
          <w:tab w:val="clear" w:pos="360"/>
          <w:tab w:val="num" w:pos="2194"/>
        </w:tabs>
        <w:spacing w:after="120"/>
        <w:ind w:left="2188" w:hanging="357"/>
      </w:pPr>
      <w:r>
        <w:t>p</w:t>
      </w:r>
      <w:r w:rsidR="00FB40A2">
        <w:t xml:space="preserve">roduct </w:t>
      </w:r>
      <w:r>
        <w:t>d</w:t>
      </w:r>
      <w:r w:rsidR="003F1BF5">
        <w:t>ata</w:t>
      </w:r>
      <w:r w:rsidR="009D1FA3">
        <w:t>.</w:t>
      </w:r>
    </w:p>
    <w:p w14:paraId="0E99BE1D" w14:textId="7DECB437" w:rsidR="00857E46" w:rsidRPr="002E574D" w:rsidRDefault="00B102C9" w:rsidP="00CB7371">
      <w:pPr>
        <w:numPr>
          <w:ilvl w:val="0"/>
          <w:numId w:val="0"/>
        </w:numPr>
        <w:ind w:left="1843"/>
        <w:rPr>
          <w:rStyle w:val="Emphasis"/>
          <w:b/>
          <w:i w:val="0"/>
          <w:color w:val="008542"/>
        </w:rPr>
      </w:pPr>
      <w:r w:rsidRPr="002E574D">
        <w:rPr>
          <w:rStyle w:val="Emphasis"/>
          <w:b/>
          <w:i w:val="0"/>
          <w:color w:val="008542"/>
        </w:rPr>
        <w:t>Product</w:t>
      </w:r>
      <w:r w:rsidR="00DB58FF" w:rsidRPr="002E574D">
        <w:rPr>
          <w:rStyle w:val="Emphasis"/>
          <w:b/>
          <w:i w:val="0"/>
          <w:color w:val="008542"/>
        </w:rPr>
        <w:t xml:space="preserve"> </w:t>
      </w:r>
      <w:r w:rsidR="00F604EA" w:rsidRPr="002E574D">
        <w:rPr>
          <w:rStyle w:val="Emphasis"/>
          <w:b/>
          <w:i w:val="0"/>
          <w:color w:val="008542"/>
        </w:rPr>
        <w:t>d</w:t>
      </w:r>
      <w:r w:rsidR="009D1FA3">
        <w:rPr>
          <w:rStyle w:val="Emphasis"/>
          <w:b/>
          <w:i w:val="0"/>
          <w:color w:val="008542"/>
        </w:rPr>
        <w:t>ata</w:t>
      </w:r>
    </w:p>
    <w:p w14:paraId="3B1F0C04" w14:textId="46415455" w:rsidR="00DB58FF" w:rsidRDefault="00857E46" w:rsidP="00554A66">
      <w:r>
        <w:t>Activity data</w:t>
      </w:r>
      <w:r w:rsidR="00DB58FF" w:rsidRPr="00D45B1A">
        <w:t xml:space="preserve"> is extracted from local information systems such as the hospital Patient Administration System, Emergency Department Admission System and Outpatient Booking System. </w:t>
      </w:r>
      <w:r w:rsidR="004346B7" w:rsidRPr="004346B7">
        <w:t xml:space="preserve">These </w:t>
      </w:r>
      <w:r w:rsidR="00B227E5">
        <w:t xml:space="preserve">information </w:t>
      </w:r>
      <w:r w:rsidR="004346B7" w:rsidRPr="004346B7">
        <w:t>systems provide the activity by which expenses are to be matched and allocated</w:t>
      </w:r>
      <w:r w:rsidR="004346B7">
        <w:t xml:space="preserve">. </w:t>
      </w:r>
      <w:r w:rsidR="00DB58FF" w:rsidRPr="00D45B1A">
        <w:t>Some jurisdictions may provide hospitals with finalised activity information that has been submitted by hospitals and validated by jurisdictions for both national reporting and costing purposes.</w:t>
      </w:r>
    </w:p>
    <w:p w14:paraId="311CD91C" w14:textId="3F7410EB" w:rsidR="00857E46" w:rsidRPr="00D45B1A" w:rsidRDefault="00857E46" w:rsidP="00857E46">
      <w:r w:rsidRPr="00D45B1A">
        <w:t xml:space="preserve">For activity information, costing practitioners should consult with their </w:t>
      </w:r>
      <w:r w:rsidR="009D1FA3">
        <w:t>health information s</w:t>
      </w:r>
      <w:r w:rsidRPr="00D45B1A">
        <w:t xml:space="preserve">ervices </w:t>
      </w:r>
      <w:r w:rsidR="0014706B">
        <w:t>staff</w:t>
      </w:r>
      <w:r w:rsidR="0014706B" w:rsidRPr="00D45B1A">
        <w:t xml:space="preserve"> </w:t>
      </w:r>
      <w:r w:rsidRPr="00D45B1A">
        <w:t>to validate all activity extracts for duplication, merges and deletions prior to undertaking any matching of expenses to cost objects.</w:t>
      </w:r>
    </w:p>
    <w:p w14:paraId="3AC1D0FA" w14:textId="065B3C5C" w:rsidR="00857E46" w:rsidRPr="00D45B1A" w:rsidRDefault="00857E46" w:rsidP="00857E46">
      <w:r w:rsidRPr="00D45B1A">
        <w:t>Where any discrepancies exist in the validation process, costing practitioners should c</w:t>
      </w:r>
      <w:r w:rsidR="009D1FA3">
        <w:t>onsult their health information s</w:t>
      </w:r>
      <w:r w:rsidRPr="00D45B1A">
        <w:t xml:space="preserve">ervices </w:t>
      </w:r>
      <w:r w:rsidR="0014706B">
        <w:t>staff</w:t>
      </w:r>
      <w:r w:rsidR="0014706B" w:rsidRPr="00D45B1A">
        <w:t xml:space="preserve"> </w:t>
      </w:r>
      <w:r w:rsidRPr="00D45B1A">
        <w:t xml:space="preserve">in the first instance to verify these differences. </w:t>
      </w:r>
    </w:p>
    <w:p w14:paraId="387ADD70" w14:textId="73948C9F" w:rsidR="00857E46" w:rsidRPr="009D1FA3" w:rsidRDefault="00DB58FF" w:rsidP="00CB7371">
      <w:pPr>
        <w:numPr>
          <w:ilvl w:val="0"/>
          <w:numId w:val="0"/>
        </w:numPr>
        <w:ind w:left="1843"/>
        <w:rPr>
          <w:rStyle w:val="Emphasis"/>
          <w:b/>
          <w:i w:val="0"/>
          <w:color w:val="008542"/>
        </w:rPr>
      </w:pPr>
      <w:r w:rsidRPr="009D1FA3">
        <w:rPr>
          <w:rStyle w:val="Emphasis"/>
          <w:b/>
          <w:i w:val="0"/>
          <w:color w:val="008542"/>
        </w:rPr>
        <w:t xml:space="preserve">Hospital </w:t>
      </w:r>
      <w:r w:rsidR="00F604EA" w:rsidRPr="009D1FA3">
        <w:rPr>
          <w:rStyle w:val="Emphasis"/>
          <w:b/>
          <w:i w:val="0"/>
          <w:color w:val="008542"/>
        </w:rPr>
        <w:t>s</w:t>
      </w:r>
      <w:r w:rsidRPr="009D1FA3">
        <w:rPr>
          <w:rStyle w:val="Emphasis"/>
          <w:b/>
          <w:i w:val="0"/>
          <w:color w:val="008542"/>
        </w:rPr>
        <w:t xml:space="preserve">ervice </w:t>
      </w:r>
      <w:r w:rsidR="00F604EA" w:rsidRPr="009D1FA3">
        <w:rPr>
          <w:rStyle w:val="Emphasis"/>
          <w:b/>
          <w:i w:val="0"/>
          <w:color w:val="008542"/>
        </w:rPr>
        <w:t>a</w:t>
      </w:r>
      <w:r w:rsidRPr="009D1FA3">
        <w:rPr>
          <w:rStyle w:val="Emphasis"/>
          <w:b/>
          <w:i w:val="0"/>
          <w:color w:val="008542"/>
        </w:rPr>
        <w:t>rea</w:t>
      </w:r>
      <w:r w:rsidR="009D1FA3">
        <w:rPr>
          <w:rStyle w:val="Emphasis"/>
          <w:b/>
          <w:i w:val="0"/>
          <w:color w:val="008542"/>
        </w:rPr>
        <w:t xml:space="preserve"> or </w:t>
      </w:r>
      <w:r w:rsidR="00F604EA" w:rsidRPr="009D1FA3">
        <w:rPr>
          <w:rStyle w:val="Emphasis"/>
          <w:b/>
          <w:i w:val="0"/>
          <w:color w:val="008542"/>
        </w:rPr>
        <w:t>d</w:t>
      </w:r>
      <w:r w:rsidRPr="009D1FA3">
        <w:rPr>
          <w:rStyle w:val="Emphasis"/>
          <w:b/>
          <w:i w:val="0"/>
          <w:color w:val="008542"/>
        </w:rPr>
        <w:t xml:space="preserve">epartment </w:t>
      </w:r>
      <w:r w:rsidR="00F604EA" w:rsidRPr="009D1FA3">
        <w:rPr>
          <w:rStyle w:val="Emphasis"/>
          <w:b/>
          <w:i w:val="0"/>
          <w:color w:val="008542"/>
        </w:rPr>
        <w:t>d</w:t>
      </w:r>
      <w:r w:rsidR="009D1FA3">
        <w:rPr>
          <w:rStyle w:val="Emphasis"/>
          <w:b/>
          <w:i w:val="0"/>
          <w:color w:val="008542"/>
        </w:rPr>
        <w:t>ata</w:t>
      </w:r>
      <w:r w:rsidRPr="009D1FA3">
        <w:rPr>
          <w:rStyle w:val="Emphasis"/>
          <w:b/>
          <w:i w:val="0"/>
          <w:color w:val="008542"/>
        </w:rPr>
        <w:t xml:space="preserve"> </w:t>
      </w:r>
    </w:p>
    <w:p w14:paraId="5C8DEAA0" w14:textId="6108C726" w:rsidR="00DB58FF" w:rsidRPr="00D45B1A" w:rsidRDefault="00DB58FF" w:rsidP="00554A66">
      <w:r w:rsidRPr="00D45B1A">
        <w:rPr>
          <w:lang w:eastAsia="ja-JP"/>
        </w:rPr>
        <w:t xml:space="preserve">The collection of information from various hospital departmental systems used by hospital staff to record patient level information, clinical data, </w:t>
      </w:r>
      <w:r w:rsidR="00D215F6">
        <w:rPr>
          <w:lang w:eastAsia="ja-JP"/>
        </w:rPr>
        <w:t>including</w:t>
      </w:r>
      <w:r w:rsidRPr="00D45B1A">
        <w:rPr>
          <w:lang w:eastAsia="ja-JP"/>
        </w:rPr>
        <w:t xml:space="preserve"> clinical observations, clinical procedures and clinical outcomes or the resources required by patients from those hospital service areas as part of the care process.</w:t>
      </w:r>
    </w:p>
    <w:p w14:paraId="4B6EED44" w14:textId="6A568E43" w:rsidR="00DB58FF" w:rsidRPr="00D45B1A" w:rsidRDefault="00DB58FF" w:rsidP="00554A66">
      <w:r w:rsidRPr="00D45B1A">
        <w:t>There are no minimum requirements nationally for the number of feeders required for costing purposes and costing practitioners should consult their jurisdictional authority to understand if there are any general requirements for a minimum number of feeders required to populate the costing system. This may be required to ensure that the costs reported at a minimum represent general patient resource consumption.</w:t>
      </w:r>
      <w:r w:rsidR="006C6F0D">
        <w:t xml:space="preserve"> </w:t>
      </w:r>
      <w:r w:rsidR="00FE4D9D">
        <w:t>T</w:t>
      </w:r>
      <w:r w:rsidR="00FE4D9D" w:rsidRPr="00FE4D9D">
        <w:t>he quantity of information is more significant rather than the number of feeders.</w:t>
      </w:r>
    </w:p>
    <w:p w14:paraId="79912E2E" w14:textId="77777777" w:rsidR="00DB58FF" w:rsidRPr="00D45B1A" w:rsidRDefault="00DB58FF" w:rsidP="00554A66">
      <w:r w:rsidRPr="00D45B1A">
        <w:lastRenderedPageBreak/>
        <w:t>Costing practitioners should at the very least seek to obtain extracts (the feeders) from the main hospital service areas that describe the patient journey. Some examples include:</w:t>
      </w:r>
    </w:p>
    <w:p w14:paraId="51A58ACE" w14:textId="737A0552" w:rsidR="00DB58FF" w:rsidRPr="00D45B1A" w:rsidRDefault="009D1FA3" w:rsidP="00342B27">
      <w:pPr>
        <w:pStyle w:val="ListBullet"/>
        <w:tabs>
          <w:tab w:val="clear" w:pos="360"/>
          <w:tab w:val="num" w:pos="2194"/>
        </w:tabs>
        <w:spacing w:after="120"/>
        <w:ind w:left="2188" w:hanging="357"/>
      </w:pPr>
      <w:r>
        <w:t>allied h</w:t>
      </w:r>
      <w:r w:rsidR="00DB58FF" w:rsidRPr="00D45B1A">
        <w:t>ealth</w:t>
      </w:r>
    </w:p>
    <w:p w14:paraId="56CAD07C" w14:textId="2959EC8F" w:rsidR="00DB58FF" w:rsidRPr="00D45B1A" w:rsidRDefault="009D1FA3" w:rsidP="00342B27">
      <w:pPr>
        <w:pStyle w:val="ListBullet"/>
        <w:tabs>
          <w:tab w:val="clear" w:pos="360"/>
          <w:tab w:val="num" w:pos="2194"/>
        </w:tabs>
        <w:spacing w:after="120"/>
        <w:ind w:left="2188" w:hanging="357"/>
      </w:pPr>
      <w:r>
        <w:t>e</w:t>
      </w:r>
      <w:r w:rsidR="00DB58FF" w:rsidRPr="00D45B1A">
        <w:t>mergency</w:t>
      </w:r>
    </w:p>
    <w:p w14:paraId="465D217F" w14:textId="5A21AB23" w:rsidR="009D1FA3" w:rsidRPr="00D45B1A" w:rsidRDefault="009D1FA3" w:rsidP="00342B27">
      <w:pPr>
        <w:pStyle w:val="ListBullet"/>
        <w:tabs>
          <w:tab w:val="clear" w:pos="360"/>
          <w:tab w:val="num" w:pos="2194"/>
        </w:tabs>
        <w:spacing w:after="120"/>
        <w:ind w:left="2188" w:hanging="357"/>
      </w:pPr>
      <w:r>
        <w:t>i</w:t>
      </w:r>
      <w:r w:rsidR="00DB58FF" w:rsidRPr="00D45B1A">
        <w:t>maging</w:t>
      </w:r>
    </w:p>
    <w:p w14:paraId="3136B694" w14:textId="4C32958C" w:rsidR="00DB58FF" w:rsidRPr="00D45B1A" w:rsidRDefault="009D1FA3" w:rsidP="00342B27">
      <w:pPr>
        <w:pStyle w:val="ListBullet"/>
        <w:tabs>
          <w:tab w:val="clear" w:pos="360"/>
          <w:tab w:val="num" w:pos="2194"/>
        </w:tabs>
        <w:spacing w:after="120"/>
        <w:ind w:left="2188" w:hanging="357"/>
      </w:pPr>
      <w:r>
        <w:t>operating s</w:t>
      </w:r>
      <w:r w:rsidR="00DB58FF" w:rsidRPr="00D45B1A">
        <w:t>uites</w:t>
      </w:r>
    </w:p>
    <w:p w14:paraId="1B070D68" w14:textId="7440A14A" w:rsidR="00DB58FF" w:rsidRPr="00D45B1A" w:rsidRDefault="009D1FA3" w:rsidP="00342B27">
      <w:pPr>
        <w:pStyle w:val="ListBullet"/>
        <w:tabs>
          <w:tab w:val="clear" w:pos="360"/>
          <w:tab w:val="num" w:pos="2194"/>
        </w:tabs>
        <w:spacing w:after="120"/>
        <w:ind w:left="2188" w:hanging="357"/>
      </w:pPr>
      <w:r>
        <w:t>p</w:t>
      </w:r>
      <w:r w:rsidR="00DB58FF" w:rsidRPr="00D45B1A">
        <w:t>athology</w:t>
      </w:r>
    </w:p>
    <w:p w14:paraId="789A06C0" w14:textId="29A472D3" w:rsidR="00DB58FF" w:rsidRPr="00D45B1A" w:rsidRDefault="009D1FA3" w:rsidP="00342B27">
      <w:pPr>
        <w:pStyle w:val="ListBullet"/>
        <w:tabs>
          <w:tab w:val="clear" w:pos="360"/>
          <w:tab w:val="num" w:pos="2194"/>
        </w:tabs>
        <w:spacing w:after="120"/>
        <w:ind w:left="2188" w:hanging="357"/>
      </w:pPr>
      <w:r>
        <w:t>p</w:t>
      </w:r>
      <w:r w:rsidR="00DB58FF" w:rsidRPr="00D45B1A">
        <w:t>harmacy</w:t>
      </w:r>
    </w:p>
    <w:p w14:paraId="4801E7E4" w14:textId="79A2CBE3" w:rsidR="00DB58FF" w:rsidRPr="00D45B1A" w:rsidRDefault="009D1FA3" w:rsidP="00342B27">
      <w:pPr>
        <w:pStyle w:val="ListBullet"/>
        <w:tabs>
          <w:tab w:val="clear" w:pos="360"/>
          <w:tab w:val="num" w:pos="2194"/>
        </w:tabs>
        <w:spacing w:after="120"/>
        <w:ind w:left="2188" w:hanging="357"/>
      </w:pPr>
      <w:r>
        <w:t>special procedure s</w:t>
      </w:r>
      <w:r w:rsidR="00DB58FF" w:rsidRPr="00D45B1A">
        <w:t>uites</w:t>
      </w:r>
    </w:p>
    <w:p w14:paraId="0C29DE4A" w14:textId="4C12C499" w:rsidR="00DB58FF" w:rsidRPr="00D45B1A" w:rsidRDefault="009D1FA3" w:rsidP="00342B27">
      <w:pPr>
        <w:pStyle w:val="ListBullet"/>
        <w:tabs>
          <w:tab w:val="clear" w:pos="360"/>
          <w:tab w:val="num" w:pos="2194"/>
        </w:tabs>
        <w:spacing w:after="120"/>
        <w:ind w:left="2188" w:hanging="357"/>
      </w:pPr>
      <w:r>
        <w:t>w</w:t>
      </w:r>
      <w:r w:rsidR="00DB58FF" w:rsidRPr="00D45B1A">
        <w:t>ards</w:t>
      </w:r>
    </w:p>
    <w:p w14:paraId="3D4162CC" w14:textId="0ECD77AA" w:rsidR="00DB58FF" w:rsidRDefault="009D1FA3" w:rsidP="00342B27">
      <w:pPr>
        <w:pStyle w:val="ListBullet"/>
        <w:tabs>
          <w:tab w:val="clear" w:pos="360"/>
          <w:tab w:val="num" w:pos="2194"/>
        </w:tabs>
        <w:spacing w:after="120"/>
        <w:ind w:left="2188" w:hanging="357"/>
      </w:pPr>
      <w:r>
        <w:t>ward m</w:t>
      </w:r>
      <w:r w:rsidR="00DB58FF" w:rsidRPr="00D45B1A">
        <w:t>ovements</w:t>
      </w:r>
    </w:p>
    <w:p w14:paraId="4751ABAD" w14:textId="5C9D19CD" w:rsidR="005A2C96" w:rsidRPr="00D45B1A" w:rsidRDefault="009D1FA3" w:rsidP="00342B27">
      <w:pPr>
        <w:pStyle w:val="ListBullet"/>
        <w:tabs>
          <w:tab w:val="clear" w:pos="360"/>
          <w:tab w:val="num" w:pos="2194"/>
        </w:tabs>
        <w:spacing w:after="120"/>
        <w:ind w:left="2188" w:hanging="357"/>
      </w:pPr>
      <w:r>
        <w:t>u</w:t>
      </w:r>
      <w:r w:rsidR="005A2C96">
        <w:t>nits</w:t>
      </w:r>
      <w:r>
        <w:t xml:space="preserve"> or clinical s</w:t>
      </w:r>
      <w:r w:rsidR="005A2C96">
        <w:t>pecialty</w:t>
      </w:r>
      <w:r>
        <w:t>.</w:t>
      </w:r>
    </w:p>
    <w:p w14:paraId="10780281" w14:textId="77777777" w:rsidR="00DB58FF" w:rsidRPr="00D45B1A" w:rsidRDefault="00DB58FF" w:rsidP="00554A66">
      <w:r w:rsidRPr="00D45B1A">
        <w:t>Costing practitioners should be aware that the greater the number of feeders and detail within them and the degree of alignment of them against expenses; the greater the likelihood of robustness in describing patient resource consumption or intermediate product creation and the allocation of product costs.</w:t>
      </w:r>
    </w:p>
    <w:p w14:paraId="6704D2E5" w14:textId="0EA8C3DD" w:rsidR="00DB58FF" w:rsidRPr="00D45B1A" w:rsidRDefault="00DB58FF" w:rsidP="00554A66">
      <w:r w:rsidRPr="00D45B1A">
        <w:t xml:space="preserve">Where possible costing practitioners should seek additional feeders (or greater feeder depth) that best describe those services provided to their episode population or best describes the final product production function. </w:t>
      </w:r>
    </w:p>
    <w:p w14:paraId="3F1B98B2" w14:textId="33141896" w:rsidR="00DB58FF" w:rsidRPr="00D45B1A" w:rsidRDefault="00F0142F" w:rsidP="00554A66">
      <w:r>
        <w:t>A</w:t>
      </w:r>
      <w:r w:rsidR="00DB58FF" w:rsidRPr="00D45B1A">
        <w:t>dditional feeders incorporating (but not limited to):</w:t>
      </w:r>
    </w:p>
    <w:p w14:paraId="021F40F8" w14:textId="7DFD44C2" w:rsidR="009D1FA3" w:rsidRDefault="009D1FA3" w:rsidP="00342B27">
      <w:pPr>
        <w:pStyle w:val="ListBullet"/>
        <w:tabs>
          <w:tab w:val="clear" w:pos="360"/>
          <w:tab w:val="num" w:pos="2194"/>
        </w:tabs>
        <w:spacing w:after="120"/>
        <w:ind w:left="2188" w:hanging="357"/>
      </w:pPr>
      <w:r>
        <w:t>a</w:t>
      </w:r>
      <w:r w:rsidRPr="00D45B1A">
        <w:t>n</w:t>
      </w:r>
      <w:r>
        <w:t>aesthesia (start, end, type)</w:t>
      </w:r>
    </w:p>
    <w:p w14:paraId="23304213" w14:textId="48AF24B0" w:rsidR="009D1FA3" w:rsidRPr="00D45B1A" w:rsidRDefault="009D1FA3" w:rsidP="00342B27">
      <w:pPr>
        <w:pStyle w:val="ListBullet"/>
        <w:tabs>
          <w:tab w:val="clear" w:pos="360"/>
          <w:tab w:val="num" w:pos="2194"/>
        </w:tabs>
        <w:spacing w:after="120"/>
        <w:ind w:left="2188" w:hanging="357"/>
      </w:pPr>
      <w:r>
        <w:t>c</w:t>
      </w:r>
      <w:r w:rsidRPr="00D45B1A">
        <w:t xml:space="preserve">omputed </w:t>
      </w:r>
      <w:r>
        <w:t>t</w:t>
      </w:r>
      <w:r w:rsidRPr="00D45B1A">
        <w:t xml:space="preserve">omography </w:t>
      </w:r>
      <w:r>
        <w:t>scan (CT s</w:t>
      </w:r>
      <w:r w:rsidRPr="00D45B1A">
        <w:t>can)</w:t>
      </w:r>
    </w:p>
    <w:p w14:paraId="5C773183" w14:textId="6061578D" w:rsidR="009D1FA3" w:rsidRDefault="009D1FA3" w:rsidP="00342B27">
      <w:pPr>
        <w:pStyle w:val="ListBullet"/>
        <w:tabs>
          <w:tab w:val="clear" w:pos="360"/>
          <w:tab w:val="num" w:pos="2194"/>
        </w:tabs>
        <w:spacing w:after="120"/>
        <w:ind w:left="2188" w:hanging="357"/>
      </w:pPr>
      <w:r>
        <w:t>d</w:t>
      </w:r>
      <w:r w:rsidRPr="00D45B1A">
        <w:t>ietetics</w:t>
      </w:r>
    </w:p>
    <w:p w14:paraId="033F52B3" w14:textId="77777777" w:rsidR="009D1FA3" w:rsidRPr="00D45B1A" w:rsidRDefault="009D1FA3" w:rsidP="00342B27">
      <w:pPr>
        <w:pStyle w:val="ListBullet"/>
        <w:tabs>
          <w:tab w:val="clear" w:pos="360"/>
          <w:tab w:val="num" w:pos="2194"/>
        </w:tabs>
        <w:spacing w:after="120"/>
        <w:ind w:left="2188" w:hanging="357"/>
      </w:pPr>
      <w:r>
        <w:t>g</w:t>
      </w:r>
      <w:r w:rsidRPr="00D45B1A">
        <w:t xml:space="preserve">eneral </w:t>
      </w:r>
      <w:r>
        <w:t>i</w:t>
      </w:r>
      <w:r w:rsidRPr="00D45B1A">
        <w:t xml:space="preserve">maging </w:t>
      </w:r>
    </w:p>
    <w:p w14:paraId="1168B862" w14:textId="3139EFC7" w:rsidR="009D1FA3" w:rsidRPr="00D45B1A" w:rsidRDefault="009D1FA3" w:rsidP="00342B27">
      <w:pPr>
        <w:pStyle w:val="ListBullet"/>
        <w:tabs>
          <w:tab w:val="clear" w:pos="360"/>
          <w:tab w:val="num" w:pos="2194"/>
        </w:tabs>
        <w:spacing w:after="120"/>
        <w:ind w:left="2188" w:hanging="357"/>
      </w:pPr>
      <w:r>
        <w:t>general pharmacy</w:t>
      </w:r>
    </w:p>
    <w:p w14:paraId="0E056397" w14:textId="77777777" w:rsidR="009D1FA3" w:rsidRPr="00D45B1A" w:rsidRDefault="009D1FA3" w:rsidP="00342B27">
      <w:pPr>
        <w:pStyle w:val="ListBullet"/>
        <w:tabs>
          <w:tab w:val="clear" w:pos="360"/>
          <w:tab w:val="num" w:pos="2194"/>
        </w:tabs>
        <w:spacing w:after="120"/>
        <w:ind w:left="2188" w:hanging="357"/>
      </w:pPr>
      <w:r>
        <w:t>i</w:t>
      </w:r>
      <w:r w:rsidRPr="00D45B1A">
        <w:t>maging</w:t>
      </w:r>
    </w:p>
    <w:p w14:paraId="1374B136" w14:textId="77777777" w:rsidR="009D1FA3" w:rsidRPr="00D45B1A" w:rsidRDefault="009D1FA3" w:rsidP="00342B27">
      <w:pPr>
        <w:pStyle w:val="ListBullet"/>
        <w:tabs>
          <w:tab w:val="clear" w:pos="360"/>
          <w:tab w:val="num" w:pos="2194"/>
        </w:tabs>
        <w:spacing w:after="120"/>
        <w:ind w:left="2188" w:hanging="357"/>
      </w:pPr>
      <w:r>
        <w:t>i</w:t>
      </w:r>
      <w:r w:rsidRPr="00D45B1A">
        <w:t>nterpreter services</w:t>
      </w:r>
    </w:p>
    <w:p w14:paraId="6A916816" w14:textId="513D1EA3" w:rsidR="009D1FA3" w:rsidRDefault="009D1FA3" w:rsidP="00342B27">
      <w:pPr>
        <w:pStyle w:val="ListBullet"/>
        <w:tabs>
          <w:tab w:val="clear" w:pos="360"/>
          <w:tab w:val="num" w:pos="2194"/>
        </w:tabs>
        <w:spacing w:after="120"/>
        <w:ind w:left="2188" w:hanging="357"/>
      </w:pPr>
      <w:r>
        <w:t>m</w:t>
      </w:r>
      <w:r w:rsidRPr="00D45B1A">
        <w:t xml:space="preserve">agnetic </w:t>
      </w:r>
      <w:r>
        <w:t>r</w:t>
      </w:r>
      <w:r w:rsidRPr="00D45B1A">
        <w:t xml:space="preserve">esonance </w:t>
      </w:r>
      <w:r>
        <w:t>imaging (MRI)</w:t>
      </w:r>
    </w:p>
    <w:p w14:paraId="2BAF3C1D" w14:textId="5938BCBC" w:rsidR="00DB58FF" w:rsidRPr="00D45B1A" w:rsidRDefault="00A62C0B" w:rsidP="00342B27">
      <w:pPr>
        <w:pStyle w:val="ListBullet"/>
        <w:tabs>
          <w:tab w:val="clear" w:pos="360"/>
          <w:tab w:val="num" w:pos="2194"/>
        </w:tabs>
        <w:spacing w:after="120"/>
        <w:ind w:left="2188" w:hanging="357"/>
      </w:pPr>
      <w:r>
        <w:t>o</w:t>
      </w:r>
      <w:r w:rsidR="00DB58FF" w:rsidRPr="00D45B1A">
        <w:t>ccupational therapy</w:t>
      </w:r>
    </w:p>
    <w:p w14:paraId="14AC4340" w14:textId="5D204E37" w:rsidR="00DB58FF" w:rsidRDefault="004C21C6" w:rsidP="00342B27">
      <w:pPr>
        <w:pStyle w:val="ListBullet"/>
        <w:tabs>
          <w:tab w:val="clear" w:pos="360"/>
          <w:tab w:val="num" w:pos="2194"/>
        </w:tabs>
        <w:spacing w:after="120"/>
        <w:ind w:left="2188" w:hanging="357"/>
      </w:pPr>
      <w:r>
        <w:t>o</w:t>
      </w:r>
      <w:r w:rsidR="00DB58FF" w:rsidRPr="00D45B1A">
        <w:t xml:space="preserve">perating </w:t>
      </w:r>
      <w:r>
        <w:t>t</w:t>
      </w:r>
      <w:r w:rsidR="00DB58FF" w:rsidRPr="00D45B1A">
        <w:t>heatres</w:t>
      </w:r>
    </w:p>
    <w:p w14:paraId="7BEC22B0" w14:textId="169BA4C5" w:rsidR="009D1FA3" w:rsidRDefault="009D1FA3" w:rsidP="00342B27">
      <w:pPr>
        <w:pStyle w:val="ListBullet"/>
        <w:tabs>
          <w:tab w:val="clear" w:pos="360"/>
          <w:tab w:val="num" w:pos="2194"/>
        </w:tabs>
        <w:spacing w:after="120"/>
        <w:ind w:left="2188" w:hanging="357"/>
      </w:pPr>
      <w:r>
        <w:t>operation time (skin-to-</w:t>
      </w:r>
      <w:r w:rsidRPr="00D45B1A">
        <w:t>skin time)</w:t>
      </w:r>
    </w:p>
    <w:p w14:paraId="06D8E1F8" w14:textId="77777777" w:rsidR="009D1FA3" w:rsidRPr="00D45B1A" w:rsidRDefault="009D1FA3" w:rsidP="00342B27">
      <w:pPr>
        <w:pStyle w:val="ListBullet"/>
        <w:tabs>
          <w:tab w:val="clear" w:pos="360"/>
          <w:tab w:val="num" w:pos="2194"/>
        </w:tabs>
        <w:spacing w:after="120"/>
        <w:ind w:left="2188" w:hanging="357"/>
      </w:pPr>
      <w:r>
        <w:t>p</w:t>
      </w:r>
      <w:r w:rsidRPr="00D45B1A">
        <w:t>harmacy</w:t>
      </w:r>
    </w:p>
    <w:p w14:paraId="577F104E" w14:textId="7A95D115" w:rsidR="009D1FA3" w:rsidRPr="00D45B1A" w:rsidRDefault="009D1FA3" w:rsidP="00342B27">
      <w:pPr>
        <w:pStyle w:val="ListBullet"/>
        <w:tabs>
          <w:tab w:val="clear" w:pos="360"/>
          <w:tab w:val="num" w:pos="2194"/>
        </w:tabs>
        <w:spacing w:after="120"/>
        <w:ind w:left="2188" w:hanging="357"/>
      </w:pPr>
      <w:r>
        <w:t>p</w:t>
      </w:r>
      <w:r w:rsidRPr="00D45B1A">
        <w:t>rostheses</w:t>
      </w:r>
      <w:r w:rsidRPr="00D45B1A">
        <w:rPr>
          <w:bCs/>
        </w:rPr>
        <w:t xml:space="preserve"> (type)</w:t>
      </w:r>
    </w:p>
    <w:p w14:paraId="1EAE8C89" w14:textId="77777777" w:rsidR="009D1FA3" w:rsidRPr="00D45B1A" w:rsidRDefault="009D1FA3" w:rsidP="00342B27">
      <w:pPr>
        <w:pStyle w:val="ListBullet"/>
        <w:tabs>
          <w:tab w:val="clear" w:pos="360"/>
          <w:tab w:val="num" w:pos="2194"/>
        </w:tabs>
        <w:spacing w:after="120"/>
        <w:ind w:left="2188" w:hanging="357"/>
      </w:pPr>
      <w:r>
        <w:t>r</w:t>
      </w:r>
      <w:r w:rsidRPr="00D45B1A">
        <w:t>ecovery (start, end)</w:t>
      </w:r>
    </w:p>
    <w:p w14:paraId="1B6E6373" w14:textId="77777777" w:rsidR="009D1FA3" w:rsidRPr="00D45B1A" w:rsidRDefault="009D1FA3" w:rsidP="00342B27">
      <w:pPr>
        <w:pStyle w:val="ListBullet"/>
        <w:tabs>
          <w:tab w:val="clear" w:pos="360"/>
          <w:tab w:val="num" w:pos="2194"/>
        </w:tabs>
        <w:spacing w:after="120"/>
        <w:ind w:left="2188" w:hanging="357"/>
      </w:pPr>
      <w:r>
        <w:t>s</w:t>
      </w:r>
      <w:r w:rsidRPr="00D45B1A">
        <w:t>peech pathology</w:t>
      </w:r>
    </w:p>
    <w:p w14:paraId="3B656FFE" w14:textId="135BC243" w:rsidR="009D1FA3" w:rsidRPr="00D45B1A" w:rsidRDefault="009D1FA3" w:rsidP="00342B27">
      <w:pPr>
        <w:pStyle w:val="ListBullet"/>
        <w:tabs>
          <w:tab w:val="clear" w:pos="360"/>
          <w:tab w:val="num" w:pos="2194"/>
        </w:tabs>
        <w:spacing w:after="120"/>
        <w:ind w:left="2188" w:hanging="357"/>
      </w:pPr>
      <w:r>
        <w:t>surgical team/s</w:t>
      </w:r>
    </w:p>
    <w:p w14:paraId="2770C8AF" w14:textId="79C7DDA9" w:rsidR="00DB58FF" w:rsidRPr="00D45B1A" w:rsidRDefault="004C21C6" w:rsidP="00342B27">
      <w:pPr>
        <w:pStyle w:val="ListBullet"/>
        <w:tabs>
          <w:tab w:val="clear" w:pos="360"/>
          <w:tab w:val="num" w:pos="2194"/>
        </w:tabs>
        <w:spacing w:after="120"/>
        <w:ind w:left="2188" w:hanging="357"/>
      </w:pPr>
      <w:r>
        <w:t>t</w:t>
      </w:r>
      <w:r w:rsidR="00DB58FF" w:rsidRPr="00D45B1A">
        <w:t>heatre pre operation time</w:t>
      </w:r>
    </w:p>
    <w:p w14:paraId="258A5A6B" w14:textId="715E6D20" w:rsidR="00DB58FF" w:rsidRPr="00D45B1A" w:rsidRDefault="004C21C6" w:rsidP="00342B27">
      <w:pPr>
        <w:pStyle w:val="ListBullet"/>
        <w:tabs>
          <w:tab w:val="clear" w:pos="360"/>
          <w:tab w:val="num" w:pos="2194"/>
        </w:tabs>
        <w:spacing w:after="120"/>
        <w:ind w:left="2188" w:hanging="357"/>
      </w:pPr>
      <w:r>
        <w:lastRenderedPageBreak/>
        <w:t>t</w:t>
      </w:r>
      <w:r w:rsidR="00DB58FF" w:rsidRPr="00D45B1A">
        <w:t>heatre goods and services type</w:t>
      </w:r>
    </w:p>
    <w:p w14:paraId="1C0BF4D0" w14:textId="36D2572A" w:rsidR="00DB58FF" w:rsidRPr="00D45B1A" w:rsidRDefault="004C21C6" w:rsidP="00342B27">
      <w:pPr>
        <w:pStyle w:val="ListBullet"/>
        <w:tabs>
          <w:tab w:val="clear" w:pos="360"/>
          <w:tab w:val="num" w:pos="2194"/>
        </w:tabs>
        <w:spacing w:after="120"/>
        <w:ind w:left="2188" w:hanging="357"/>
      </w:pPr>
      <w:r>
        <w:t>p</w:t>
      </w:r>
      <w:r w:rsidR="00DB58FF" w:rsidRPr="00D45B1A">
        <w:t>harmacy classification (flags for high cost pharmacy or Pharmaceutical Benefits Scheme drug type)</w:t>
      </w:r>
    </w:p>
    <w:p w14:paraId="11BB8B49" w14:textId="3E66ACC4" w:rsidR="00DB58FF" w:rsidRPr="00D45B1A" w:rsidRDefault="004C21C6" w:rsidP="00342B27">
      <w:pPr>
        <w:pStyle w:val="ListBullet"/>
        <w:tabs>
          <w:tab w:val="clear" w:pos="360"/>
          <w:tab w:val="num" w:pos="2194"/>
        </w:tabs>
        <w:spacing w:after="120"/>
        <w:ind w:left="2188" w:hanging="357"/>
      </w:pPr>
      <w:r>
        <w:t>c</w:t>
      </w:r>
      <w:r w:rsidR="00DB58FF" w:rsidRPr="00D45B1A">
        <w:t>hemotherapy</w:t>
      </w:r>
      <w:r w:rsidR="00DB58FF" w:rsidRPr="00D45B1A">
        <w:rPr>
          <w:bCs/>
        </w:rPr>
        <w:t xml:space="preserve"> pharmacy</w:t>
      </w:r>
      <w:r w:rsidR="0083716F">
        <w:rPr>
          <w:bCs/>
        </w:rPr>
        <w:t>.</w:t>
      </w:r>
    </w:p>
    <w:p w14:paraId="7AED3E4D" w14:textId="1FD74129" w:rsidR="009D1FA3" w:rsidRDefault="00DB58FF" w:rsidP="009D1FA3">
      <w:r w:rsidRPr="00D45B1A">
        <w:t xml:space="preserve">The costing practitioner should meet with </w:t>
      </w:r>
      <w:r w:rsidR="0014706B">
        <w:t>staff members</w:t>
      </w:r>
      <w:r w:rsidR="0014706B" w:rsidRPr="00D45B1A">
        <w:t xml:space="preserve"> </w:t>
      </w:r>
      <w:r w:rsidRPr="00D45B1A">
        <w:t>of these service areas to define how best to populate the feeder. Ideally to enable the resources (later to become intermediate products through the costing process) to be defined within each feeder and to be matched to each patient episode or encounter the following information should populate the feeder:</w:t>
      </w:r>
    </w:p>
    <w:p w14:paraId="3B7FDA74" w14:textId="5D041DB6" w:rsidR="00DB58FF" w:rsidRPr="00D45B1A" w:rsidRDefault="004C21C6" w:rsidP="00342B27">
      <w:pPr>
        <w:pStyle w:val="ListBullet"/>
        <w:tabs>
          <w:tab w:val="clear" w:pos="360"/>
          <w:tab w:val="num" w:pos="2194"/>
        </w:tabs>
        <w:spacing w:after="120"/>
        <w:ind w:left="2188" w:hanging="357"/>
      </w:pPr>
      <w:r>
        <w:t>d</w:t>
      </w:r>
      <w:r w:rsidR="00DB58FF" w:rsidRPr="00D45B1A">
        <w:t xml:space="preserve">ate </w:t>
      </w:r>
      <w:r w:rsidR="00BD2651">
        <w:t xml:space="preserve">and time </w:t>
      </w:r>
      <w:r w:rsidR="00DB58FF" w:rsidRPr="00D45B1A">
        <w:t xml:space="preserve">of service </w:t>
      </w:r>
    </w:p>
    <w:p w14:paraId="32EC5CF9" w14:textId="01F4AFC7" w:rsidR="00DB58FF" w:rsidRPr="00D45B1A" w:rsidRDefault="004C21C6" w:rsidP="00342B27">
      <w:pPr>
        <w:pStyle w:val="ListBullet"/>
        <w:tabs>
          <w:tab w:val="clear" w:pos="360"/>
          <w:tab w:val="num" w:pos="2194"/>
        </w:tabs>
        <w:spacing w:after="120"/>
        <w:ind w:left="2188" w:hanging="357"/>
      </w:pPr>
      <w:r>
        <w:t>d</w:t>
      </w:r>
      <w:r w:rsidR="00DB58FF" w:rsidRPr="00D45B1A">
        <w:t>escriptor of type of service or resource (which is basis for the intermediate product)</w:t>
      </w:r>
    </w:p>
    <w:p w14:paraId="621C4365" w14:textId="3F1515F0" w:rsidR="009D1FA3" w:rsidRDefault="009D1FA3" w:rsidP="00342B27">
      <w:pPr>
        <w:pStyle w:val="ListBullet"/>
        <w:tabs>
          <w:tab w:val="clear" w:pos="360"/>
          <w:tab w:val="num" w:pos="2194"/>
        </w:tabs>
        <w:spacing w:after="120"/>
        <w:ind w:left="2188" w:hanging="357"/>
      </w:pPr>
      <w:r>
        <w:t>p</w:t>
      </w:r>
      <w:r w:rsidRPr="00D45B1A">
        <w:t xml:space="preserve">atient or </w:t>
      </w:r>
      <w:r>
        <w:t>encounter unique episode number</w:t>
      </w:r>
    </w:p>
    <w:p w14:paraId="0B7E50C5" w14:textId="34A61264" w:rsidR="00DB58FF" w:rsidRPr="00D45B1A" w:rsidRDefault="004C21C6" w:rsidP="00342B27">
      <w:pPr>
        <w:pStyle w:val="ListBullet"/>
        <w:tabs>
          <w:tab w:val="clear" w:pos="360"/>
          <w:tab w:val="num" w:pos="2194"/>
        </w:tabs>
        <w:spacing w:after="120"/>
        <w:ind w:left="2188" w:hanging="357"/>
      </w:pPr>
      <w:r>
        <w:t>p</w:t>
      </w:r>
      <w:r w:rsidR="00DB58FF" w:rsidRPr="00D45B1A">
        <w:t>oint of order code (where available)</w:t>
      </w:r>
    </w:p>
    <w:p w14:paraId="6BC0C7FD" w14:textId="77777777" w:rsidR="009D1FA3" w:rsidRDefault="004C21C6" w:rsidP="00342B27">
      <w:pPr>
        <w:pStyle w:val="ListBullet"/>
        <w:tabs>
          <w:tab w:val="clear" w:pos="360"/>
          <w:tab w:val="num" w:pos="2194"/>
        </w:tabs>
        <w:spacing w:after="120"/>
        <w:ind w:left="2188" w:hanging="357"/>
      </w:pPr>
      <w:r>
        <w:rPr>
          <w:bCs/>
        </w:rPr>
        <w:t>p</w:t>
      </w:r>
      <w:r w:rsidR="00DB58FF" w:rsidRPr="00D45B1A">
        <w:rPr>
          <w:bCs/>
        </w:rPr>
        <w:t>rovider</w:t>
      </w:r>
      <w:r w:rsidR="00DB58FF" w:rsidRPr="00D45B1A">
        <w:t xml:space="preserve"> code (where available)</w:t>
      </w:r>
    </w:p>
    <w:p w14:paraId="07ED5B7A" w14:textId="325D13E1" w:rsidR="00DB58FF" w:rsidRPr="00D45B1A" w:rsidRDefault="009D1FA3" w:rsidP="00342B27">
      <w:pPr>
        <w:pStyle w:val="ListBullet"/>
        <w:tabs>
          <w:tab w:val="clear" w:pos="360"/>
          <w:tab w:val="num" w:pos="2194"/>
        </w:tabs>
        <w:spacing w:after="120"/>
        <w:ind w:left="2188" w:hanging="357"/>
      </w:pPr>
      <w:r>
        <w:t>v</w:t>
      </w:r>
      <w:r w:rsidRPr="00D45B1A">
        <w:t>olume related to type of service (for example, time, quantity of uni</w:t>
      </w:r>
      <w:r>
        <w:t>t, actual charge or price of unit)</w:t>
      </w:r>
      <w:r w:rsidR="0083716F">
        <w:t>.</w:t>
      </w:r>
    </w:p>
    <w:p w14:paraId="37DB1CDB" w14:textId="77777777" w:rsidR="00DB58FF" w:rsidRPr="00D45B1A" w:rsidRDefault="00DB58FF" w:rsidP="00554A66">
      <w:r w:rsidRPr="00D45B1A">
        <w:t xml:space="preserve">The primary purpose of these hospital service area </w:t>
      </w:r>
      <w:r w:rsidR="00857E46" w:rsidRPr="00D45B1A">
        <w:t>systems</w:t>
      </w:r>
      <w:r w:rsidRPr="00D45B1A">
        <w:t xml:space="preserve"> is to support patient care. The use of this data for costing is a secondary purpose. Therefore, the costing practitioner should perform a series of quality assurance checks on data within the feeder to ensure it meets the needs for costing. The checks should be tailored to each feeder. Some checks may include:</w:t>
      </w:r>
    </w:p>
    <w:p w14:paraId="6BEEC69C" w14:textId="7CE82EDC" w:rsidR="00DB58FF" w:rsidRPr="00D45B1A" w:rsidRDefault="004C21C6" w:rsidP="00342B27">
      <w:pPr>
        <w:pStyle w:val="ListBullet"/>
        <w:tabs>
          <w:tab w:val="clear" w:pos="360"/>
          <w:tab w:val="num" w:pos="2194"/>
        </w:tabs>
        <w:spacing w:after="120"/>
        <w:ind w:left="2188" w:hanging="357"/>
      </w:pPr>
      <w:r>
        <w:t>c</w:t>
      </w:r>
      <w:r w:rsidR="00DB58FF" w:rsidRPr="00D45B1A">
        <w:t>hecking date</w:t>
      </w:r>
      <w:r w:rsidR="009D1FA3">
        <w:t xml:space="preserve"> or </w:t>
      </w:r>
      <w:r w:rsidR="00BD2651">
        <w:t xml:space="preserve">time </w:t>
      </w:r>
      <w:r w:rsidR="00DB58FF" w:rsidRPr="00D45B1A">
        <w:t>of service for error date format, if dates are within the study period</w:t>
      </w:r>
    </w:p>
    <w:p w14:paraId="424652B2" w14:textId="76528719" w:rsidR="00DB58FF" w:rsidRDefault="004C21C6" w:rsidP="00342B27">
      <w:pPr>
        <w:pStyle w:val="ListBullet"/>
        <w:tabs>
          <w:tab w:val="clear" w:pos="360"/>
          <w:tab w:val="num" w:pos="2194"/>
        </w:tabs>
        <w:spacing w:after="120"/>
        <w:ind w:left="2188" w:hanging="357"/>
      </w:pPr>
      <w:r>
        <w:t>c</w:t>
      </w:r>
      <w:r w:rsidR="00DB58FF" w:rsidRPr="00D45B1A">
        <w:t>hecking start and end times are correct to ensure durations can be calculated correctly</w:t>
      </w:r>
    </w:p>
    <w:p w14:paraId="5715CCE8" w14:textId="60614D65" w:rsidR="009D1FA3" w:rsidRPr="00D45B1A" w:rsidRDefault="009D1FA3" w:rsidP="00342B27">
      <w:pPr>
        <w:pStyle w:val="ListBullet"/>
        <w:tabs>
          <w:tab w:val="clear" w:pos="360"/>
          <w:tab w:val="num" w:pos="2194"/>
        </w:tabs>
        <w:spacing w:after="120"/>
        <w:ind w:left="2188" w:hanging="357"/>
      </w:pPr>
      <w:r>
        <w:t>e</w:t>
      </w:r>
      <w:r w:rsidRPr="00D45B1A">
        <w:t>nsur</w:t>
      </w:r>
      <w:r>
        <w:t>e duplicate records are removed</w:t>
      </w:r>
    </w:p>
    <w:p w14:paraId="1EDF529A" w14:textId="2AF5D868" w:rsidR="00DB58FF" w:rsidRPr="00D45B1A" w:rsidRDefault="004C21C6" w:rsidP="00342B27">
      <w:pPr>
        <w:pStyle w:val="ListBullet"/>
        <w:tabs>
          <w:tab w:val="clear" w:pos="360"/>
          <w:tab w:val="num" w:pos="2194"/>
        </w:tabs>
        <w:spacing w:after="120"/>
        <w:ind w:left="2188" w:hanging="357"/>
      </w:pPr>
      <w:r>
        <w:t>i</w:t>
      </w:r>
      <w:r w:rsidR="009D1FA3">
        <w:t xml:space="preserve">f start </w:t>
      </w:r>
      <w:r w:rsidR="00DB58FF" w:rsidRPr="00D45B1A">
        <w:t>or end times are populated to ensure durations can be calculated correctly</w:t>
      </w:r>
    </w:p>
    <w:p w14:paraId="168C941A" w14:textId="42A7BF16" w:rsidR="00DB58FF" w:rsidRPr="00D45B1A" w:rsidRDefault="00DB58FF" w:rsidP="00342B27">
      <w:pPr>
        <w:pStyle w:val="ListBullet"/>
        <w:tabs>
          <w:tab w:val="clear" w:pos="360"/>
          <w:tab w:val="num" w:pos="2194"/>
        </w:tabs>
        <w:spacing w:after="120"/>
        <w:ind w:left="2188" w:hanging="357"/>
      </w:pPr>
      <w:r w:rsidRPr="00D45B1A">
        <w:t>(</w:t>
      </w:r>
      <w:r w:rsidR="004C21C6">
        <w:t>o</w:t>
      </w:r>
      <w:r w:rsidRPr="00D45B1A">
        <w:t>nce the matching is complete) checking the proportion of unmatched records to activity and addressing those specific issues related to matching</w:t>
      </w:r>
      <w:r w:rsidR="00A76E3B">
        <w:t>.</w:t>
      </w:r>
    </w:p>
    <w:p w14:paraId="2A1A5BE0" w14:textId="1839B355" w:rsidR="00DB58FF" w:rsidRPr="00D45B1A" w:rsidRDefault="00DB58FF" w:rsidP="00554A66">
      <w:r w:rsidRPr="00D45B1A">
        <w:t xml:space="preserve">Costing practitioners should advise the outcomes of the error checks with feeder </w:t>
      </w:r>
      <w:r w:rsidR="0014706B">
        <w:t>staff members</w:t>
      </w:r>
      <w:r w:rsidR="0014706B" w:rsidRPr="00D45B1A">
        <w:t xml:space="preserve"> </w:t>
      </w:r>
      <w:r w:rsidRPr="00D45B1A">
        <w:t>to enable changes to be made in source systems.</w:t>
      </w:r>
    </w:p>
    <w:p w14:paraId="50435D37" w14:textId="172FEE98" w:rsidR="00DB58FF" w:rsidRPr="009D1FA3" w:rsidRDefault="009D1FA3" w:rsidP="00841ADE">
      <w:pPr>
        <w:numPr>
          <w:ilvl w:val="0"/>
          <w:numId w:val="0"/>
        </w:numPr>
        <w:ind w:left="1843"/>
        <w:rPr>
          <w:rStyle w:val="Emphasis"/>
          <w:b/>
          <w:i w:val="0"/>
          <w:color w:val="008542"/>
        </w:rPr>
      </w:pPr>
      <w:r w:rsidRPr="009D1FA3">
        <w:rPr>
          <w:rStyle w:val="Emphasis"/>
          <w:b/>
          <w:i w:val="0"/>
          <w:color w:val="008542"/>
        </w:rPr>
        <w:t>Matching r</w:t>
      </w:r>
      <w:r w:rsidR="00DB58FF" w:rsidRPr="009D1FA3">
        <w:rPr>
          <w:rStyle w:val="Emphasis"/>
          <w:b/>
          <w:i w:val="0"/>
          <w:color w:val="008542"/>
        </w:rPr>
        <w:t>ules</w:t>
      </w:r>
    </w:p>
    <w:p w14:paraId="435BF3B4" w14:textId="77777777" w:rsidR="00DB58FF" w:rsidRPr="00D45B1A" w:rsidRDefault="00DB58FF" w:rsidP="00554A66">
      <w:r w:rsidRPr="00D45B1A">
        <w:t>Once feeders are defined, costing practitioners should establish a series of matching rules within the costing system to match intermediate products defined in each feeder to the appropriate activity and final product.</w:t>
      </w:r>
    </w:p>
    <w:p w14:paraId="39A1095F" w14:textId="77777777" w:rsidR="00DB58FF" w:rsidRPr="00D45B1A" w:rsidRDefault="00DB58FF" w:rsidP="00554A66">
      <w:r w:rsidRPr="00D45B1A">
        <w:t>Intermediate products should be matched to the patient or encounter level for which they have been ordered as this match defines the resources consumed and the associated costs for care.</w:t>
      </w:r>
    </w:p>
    <w:p w14:paraId="71F15833" w14:textId="77777777" w:rsidR="00DB58FF" w:rsidRPr="00D45B1A" w:rsidRDefault="00DB58FF" w:rsidP="00554A66">
      <w:r w:rsidRPr="00D45B1A">
        <w:t>Costing practitioners may wish to consider the following matching criteria in this order of preference, for activity and feeder data in a coordinated way:</w:t>
      </w:r>
    </w:p>
    <w:p w14:paraId="52D1A2CC" w14:textId="06A9F390" w:rsidR="00DB58FF" w:rsidRPr="00D45B1A" w:rsidRDefault="009D1FA3" w:rsidP="003F3BEC">
      <w:pPr>
        <w:pStyle w:val="ListBullet"/>
        <w:tabs>
          <w:tab w:val="clear" w:pos="360"/>
          <w:tab w:val="num" w:pos="2194"/>
        </w:tabs>
        <w:ind w:left="2194"/>
      </w:pPr>
      <w:r>
        <w:lastRenderedPageBreak/>
        <w:t>A</w:t>
      </w:r>
      <w:r w:rsidR="00DB58FF" w:rsidRPr="00D45B1A">
        <w:t xml:space="preserve">dmitted </w:t>
      </w:r>
      <w:r w:rsidR="004C21C6">
        <w:t>p</w:t>
      </w:r>
      <w:r>
        <w:t xml:space="preserve">atients – </w:t>
      </w:r>
      <w:r w:rsidR="004C21C6">
        <w:t>m</w:t>
      </w:r>
      <w:r w:rsidR="00DB58FF" w:rsidRPr="00D45B1A">
        <w:t>atch intermediate products by date</w:t>
      </w:r>
      <w:r>
        <w:t xml:space="preserve"> and </w:t>
      </w:r>
      <w:r w:rsidR="00BD2651">
        <w:t xml:space="preserve">time </w:t>
      </w:r>
      <w:r w:rsidR="00DB58FF" w:rsidRPr="00D45B1A">
        <w:t>of service within the admission and discharge. For example, where nursing acuity systems are in use and dispensing on discharge date</w:t>
      </w:r>
      <w:r>
        <w:t xml:space="preserve"> and </w:t>
      </w:r>
      <w:r w:rsidR="00BD2651">
        <w:t>time</w:t>
      </w:r>
      <w:r w:rsidR="00DB58FF" w:rsidRPr="00D45B1A">
        <w:t xml:space="preserve"> stamps need to be plus or minus 24 hours of admission or discharge or these related activities may not be matched</w:t>
      </w:r>
      <w:r>
        <w:t>.</w:t>
      </w:r>
    </w:p>
    <w:p w14:paraId="4F5F5921" w14:textId="7E48C564" w:rsidR="00DB58FF" w:rsidRPr="00D45B1A" w:rsidRDefault="009D1FA3" w:rsidP="003F3BEC">
      <w:pPr>
        <w:pStyle w:val="ListBullet"/>
        <w:tabs>
          <w:tab w:val="clear" w:pos="360"/>
          <w:tab w:val="num" w:pos="2194"/>
        </w:tabs>
        <w:ind w:left="2194"/>
      </w:pPr>
      <w:r>
        <w:t>E</w:t>
      </w:r>
      <w:r w:rsidR="00DB58FF" w:rsidRPr="00D45B1A">
        <w:t xml:space="preserve">mergency </w:t>
      </w:r>
      <w:r w:rsidR="004C21C6">
        <w:t>e</w:t>
      </w:r>
      <w:r>
        <w:t xml:space="preserve">ncounters – </w:t>
      </w:r>
      <w:r w:rsidR="004C21C6">
        <w:t>m</w:t>
      </w:r>
      <w:r w:rsidR="00DB58FF" w:rsidRPr="00D45B1A">
        <w:t>atch intermediate products by date</w:t>
      </w:r>
      <w:r>
        <w:t xml:space="preserve"> and </w:t>
      </w:r>
      <w:r w:rsidR="00BD2651">
        <w:t xml:space="preserve">time </w:t>
      </w:r>
      <w:r w:rsidR="00DB58FF" w:rsidRPr="00D45B1A">
        <w:t>of service within the admission and discharge for emergency. For example, where a planned return to ED is occurring diagnostic tests may be provided within 48 hours of that planned return to ED consider increasing the ED matching within to plus or minus 48 hours from presentation or discharge but only for this class of patient</w:t>
      </w:r>
      <w:r>
        <w:t>.</w:t>
      </w:r>
    </w:p>
    <w:p w14:paraId="17EB2BD8" w14:textId="40AD9D9A" w:rsidR="00DB58FF" w:rsidRPr="00D45B1A" w:rsidRDefault="00DB58FF" w:rsidP="003F3BEC">
      <w:pPr>
        <w:pStyle w:val="ListBullet"/>
        <w:tabs>
          <w:tab w:val="clear" w:pos="360"/>
          <w:tab w:val="num" w:pos="2194"/>
        </w:tabs>
        <w:ind w:left="2194"/>
      </w:pPr>
      <w:r w:rsidRPr="00D45B1A">
        <w:t xml:space="preserve">Outpatient </w:t>
      </w:r>
      <w:r w:rsidR="004C21C6">
        <w:t>e</w:t>
      </w:r>
      <w:r w:rsidR="009D1FA3">
        <w:t xml:space="preserve">ncounters – </w:t>
      </w:r>
      <w:r w:rsidR="004C21C6">
        <w:t>m</w:t>
      </w:r>
      <w:r w:rsidRPr="00D45B1A">
        <w:t xml:space="preserve">atch intermediate products by date of service 30 days before and 30 days after </w:t>
      </w:r>
      <w:r w:rsidR="004C21C6">
        <w:t>o</w:t>
      </w:r>
      <w:r w:rsidRPr="00D45B1A">
        <w:t xml:space="preserve">utpatient </w:t>
      </w:r>
      <w:r w:rsidR="004C21C6">
        <w:t>c</w:t>
      </w:r>
      <w:r w:rsidRPr="00D45B1A">
        <w:t>linic attendance</w:t>
      </w:r>
      <w:r w:rsidR="00A76E3B">
        <w:t>.</w:t>
      </w:r>
    </w:p>
    <w:p w14:paraId="33FDC3AD" w14:textId="391B33F3" w:rsidR="00DB58FF" w:rsidRPr="00D45B1A" w:rsidRDefault="00DB58FF" w:rsidP="00554A66">
      <w:pPr>
        <w:rPr>
          <w:lang w:eastAsia="ja-JP"/>
        </w:rPr>
      </w:pPr>
      <w:r w:rsidRPr="00D45B1A">
        <w:rPr>
          <w:lang w:eastAsia="ja-JP"/>
        </w:rPr>
        <w:t>Costing practitioners will need to develop and apply rules that fit with their local service models, which put coordinated ‘time windows’ (such as match between admission or discharge date</w:t>
      </w:r>
      <w:r w:rsidR="009D1FA3">
        <w:rPr>
          <w:lang w:eastAsia="ja-JP"/>
        </w:rPr>
        <w:t xml:space="preserve"> and </w:t>
      </w:r>
      <w:r w:rsidR="00BD2651">
        <w:rPr>
          <w:lang w:eastAsia="ja-JP"/>
        </w:rPr>
        <w:t>time</w:t>
      </w:r>
      <w:r w:rsidR="001701AB">
        <w:rPr>
          <w:lang w:eastAsia="ja-JP"/>
        </w:rPr>
        <w:t xml:space="preserve"> </w:t>
      </w:r>
      <w:r w:rsidRPr="00D45B1A">
        <w:rPr>
          <w:lang w:eastAsia="ja-JP"/>
        </w:rPr>
        <w:t xml:space="preserve">for admitted patents, then look </w:t>
      </w:r>
      <w:r w:rsidR="00A76E3B">
        <w:rPr>
          <w:lang w:eastAsia="ja-JP"/>
        </w:rPr>
        <w:t>two</w:t>
      </w:r>
      <w:r w:rsidR="00A76E3B" w:rsidRPr="00D45B1A">
        <w:rPr>
          <w:lang w:eastAsia="ja-JP"/>
        </w:rPr>
        <w:t xml:space="preserve"> </w:t>
      </w:r>
      <w:r w:rsidRPr="00D45B1A">
        <w:rPr>
          <w:lang w:eastAsia="ja-JP"/>
        </w:rPr>
        <w:t>days back for emergency encounters) around admitted patient, emergency department patient and non-admitted activity. Intermediate products that are ordered or delivered within these time windows are then considered to match to the appropriate activity for costing purposes.</w:t>
      </w:r>
    </w:p>
    <w:p w14:paraId="2948A542" w14:textId="04DB6113" w:rsidR="00DB58FF" w:rsidRPr="00D45B1A" w:rsidRDefault="00CB6A8E" w:rsidP="00CB6A8E">
      <w:r w:rsidRPr="00CB6A8E">
        <w:t>Reliable dates of service within each f</w:t>
      </w:r>
      <w:r w:rsidR="009D1FA3">
        <w:t>eeder reduce the likelihood of ‘false positive matches’</w:t>
      </w:r>
      <w:r w:rsidRPr="00CB6A8E">
        <w:t xml:space="preserve"> where intermediate products are matched incorrect activity</w:t>
      </w:r>
      <w:r w:rsidR="00DB58FF" w:rsidRPr="00D45B1A">
        <w:t>.</w:t>
      </w:r>
    </w:p>
    <w:p w14:paraId="62F88D8C" w14:textId="2175784D" w:rsidR="00DB58FF" w:rsidRPr="00D45B1A" w:rsidRDefault="00DB58FF" w:rsidP="00554A66">
      <w:r w:rsidRPr="00D45B1A">
        <w:rPr>
          <w:lang w:eastAsia="ja-JP"/>
        </w:rPr>
        <w:t xml:space="preserve">Whilst the costing process seeks to match intermediate products to activity; the costing practitioner should be aware that some intermediate products are final products in their own right. For example, if a patient’s contact with the hospital is for a nuclear medicine scan (the process of ordering the scan and interpreting the result is done in medical specialist rooms outside the hospital), then in this case the final product is a non-admitted patient service event classified to the </w:t>
      </w:r>
      <w:r w:rsidR="009D1FA3">
        <w:rPr>
          <w:lang w:eastAsia="ja-JP"/>
        </w:rPr>
        <w:t>National Hospital Cost Data Collection</w:t>
      </w:r>
      <w:r w:rsidRPr="00D45B1A">
        <w:rPr>
          <w:lang w:eastAsia="ja-JP"/>
        </w:rPr>
        <w:t xml:space="preserve"> Tier 2 Clinic 30.04 Nuclear Medicine. Matching this intermediate product to other patient activity would create a false positive.</w:t>
      </w:r>
    </w:p>
    <w:p w14:paraId="745B1304" w14:textId="767D14C9" w:rsidR="00DB58FF" w:rsidRPr="00D45B1A" w:rsidRDefault="00DB58FF" w:rsidP="00554A66">
      <w:r w:rsidRPr="00D45B1A">
        <w:t>Costing practitioners must also gather an understanding of clinical practice (or changes in clinical practice) within their local model to inform matching criteria. For example, it may be assumed that chemotherapy matching for admitted records should use admission and discharge date</w:t>
      </w:r>
      <w:r w:rsidR="00172234">
        <w:t>/time</w:t>
      </w:r>
      <w:r w:rsidRPr="00D45B1A">
        <w:t xml:space="preserve"> as the best criteria for matching the drugs patients consume; as chemotherapy is generally a same</w:t>
      </w:r>
      <w:r w:rsidR="00A76E3B">
        <w:t>-</w:t>
      </w:r>
      <w:r w:rsidRPr="00D45B1A">
        <w:t xml:space="preserve">day admission. </w:t>
      </w:r>
    </w:p>
    <w:p w14:paraId="64F57484" w14:textId="77777777" w:rsidR="00DB58FF" w:rsidRPr="00D45B1A" w:rsidRDefault="00DB58FF" w:rsidP="00554A66">
      <w:r w:rsidRPr="00D45B1A">
        <w:t xml:space="preserve">However, different hospitals may adopt different local chemotherapy models. In some hospitals, patients are dispensed chemotherapy drugs prior to admission. In these cases, where there is only a pharmacy feeder, the costing practitioner should examine if a chemotherapy pharmacy feeder can be established to firstly identify the relevant chemotherapy drugs and patient cohort, and secondly enable a set of matching criteria relevant to this feeder. </w:t>
      </w:r>
    </w:p>
    <w:p w14:paraId="3783D3BB" w14:textId="77777777" w:rsidR="00DB58FF" w:rsidRPr="00D45B1A" w:rsidRDefault="00DB58FF" w:rsidP="00554A66">
      <w:r w:rsidRPr="00D45B1A">
        <w:t xml:space="preserve">It may be the case that to enable matching under this model, the costing practitioner will need to establish matching criteria based on the duration difference between dispense dates to admission dates (for example, match 2 days prior to the admission date) as this provides a more accurate reflection of hospital process and establishes a more reliable intermediate product match. </w:t>
      </w:r>
    </w:p>
    <w:p w14:paraId="575E765D" w14:textId="25517E6C" w:rsidR="00DB58FF" w:rsidRPr="00D45B1A" w:rsidRDefault="00DB58FF" w:rsidP="00554A66">
      <w:r w:rsidRPr="00D45B1A">
        <w:lastRenderedPageBreak/>
        <w:t xml:space="preserve">The costing practitioner should trial a series </w:t>
      </w:r>
      <w:r w:rsidR="00514137">
        <w:t>of</w:t>
      </w:r>
      <w:r w:rsidRPr="00D45B1A">
        <w:t xml:space="preserve"> matching criteria to establish the best match. </w:t>
      </w:r>
    </w:p>
    <w:p w14:paraId="5DEFA7EC" w14:textId="77777777" w:rsidR="00DB58FF" w:rsidRPr="00D45B1A" w:rsidRDefault="00DB58FF" w:rsidP="00554A66">
      <w:r w:rsidRPr="00D45B1A">
        <w:t xml:space="preserve">Once a reliable match has been found, costing practitioners should examine residual non matching records and decipher how these should be handled. For example, where the patient is dispensed a number of drugs for multiple admissions, the costing practitioner may need to work with their pharmacy stakeholder to alter the feeder and tailor it for reliable matching, prior to matching being undertaken. </w:t>
      </w:r>
    </w:p>
    <w:p w14:paraId="4E09F647" w14:textId="77777777" w:rsidR="00DB58FF" w:rsidRPr="00D45B1A" w:rsidRDefault="00DB58FF" w:rsidP="00554A66">
      <w:r w:rsidRPr="00D45B1A">
        <w:rPr>
          <w:lang w:eastAsia="ja-JP"/>
        </w:rPr>
        <w:t>In some instances, there will be a proportion of intermediate products which cannot be matched without a high risk of false positives (these may be deemed unmatched intermediate products). These should be reviewed for data matching purposes.</w:t>
      </w:r>
    </w:p>
    <w:p w14:paraId="6F39F10F" w14:textId="77777777" w:rsidR="00DB58FF" w:rsidRPr="00D45B1A" w:rsidRDefault="00DB58FF" w:rsidP="00554A66">
      <w:r w:rsidRPr="00D45B1A">
        <w:t xml:space="preserve">Costing practitioners should undertake matching criteria checks against final products and note significant differences in matching patterns against prior costing iterations to understand if any variation is due to improved or poor matching. </w:t>
      </w:r>
    </w:p>
    <w:p w14:paraId="1CE1C28A" w14:textId="37936386" w:rsidR="00DB58FF" w:rsidRPr="00D45B1A" w:rsidRDefault="00DB58FF" w:rsidP="00554A66">
      <w:r w:rsidRPr="00D45B1A">
        <w:t xml:space="preserve">The costing practitioner should where possible, with relevant </w:t>
      </w:r>
      <w:r w:rsidR="0014706B">
        <w:t>staff members</w:t>
      </w:r>
      <w:r w:rsidRPr="00D45B1A">
        <w:t>, test a series of final product output by intermediate product to validate the completeness of the costed record or any false positive matches. This review should inform future matching criteria.</w:t>
      </w:r>
    </w:p>
    <w:p w14:paraId="1BF0E5CD" w14:textId="2DF8EE06" w:rsidR="00DB58FF" w:rsidRPr="00D45B1A" w:rsidRDefault="00DB58FF" w:rsidP="00554A66">
      <w:r w:rsidRPr="00D45B1A">
        <w:t xml:space="preserve">Costing </w:t>
      </w:r>
      <w:r w:rsidR="004D6235">
        <w:t>p</w:t>
      </w:r>
      <w:r w:rsidRPr="00D45B1A">
        <w:t>ractitioners should, for matching activity and feeder data, specify those</w:t>
      </w:r>
      <w:r w:rsidR="0043056A">
        <w:t xml:space="preserve"> criteria</w:t>
      </w:r>
      <w:r w:rsidRPr="00D45B1A">
        <w:t xml:space="preserve"> as per </w:t>
      </w:r>
      <w:r w:rsidRPr="00F97E63">
        <w:t xml:space="preserve">Standard </w:t>
      </w:r>
      <w:r w:rsidR="00E24FEA" w:rsidRPr="00F97E63">
        <w:t>6.2</w:t>
      </w:r>
      <w:r w:rsidRPr="00F97E63">
        <w:t xml:space="preserve"> Reconciliation to Source Data.</w:t>
      </w:r>
    </w:p>
    <w:p w14:paraId="03ACAFC2" w14:textId="77777777" w:rsidR="00DB58FF" w:rsidRPr="00D45B1A" w:rsidRDefault="00DB58FF" w:rsidP="00554A66">
      <w:r w:rsidRPr="00D45B1A">
        <w:br w:type="page"/>
      </w:r>
    </w:p>
    <w:p w14:paraId="1AE6E0B6" w14:textId="69EF03EB" w:rsidR="002F34F9" w:rsidRDefault="001701AB" w:rsidP="00D760F4">
      <w:pPr>
        <w:pStyle w:val="Heading1"/>
        <w:spacing w:after="480"/>
        <w:rPr>
          <w:lang w:eastAsia="ja-JP"/>
        </w:rPr>
      </w:pPr>
      <w:bookmarkStart w:id="83" w:name="_Toc80348282"/>
      <w:bookmarkStart w:id="84" w:name="_Toc480492955"/>
      <w:r>
        <w:rPr>
          <w:lang w:eastAsia="ja-JP"/>
        </w:rPr>
        <w:lastRenderedPageBreak/>
        <w:t xml:space="preserve">Assign </w:t>
      </w:r>
      <w:r w:rsidR="00161CDB">
        <w:rPr>
          <w:lang w:eastAsia="ja-JP"/>
        </w:rPr>
        <w:t>E</w:t>
      </w:r>
      <w:r>
        <w:rPr>
          <w:lang w:eastAsia="ja-JP"/>
        </w:rPr>
        <w:t xml:space="preserve">xpenses to </w:t>
      </w:r>
      <w:r w:rsidR="00161CDB">
        <w:rPr>
          <w:lang w:eastAsia="ja-JP"/>
        </w:rPr>
        <w:t>P</w:t>
      </w:r>
      <w:r>
        <w:rPr>
          <w:lang w:eastAsia="ja-JP"/>
        </w:rPr>
        <w:t>roducts</w:t>
      </w:r>
      <w:bookmarkEnd w:id="83"/>
      <w:r w:rsidR="002F34F9" w:rsidRPr="002F34F9">
        <w:rPr>
          <w:lang w:eastAsia="ja-JP"/>
        </w:rPr>
        <w:t xml:space="preserve"> </w:t>
      </w:r>
    </w:p>
    <w:bookmarkEnd w:id="84"/>
    <w:p w14:paraId="65FEEAD1" w14:textId="77777777" w:rsidR="00594979" w:rsidRPr="007C1077" w:rsidRDefault="00594979" w:rsidP="00594979">
      <w:pPr>
        <w:pStyle w:val="Intro"/>
        <w:rPr>
          <w:rStyle w:val="LineNumber"/>
          <w:color w:val="auto"/>
        </w:rPr>
      </w:pPr>
      <w:r w:rsidRPr="007C1077">
        <w:rPr>
          <w:rStyle w:val="LineNumber"/>
          <w:color w:val="auto"/>
        </w:rPr>
        <w:t>All expenses accumulated in final cost centres in the cost ledger will ultimately be matched to an organisation’s final products on a basis which emphasises causality and which is credible to stakeholders who understand the production process of that organisation.</w:t>
      </w:r>
    </w:p>
    <w:p w14:paraId="7F835181" w14:textId="77777777" w:rsidR="00594979" w:rsidRPr="007C1077" w:rsidRDefault="00594979" w:rsidP="00594979">
      <w:pPr>
        <w:pStyle w:val="Intro"/>
        <w:rPr>
          <w:rStyle w:val="LineNumber"/>
          <w:color w:val="auto"/>
        </w:rPr>
      </w:pPr>
      <w:r w:rsidRPr="007C1077">
        <w:rPr>
          <w:rStyle w:val="LineNumber"/>
          <w:color w:val="auto"/>
        </w:rPr>
        <w:t xml:space="preserve">Intermediate products, such as imaging and pathology tests, will accumulate expenses from final cost centres before they are linked to the final product that they helped produce. </w:t>
      </w:r>
    </w:p>
    <w:p w14:paraId="6BDAAC2F" w14:textId="77777777" w:rsidR="00594979" w:rsidRPr="007C1077" w:rsidRDefault="00594979" w:rsidP="00594979">
      <w:pPr>
        <w:pStyle w:val="Intro"/>
        <w:rPr>
          <w:rStyle w:val="LineNumber"/>
          <w:color w:val="auto"/>
        </w:rPr>
      </w:pPr>
      <w:r w:rsidRPr="007C1077">
        <w:rPr>
          <w:rStyle w:val="LineNumber"/>
          <w:color w:val="auto"/>
        </w:rPr>
        <w:t>To ensure the full cost of products are represented, expense that is assigned to final products will include any value of related intermediate products that occurred prior to the start of the period.</w:t>
      </w:r>
    </w:p>
    <w:p w14:paraId="1E3BA03E" w14:textId="77777777" w:rsidR="00CB7371" w:rsidRPr="00215955" w:rsidRDefault="00CB7371" w:rsidP="00CB7371">
      <w:pPr>
        <w:numPr>
          <w:ilvl w:val="0"/>
          <w:numId w:val="0"/>
        </w:numPr>
        <w:rPr>
          <w:rFonts w:eastAsia="Calibri"/>
          <w:b/>
        </w:rPr>
      </w:pPr>
      <w:r w:rsidRPr="00215955">
        <w:rPr>
          <w:rFonts w:eastAsia="Calibri"/>
          <w:b/>
        </w:rPr>
        <w:t>Application</w:t>
      </w:r>
    </w:p>
    <w:p w14:paraId="1786ACB8" w14:textId="5AD6DD55" w:rsidR="00DB13AE" w:rsidRDefault="00DB13AE" w:rsidP="00DB13AE">
      <w:pPr>
        <w:numPr>
          <w:ilvl w:val="0"/>
          <w:numId w:val="0"/>
        </w:numPr>
        <w:rPr>
          <w:rFonts w:eastAsia="Calibri"/>
        </w:rPr>
      </w:pPr>
      <w:r>
        <w:rPr>
          <w:rFonts w:eastAsia="Calibri"/>
        </w:rPr>
        <w:t xml:space="preserve">These </w:t>
      </w:r>
      <w:r w:rsidR="001701AB">
        <w:rPr>
          <w:rFonts w:eastAsia="Calibri"/>
        </w:rPr>
        <w:t xml:space="preserve">Business </w:t>
      </w:r>
      <w:r w:rsidR="004D6235">
        <w:rPr>
          <w:rFonts w:eastAsia="Calibri"/>
        </w:rPr>
        <w:t>R</w:t>
      </w:r>
      <w:r w:rsidR="001701AB">
        <w:rPr>
          <w:rFonts w:eastAsia="Calibri"/>
        </w:rPr>
        <w:t>ules</w:t>
      </w:r>
      <w:r>
        <w:rPr>
          <w:rFonts w:eastAsia="Calibri"/>
        </w:rPr>
        <w:t xml:space="preserve"> </w:t>
      </w:r>
      <w:r w:rsidRPr="00215955">
        <w:rPr>
          <w:rFonts w:eastAsia="Calibri"/>
        </w:rPr>
        <w:t xml:space="preserve">shall be read in conjunction with the Standards </w:t>
      </w:r>
      <w:r>
        <w:rPr>
          <w:rFonts w:eastAsia="Calibri"/>
        </w:rPr>
        <w:t>associated with the following stages:</w:t>
      </w:r>
    </w:p>
    <w:p w14:paraId="52A0E993" w14:textId="17692B96" w:rsidR="0007493D" w:rsidRDefault="0007493D" w:rsidP="0007493D">
      <w:pPr>
        <w:numPr>
          <w:ilvl w:val="0"/>
          <w:numId w:val="0"/>
        </w:numPr>
        <w:rPr>
          <w:rFonts w:eastAsia="Calibri"/>
        </w:rPr>
      </w:pPr>
      <w:r>
        <w:rPr>
          <w:rFonts w:eastAsia="Calibri"/>
        </w:rPr>
        <w:fldChar w:fldCharType="begin"/>
      </w:r>
      <w:r>
        <w:rPr>
          <w:rFonts w:eastAsia="Calibri"/>
        </w:rPr>
        <w:instrText xml:space="preserve"> REF _Ref498530776 \w \h </w:instrText>
      </w:r>
      <w:r>
        <w:rPr>
          <w:rFonts w:eastAsia="Calibri"/>
        </w:rPr>
      </w:r>
      <w:r>
        <w:rPr>
          <w:rFonts w:eastAsia="Calibri"/>
        </w:rPr>
        <w:fldChar w:fldCharType="separate"/>
      </w:r>
      <w:r w:rsidR="00EA6A78">
        <w:rPr>
          <w:rFonts w:eastAsia="Calibri"/>
        </w:rPr>
        <w:t>Stage 2</w:t>
      </w:r>
      <w:r>
        <w:rPr>
          <w:rFonts w:eastAsia="Calibri"/>
        </w:rPr>
        <w:fldChar w:fldCharType="end"/>
      </w:r>
      <w:r>
        <w:rPr>
          <w:rFonts w:eastAsia="Calibri"/>
        </w:rPr>
        <w:t xml:space="preserve">: </w:t>
      </w:r>
      <w:r>
        <w:rPr>
          <w:rFonts w:eastAsia="Calibri"/>
        </w:rPr>
        <w:fldChar w:fldCharType="begin"/>
      </w:r>
      <w:r>
        <w:rPr>
          <w:rFonts w:eastAsia="Calibri"/>
        </w:rPr>
        <w:instrText xml:space="preserve"> REF _Ref498530776 \h </w:instrText>
      </w:r>
      <w:r>
        <w:rPr>
          <w:rFonts w:eastAsia="Calibri"/>
        </w:rPr>
      </w:r>
      <w:r>
        <w:rPr>
          <w:rFonts w:eastAsia="Calibri"/>
        </w:rPr>
        <w:fldChar w:fldCharType="separate"/>
      </w:r>
      <w:r w:rsidR="00EA6A78">
        <w:rPr>
          <w:rFonts w:eastAsia="Calibri"/>
        </w:rPr>
        <w:t xml:space="preserve">Create the </w:t>
      </w:r>
      <w:r w:rsidR="00161CDB">
        <w:rPr>
          <w:rFonts w:eastAsia="Calibri"/>
        </w:rPr>
        <w:t>C</w:t>
      </w:r>
      <w:r w:rsidR="00EA6A78">
        <w:rPr>
          <w:rFonts w:eastAsia="Calibri"/>
        </w:rPr>
        <w:t xml:space="preserve">ost </w:t>
      </w:r>
      <w:r w:rsidR="00161CDB">
        <w:rPr>
          <w:rFonts w:eastAsia="Calibri"/>
        </w:rPr>
        <w:t>L</w:t>
      </w:r>
      <w:r w:rsidR="00EA6A78">
        <w:rPr>
          <w:rFonts w:eastAsia="Calibri"/>
        </w:rPr>
        <w:t>edger</w:t>
      </w:r>
      <w:r>
        <w:rPr>
          <w:rFonts w:eastAsia="Calibri"/>
        </w:rPr>
        <w:fldChar w:fldCharType="end"/>
      </w:r>
    </w:p>
    <w:p w14:paraId="272AAE35" w14:textId="4B8E910A" w:rsidR="0007493D" w:rsidRDefault="0007493D" w:rsidP="0007493D">
      <w:pPr>
        <w:numPr>
          <w:ilvl w:val="0"/>
          <w:numId w:val="0"/>
        </w:numPr>
        <w:rPr>
          <w:rFonts w:eastAsia="Calibri"/>
        </w:rPr>
      </w:pPr>
      <w:r>
        <w:rPr>
          <w:rFonts w:eastAsia="Calibri"/>
        </w:rPr>
        <w:fldChar w:fldCharType="begin"/>
      </w:r>
      <w:r>
        <w:rPr>
          <w:rFonts w:eastAsia="Calibri"/>
        </w:rPr>
        <w:instrText xml:space="preserve"> REF _Ref498530956 \w \h </w:instrText>
      </w:r>
      <w:r>
        <w:rPr>
          <w:rFonts w:eastAsia="Calibri"/>
        </w:rPr>
      </w:r>
      <w:r>
        <w:rPr>
          <w:rFonts w:eastAsia="Calibri"/>
        </w:rPr>
        <w:fldChar w:fldCharType="separate"/>
      </w:r>
      <w:r w:rsidR="00EA6A78">
        <w:rPr>
          <w:rFonts w:eastAsia="Calibri"/>
        </w:rPr>
        <w:t>Stage 5</w:t>
      </w:r>
      <w:r>
        <w:rPr>
          <w:rFonts w:eastAsia="Calibri"/>
        </w:rPr>
        <w:fldChar w:fldCharType="end"/>
      </w:r>
      <w:r>
        <w:rPr>
          <w:rFonts w:eastAsia="Calibri"/>
        </w:rPr>
        <w:t xml:space="preserve">: </w:t>
      </w:r>
      <w:r>
        <w:rPr>
          <w:rFonts w:eastAsia="Calibri"/>
        </w:rPr>
        <w:fldChar w:fldCharType="begin"/>
      </w:r>
      <w:r>
        <w:rPr>
          <w:rFonts w:eastAsia="Calibri"/>
        </w:rPr>
        <w:instrText xml:space="preserve"> REF _Ref498530956 \h </w:instrText>
      </w:r>
      <w:r>
        <w:rPr>
          <w:rFonts w:eastAsia="Calibri"/>
        </w:rPr>
      </w:r>
      <w:r>
        <w:rPr>
          <w:rFonts w:eastAsia="Calibri"/>
        </w:rPr>
        <w:fldChar w:fldCharType="separate"/>
      </w:r>
      <w:r w:rsidR="00EA6A78">
        <w:rPr>
          <w:lang w:eastAsia="ja-JP"/>
        </w:rPr>
        <w:t xml:space="preserve">Assign </w:t>
      </w:r>
      <w:r w:rsidR="00161CDB">
        <w:rPr>
          <w:lang w:eastAsia="ja-JP"/>
        </w:rPr>
        <w:t>E</w:t>
      </w:r>
      <w:r w:rsidR="00EA6A78">
        <w:rPr>
          <w:lang w:eastAsia="ja-JP"/>
        </w:rPr>
        <w:t xml:space="preserve">xpenses to </w:t>
      </w:r>
      <w:r w:rsidR="00161CDB">
        <w:rPr>
          <w:lang w:eastAsia="ja-JP"/>
        </w:rPr>
        <w:t>P</w:t>
      </w:r>
      <w:r w:rsidR="00EA6A78">
        <w:rPr>
          <w:lang w:eastAsia="ja-JP"/>
        </w:rPr>
        <w:t>roducts</w:t>
      </w:r>
      <w:r>
        <w:rPr>
          <w:rFonts w:eastAsia="Calibri"/>
        </w:rPr>
        <w:fldChar w:fldCharType="end"/>
      </w:r>
    </w:p>
    <w:p w14:paraId="022D83EC" w14:textId="25A990D1" w:rsidR="0007493D" w:rsidRDefault="0007493D" w:rsidP="0007493D">
      <w:pPr>
        <w:numPr>
          <w:ilvl w:val="0"/>
          <w:numId w:val="0"/>
        </w:numPr>
        <w:rPr>
          <w:rFonts w:eastAsia="Calibri"/>
        </w:rPr>
      </w:pPr>
      <w:r>
        <w:rPr>
          <w:rFonts w:eastAsia="Calibri"/>
        </w:rPr>
        <w:fldChar w:fldCharType="begin"/>
      </w:r>
      <w:r>
        <w:rPr>
          <w:rFonts w:eastAsia="Calibri"/>
        </w:rPr>
        <w:instrText xml:space="preserve"> REF _Ref498530780 \w \h </w:instrText>
      </w:r>
      <w:r>
        <w:rPr>
          <w:rFonts w:eastAsia="Calibri"/>
        </w:rPr>
      </w:r>
      <w:r>
        <w:rPr>
          <w:rFonts w:eastAsia="Calibri"/>
        </w:rPr>
        <w:fldChar w:fldCharType="separate"/>
      </w:r>
      <w:r w:rsidR="00EA6A78">
        <w:rPr>
          <w:rFonts w:eastAsia="Calibri"/>
        </w:rPr>
        <w:t>Stage 6</w:t>
      </w:r>
      <w:r>
        <w:rPr>
          <w:rFonts w:eastAsia="Calibri"/>
        </w:rPr>
        <w:fldChar w:fldCharType="end"/>
      </w:r>
      <w:r>
        <w:rPr>
          <w:rFonts w:eastAsia="Calibri"/>
        </w:rPr>
        <w:t xml:space="preserve">: </w:t>
      </w:r>
      <w:r>
        <w:rPr>
          <w:rFonts w:eastAsia="Calibri"/>
        </w:rPr>
        <w:fldChar w:fldCharType="begin"/>
      </w:r>
      <w:r>
        <w:rPr>
          <w:rFonts w:eastAsia="Calibri"/>
        </w:rPr>
        <w:instrText xml:space="preserve"> REF _Ref498530780 \h </w:instrText>
      </w:r>
      <w:r>
        <w:rPr>
          <w:rFonts w:eastAsia="Calibri"/>
        </w:rPr>
      </w:r>
      <w:r>
        <w:rPr>
          <w:rFonts w:eastAsia="Calibri"/>
        </w:rPr>
        <w:fldChar w:fldCharType="separate"/>
      </w:r>
      <w:r w:rsidR="00EA6A78">
        <w:rPr>
          <w:rFonts w:eastAsia="Calibri"/>
        </w:rPr>
        <w:t xml:space="preserve">Review and </w:t>
      </w:r>
      <w:r w:rsidR="00161CDB">
        <w:rPr>
          <w:rFonts w:eastAsia="Calibri"/>
        </w:rPr>
        <w:t>R</w:t>
      </w:r>
      <w:r w:rsidR="00EA6A78">
        <w:rPr>
          <w:rFonts w:eastAsia="Calibri"/>
        </w:rPr>
        <w:t>econcile</w:t>
      </w:r>
      <w:r>
        <w:rPr>
          <w:rFonts w:eastAsia="Calibri"/>
        </w:rPr>
        <w:fldChar w:fldCharType="end"/>
      </w:r>
      <w:r w:rsidR="007C1077">
        <w:rPr>
          <w:rFonts w:eastAsia="Calibri"/>
        </w:rPr>
        <w:t>.</w:t>
      </w:r>
    </w:p>
    <w:p w14:paraId="44813318" w14:textId="77777777" w:rsidR="00CB7371" w:rsidRPr="00215955" w:rsidRDefault="00CB7371" w:rsidP="00CB7371">
      <w:pPr>
        <w:numPr>
          <w:ilvl w:val="0"/>
          <w:numId w:val="0"/>
        </w:numPr>
        <w:rPr>
          <w:rFonts w:eastAsia="Calibri"/>
          <w:b/>
        </w:rPr>
      </w:pPr>
      <w:r w:rsidRPr="00215955">
        <w:rPr>
          <w:rFonts w:eastAsia="Calibri"/>
          <w:b/>
        </w:rPr>
        <w:t>List of referenced documents</w:t>
      </w:r>
    </w:p>
    <w:p w14:paraId="184849D5" w14:textId="6C6DF2DF" w:rsidR="00CB7371" w:rsidRPr="00215955" w:rsidRDefault="00A04467" w:rsidP="00CB7371">
      <w:pPr>
        <w:numPr>
          <w:ilvl w:val="0"/>
          <w:numId w:val="0"/>
        </w:numPr>
        <w:rPr>
          <w:rFonts w:eastAsia="Calibri"/>
          <w:b/>
          <w:bCs/>
        </w:rPr>
      </w:pPr>
      <w:r w:rsidRPr="00A04467">
        <w:rPr>
          <w:rFonts w:eastAsia="Calibri"/>
        </w:rPr>
        <w:t>There are no documents referred to in this stage.</w:t>
      </w:r>
    </w:p>
    <w:p w14:paraId="28453B16" w14:textId="77777777" w:rsidR="00DB58FF" w:rsidRPr="00D45B1A" w:rsidRDefault="00DB58FF" w:rsidP="00554A66">
      <w:r w:rsidRPr="00D45B1A">
        <w:br w:type="page"/>
      </w:r>
    </w:p>
    <w:p w14:paraId="02F87225" w14:textId="55D846FD" w:rsidR="00FF77DA" w:rsidRDefault="001C25DD" w:rsidP="00631701">
      <w:pPr>
        <w:pStyle w:val="Heading2"/>
        <w:numPr>
          <w:ilvl w:val="1"/>
          <w:numId w:val="11"/>
        </w:numPr>
        <w:spacing w:after="240"/>
        <w:contextualSpacing w:val="0"/>
      </w:pPr>
      <w:bookmarkStart w:id="85" w:name="_Toc80348283"/>
      <w:bookmarkStart w:id="86" w:name="_Toc480492956"/>
      <w:r w:rsidRPr="001C25DD">
        <w:lastRenderedPageBreak/>
        <w:t xml:space="preserve">Final </w:t>
      </w:r>
      <w:r w:rsidR="00161CDB">
        <w:t>P</w:t>
      </w:r>
      <w:r w:rsidRPr="001C25DD">
        <w:t>roducts</w:t>
      </w:r>
      <w:bookmarkEnd w:id="85"/>
    </w:p>
    <w:p w14:paraId="103F9CEF" w14:textId="65282C5A" w:rsidR="00DB58FF" w:rsidRPr="001C25DD" w:rsidRDefault="00E5600F" w:rsidP="00FF77DA">
      <w:pPr>
        <w:pStyle w:val="Heading2"/>
      </w:pPr>
      <w:bookmarkStart w:id="87" w:name="_Toc80348284"/>
      <w:bookmarkEnd w:id="86"/>
      <w:r>
        <w:t xml:space="preserve">Traceable </w:t>
      </w:r>
      <w:r w:rsidR="00161CDB">
        <w:t>C</w:t>
      </w:r>
      <w:r>
        <w:t>harges</w:t>
      </w:r>
      <w:bookmarkEnd w:id="87"/>
    </w:p>
    <w:p w14:paraId="737425BC" w14:textId="77777777" w:rsidR="00DB58FF" w:rsidRPr="00D45B1A" w:rsidRDefault="00DB58FF" w:rsidP="00554A66">
      <w:pPr>
        <w:pStyle w:val="Heading3"/>
      </w:pPr>
      <w:r w:rsidRPr="00D45B1A">
        <w:t>Scope</w:t>
      </w:r>
    </w:p>
    <w:p w14:paraId="49D894E2" w14:textId="27EB6CBB" w:rsidR="00DB58FF" w:rsidRPr="00D45B1A" w:rsidRDefault="00DB58FF" w:rsidP="00554A66">
      <w:pPr>
        <w:rPr>
          <w:bCs/>
        </w:rPr>
      </w:pPr>
      <w:r w:rsidRPr="00D45B1A">
        <w:t xml:space="preserve">This </w:t>
      </w:r>
      <w:r w:rsidR="00F604EA">
        <w:t>B</w:t>
      </w:r>
      <w:r w:rsidR="001701AB">
        <w:t xml:space="preserve">usiness </w:t>
      </w:r>
      <w:r w:rsidR="00F604EA">
        <w:t>R</w:t>
      </w:r>
      <w:r w:rsidR="001701AB">
        <w:t>ule</w:t>
      </w:r>
      <w:r w:rsidRPr="00D45B1A">
        <w:t xml:space="preserve"> provides a</w:t>
      </w:r>
      <w:r w:rsidR="00BB52D3">
        <w:t xml:space="preserve"> costing</w:t>
      </w:r>
      <w:r w:rsidRPr="00D45B1A">
        <w:t xml:space="preserve"> guideline on </w:t>
      </w:r>
      <w:r w:rsidR="00E5600F">
        <w:t>traceable charges</w:t>
      </w:r>
      <w:r w:rsidRPr="00D45B1A">
        <w:t xml:space="preserve"> used to assign expenses to final product costs.</w:t>
      </w:r>
    </w:p>
    <w:p w14:paraId="14D4780C" w14:textId="77777777" w:rsidR="00DB58FF" w:rsidRPr="00D45B1A" w:rsidRDefault="00DB58FF" w:rsidP="00554A66">
      <w:pPr>
        <w:pStyle w:val="Heading3"/>
      </w:pPr>
      <w:r w:rsidRPr="00D45B1A">
        <w:t>Objective</w:t>
      </w:r>
    </w:p>
    <w:p w14:paraId="360E24F3" w14:textId="77777777" w:rsidR="00DB58FF" w:rsidRPr="00D45B1A" w:rsidRDefault="00DB58FF" w:rsidP="00554A66">
      <w:r w:rsidRPr="00D45B1A">
        <w:t xml:space="preserve">To ensure that all expenses are allocated to final products using the most appropriate cost driver. </w:t>
      </w:r>
    </w:p>
    <w:p w14:paraId="57AC47C8" w14:textId="0DB71D33" w:rsidR="00DB58FF" w:rsidRPr="00D45B1A" w:rsidRDefault="001701AB" w:rsidP="00554A66">
      <w:pPr>
        <w:pStyle w:val="Heading3"/>
      </w:pPr>
      <w:r>
        <w:t xml:space="preserve">Business </w:t>
      </w:r>
      <w:r w:rsidR="00F604EA">
        <w:t>R</w:t>
      </w:r>
      <w:r>
        <w:t>ule</w:t>
      </w:r>
    </w:p>
    <w:p w14:paraId="074AA4C4" w14:textId="738ABBF3" w:rsidR="00DB58FF" w:rsidRPr="00D45B1A" w:rsidRDefault="00DB58FF" w:rsidP="00554A66">
      <w:r w:rsidRPr="00D45B1A">
        <w:t xml:space="preserve">Cost practitioners should identify all </w:t>
      </w:r>
      <w:r w:rsidR="00E5600F">
        <w:t>traceable charges</w:t>
      </w:r>
      <w:r w:rsidRPr="00D45B1A">
        <w:t xml:space="preserve"> available in hospital feeder systems or from external sources. These are costs of services or resources where the actual costs are known and traceable to the patients who received the services or consumed the resources.</w:t>
      </w:r>
    </w:p>
    <w:p w14:paraId="559FB643" w14:textId="52D5DB36" w:rsidR="00DB58FF" w:rsidRPr="00D45B1A" w:rsidRDefault="00DB58FF" w:rsidP="00554A66">
      <w:r w:rsidRPr="00D45B1A">
        <w:t>Example of these services or consumables include</w:t>
      </w:r>
      <w:r w:rsidR="003F1BF5">
        <w:t>, but not limited to</w:t>
      </w:r>
      <w:r w:rsidRPr="00D45B1A">
        <w:t xml:space="preserve">: </w:t>
      </w:r>
    </w:p>
    <w:p w14:paraId="6B2017FB" w14:textId="629B8658" w:rsidR="00DB58FF" w:rsidRPr="00D45B1A" w:rsidRDefault="00DB58FF" w:rsidP="003F3BEC">
      <w:pPr>
        <w:pStyle w:val="ListBullet"/>
        <w:tabs>
          <w:tab w:val="clear" w:pos="360"/>
          <w:tab w:val="num" w:pos="2194"/>
        </w:tabs>
        <w:ind w:left="2194"/>
      </w:pPr>
      <w:r w:rsidRPr="00D45B1A">
        <w:t>dispensed and high cost drugs</w:t>
      </w:r>
    </w:p>
    <w:p w14:paraId="36529BFA" w14:textId="7211AB35" w:rsidR="007C1077" w:rsidRDefault="007C1077" w:rsidP="007C1077">
      <w:pPr>
        <w:pStyle w:val="ListBullet"/>
        <w:tabs>
          <w:tab w:val="clear" w:pos="360"/>
          <w:tab w:val="num" w:pos="2194"/>
        </w:tabs>
        <w:ind w:left="2194"/>
      </w:pPr>
      <w:r>
        <w:t>high cost consumables</w:t>
      </w:r>
    </w:p>
    <w:p w14:paraId="4944EAC0" w14:textId="77F61362" w:rsidR="00DB58FF" w:rsidRPr="00D45B1A" w:rsidRDefault="00DB58FF" w:rsidP="003F3BEC">
      <w:pPr>
        <w:pStyle w:val="ListBullet"/>
        <w:tabs>
          <w:tab w:val="clear" w:pos="360"/>
          <w:tab w:val="num" w:pos="2194"/>
        </w:tabs>
        <w:ind w:left="2194"/>
      </w:pPr>
      <w:r w:rsidRPr="00D45B1A">
        <w:t>prosthetics</w:t>
      </w:r>
    </w:p>
    <w:p w14:paraId="232D4160" w14:textId="5B2FAFAB" w:rsidR="00DB58FF" w:rsidRPr="00D45B1A" w:rsidRDefault="00DB58FF" w:rsidP="003F3BEC">
      <w:pPr>
        <w:pStyle w:val="ListBullet"/>
        <w:tabs>
          <w:tab w:val="clear" w:pos="360"/>
          <w:tab w:val="num" w:pos="2194"/>
        </w:tabs>
        <w:ind w:left="2194"/>
      </w:pPr>
      <w:r w:rsidRPr="00D45B1A">
        <w:t xml:space="preserve">outsourced diagnostic </w:t>
      </w:r>
      <w:r w:rsidR="003F1BF5">
        <w:t>services</w:t>
      </w:r>
      <w:r w:rsidR="0015774A">
        <w:t>.</w:t>
      </w:r>
    </w:p>
    <w:p w14:paraId="1A31D286" w14:textId="1A3532EF" w:rsidR="00DB58FF" w:rsidRPr="00D45B1A" w:rsidRDefault="00DB58FF" w:rsidP="00554A66">
      <w:r w:rsidRPr="00D45B1A">
        <w:t xml:space="preserve">Costing practitioners should note that the use of a </w:t>
      </w:r>
      <w:r w:rsidR="00FC49D0">
        <w:t>traceable charge</w:t>
      </w:r>
      <w:r w:rsidRPr="00D45B1A">
        <w:t xml:space="preserve"> does not necessarily mean that the cost of the intermediate product post the costing process should demonstrate the same result of the </w:t>
      </w:r>
      <w:r w:rsidR="00FC49D0">
        <w:t>traceable charge</w:t>
      </w:r>
      <w:r w:rsidRPr="00D45B1A">
        <w:t xml:space="preserve">. Generally, the </w:t>
      </w:r>
      <w:r w:rsidR="00FC49D0">
        <w:t>traceable charge</w:t>
      </w:r>
      <w:r w:rsidRPr="00D45B1A">
        <w:t xml:space="preserve"> demonstrates the purchase price of the good and it does not consider the additional costs required by the hospital to finish the good, hence additional costs should be considered. For example, whilst a drug may be purchased for a traceable $100, this is the price of the good or drug in its semi-finished state. There are additional costs incurred by the hospital to handle, store and dispense that drug to enable it to be a finished product. </w:t>
      </w:r>
    </w:p>
    <w:p w14:paraId="04661F92" w14:textId="7EABC307" w:rsidR="00DB58FF" w:rsidRPr="00D45B1A" w:rsidRDefault="00695FA0" w:rsidP="00554A66">
      <w:r>
        <w:t>When developing feeders</w:t>
      </w:r>
      <w:r w:rsidR="00DB58FF" w:rsidRPr="00D45B1A">
        <w:t xml:space="preserve"> with various hospital service area </w:t>
      </w:r>
      <w:r w:rsidR="0014706B">
        <w:t>staff members</w:t>
      </w:r>
      <w:r>
        <w:t>,</w:t>
      </w:r>
      <w:r w:rsidR="00DB58FF" w:rsidRPr="00D45B1A">
        <w:t xml:space="preserve"> costing practitioners should discuss if </w:t>
      </w:r>
      <w:r w:rsidR="00E5600F">
        <w:t>traceable charges</w:t>
      </w:r>
      <w:r w:rsidR="00DB58FF" w:rsidRPr="00D45B1A">
        <w:t xml:space="preserve"> can be included in the feeder and assigned to various activities. Ideally these </w:t>
      </w:r>
      <w:r w:rsidR="00E5600F">
        <w:t>traceable charges</w:t>
      </w:r>
      <w:r w:rsidR="00DB58FF" w:rsidRPr="00D45B1A">
        <w:t xml:space="preserve"> can be directly matched to the activities, intermediate products or cost object products within the feeder.</w:t>
      </w:r>
    </w:p>
    <w:p w14:paraId="5CD5E30D" w14:textId="1E65DC1B" w:rsidR="00DB58FF" w:rsidRPr="00D45B1A" w:rsidRDefault="00DB58FF" w:rsidP="00554A66">
      <w:r w:rsidRPr="00D45B1A">
        <w:t>Some cost centres or cost items may include both traceable and non-</w:t>
      </w:r>
      <w:r w:rsidR="00E5600F">
        <w:t>traceable charges</w:t>
      </w:r>
      <w:r w:rsidRPr="00D45B1A">
        <w:t>. As such, cost practitioners may need to move the cost accordingly so that different cost drivers may be used to allocate these costs.</w:t>
      </w:r>
    </w:p>
    <w:p w14:paraId="147460B6" w14:textId="77777777" w:rsidR="00DB58FF" w:rsidRPr="00D45B1A" w:rsidRDefault="00DB58FF" w:rsidP="00554A66">
      <w:r w:rsidRPr="00D45B1A">
        <w:t xml:space="preserve">For example, drugs may be split between imprest (non-traceable) and dispensed drugs (traceable) where actual charge (or drug list price) is matched to each dispensed drug in the pharmacy feeder. If the expenses are all in the same cost centre, cost practitioners may have to move the total dispensed drug expenses so that they can be allocated to patients directly using the actual cost as the cost drivers. </w:t>
      </w:r>
    </w:p>
    <w:p w14:paraId="4FAEEAAD" w14:textId="44B9B553" w:rsidR="00DB58FF" w:rsidRPr="00D45B1A" w:rsidRDefault="00DB58FF" w:rsidP="00554A66">
      <w:r w:rsidRPr="00D45B1A">
        <w:t xml:space="preserve">The </w:t>
      </w:r>
      <w:r w:rsidR="00E5600F">
        <w:t>traceable charges</w:t>
      </w:r>
      <w:r w:rsidRPr="00D45B1A">
        <w:t xml:space="preserve"> recorded from the feeder system may differ from the amount recorded in the finance system. </w:t>
      </w:r>
    </w:p>
    <w:p w14:paraId="046DD069" w14:textId="6646D56B" w:rsidR="00DB58FF" w:rsidRPr="00D45B1A" w:rsidRDefault="00DB58FF" w:rsidP="00554A66">
      <w:r w:rsidRPr="00D45B1A">
        <w:lastRenderedPageBreak/>
        <w:t>For example, the total cost in the Imaging extracts obtained from the outside provider is different from the amount in the general ledger. If it can be confirmed that there are no abnormalities in the data, the actual cost can be used as a</w:t>
      </w:r>
      <w:r w:rsidR="004D6235">
        <w:t xml:space="preserve"> </w:t>
      </w:r>
      <w:r w:rsidRPr="00D45B1A">
        <w:t>RVU to allocate the imaging cost.</w:t>
      </w:r>
    </w:p>
    <w:p w14:paraId="03E0EC4B" w14:textId="371E1FC6" w:rsidR="00DB58FF" w:rsidRPr="00D45B1A" w:rsidRDefault="00DB58FF" w:rsidP="00554A66">
      <w:r w:rsidRPr="00D45B1A">
        <w:t xml:space="preserve">Where the actual charge is used as a </w:t>
      </w:r>
      <w:r w:rsidR="00FC49D0">
        <w:t>traceable charge</w:t>
      </w:r>
      <w:r w:rsidRPr="00D45B1A">
        <w:t xml:space="preserve"> in the costing process at intermediate product level and the results show a cost per intermediate product below the actual cost, costing practitioners should seek advice from their Finance stakeholder</w:t>
      </w:r>
      <w:r w:rsidR="003F1BF5">
        <w:t>.</w:t>
      </w:r>
    </w:p>
    <w:p w14:paraId="66D5A9CC" w14:textId="4DA43FBE" w:rsidR="00FF77DA" w:rsidRDefault="00DB58FF" w:rsidP="00FF77DA">
      <w:r w:rsidRPr="00D45B1A">
        <w:t xml:space="preserve">Using </w:t>
      </w:r>
      <w:r w:rsidR="00E5600F">
        <w:t>traceable charges</w:t>
      </w:r>
      <w:r w:rsidRPr="00D45B1A">
        <w:t xml:space="preserve"> may sometimes result in negative costs in other final cost centres. This may be due to the timing of invoices or unit costs not being updated in service area systems. In this case, an agreed percentage of expenses may be moved as a traceable </w:t>
      </w:r>
      <w:r w:rsidR="00222E89">
        <w:t>charge</w:t>
      </w:r>
      <w:r w:rsidRPr="00D45B1A">
        <w:t xml:space="preserve"> (instead of the total actual amount defined in the feeder) and the actual costs in the feeder system may then be used as RVU to allocate the cost to the cost products. </w:t>
      </w:r>
      <w:bookmarkStart w:id="88" w:name="_Toc480492957"/>
    </w:p>
    <w:p w14:paraId="2DDFEBED" w14:textId="77777777" w:rsidR="00FF77DA" w:rsidRDefault="00FF77DA" w:rsidP="00FF77DA">
      <w:r>
        <w:br w:type="page"/>
      </w:r>
    </w:p>
    <w:p w14:paraId="5BB51EFE" w14:textId="44E7EA25" w:rsidR="00BD09F2" w:rsidRDefault="00BD09F2" w:rsidP="00631701">
      <w:pPr>
        <w:pStyle w:val="Heading2"/>
        <w:numPr>
          <w:ilvl w:val="1"/>
          <w:numId w:val="7"/>
        </w:numPr>
        <w:spacing w:after="240"/>
        <w:contextualSpacing w:val="0"/>
      </w:pPr>
      <w:bookmarkStart w:id="89" w:name="_Toc80348285"/>
      <w:r>
        <w:lastRenderedPageBreak/>
        <w:t xml:space="preserve">Intermediate </w:t>
      </w:r>
      <w:r w:rsidR="00161CDB">
        <w:t>P</w:t>
      </w:r>
      <w:r>
        <w:t>roduct</w:t>
      </w:r>
      <w:bookmarkEnd w:id="89"/>
    </w:p>
    <w:p w14:paraId="026A9D65" w14:textId="134F6A53" w:rsidR="00DB58FF" w:rsidRPr="001C25DD" w:rsidRDefault="00DB58FF" w:rsidP="004B0F3D">
      <w:pPr>
        <w:pStyle w:val="Heading2"/>
      </w:pPr>
      <w:bookmarkStart w:id="90" w:name="_Toc80348286"/>
      <w:r w:rsidRPr="001C25DD">
        <w:t xml:space="preserve">Relative </w:t>
      </w:r>
      <w:r w:rsidR="00161CDB">
        <w:t>V</w:t>
      </w:r>
      <w:r w:rsidR="00DC1841" w:rsidRPr="001C25DD">
        <w:t xml:space="preserve">alue </w:t>
      </w:r>
      <w:r w:rsidR="00161CDB">
        <w:t>U</w:t>
      </w:r>
      <w:r w:rsidRPr="001C25DD">
        <w:t>nits</w:t>
      </w:r>
      <w:bookmarkEnd w:id="90"/>
    </w:p>
    <w:bookmarkEnd w:id="88"/>
    <w:p w14:paraId="4F24EB4E" w14:textId="77777777" w:rsidR="00DB58FF" w:rsidRPr="00D45B1A" w:rsidRDefault="00DB58FF" w:rsidP="00554A66">
      <w:pPr>
        <w:pStyle w:val="Heading3"/>
      </w:pPr>
      <w:r w:rsidRPr="00D45B1A">
        <w:t>Scope</w:t>
      </w:r>
    </w:p>
    <w:p w14:paraId="5663F158" w14:textId="3C7A3C3D" w:rsidR="00DB58FF" w:rsidRPr="00D45B1A" w:rsidRDefault="00DB58FF" w:rsidP="00554A66">
      <w:pPr>
        <w:rPr>
          <w:lang w:eastAsia="ja-JP"/>
        </w:rPr>
      </w:pPr>
      <w:r w:rsidRPr="00D45B1A">
        <w:rPr>
          <w:lang w:eastAsia="ja-JP"/>
        </w:rPr>
        <w:t xml:space="preserve">This </w:t>
      </w:r>
      <w:r w:rsidR="00F604EA">
        <w:rPr>
          <w:lang w:eastAsia="ja-JP"/>
        </w:rPr>
        <w:t>B</w:t>
      </w:r>
      <w:r w:rsidR="001701AB">
        <w:rPr>
          <w:lang w:eastAsia="ja-JP"/>
        </w:rPr>
        <w:t xml:space="preserve">usiness </w:t>
      </w:r>
      <w:r w:rsidR="00F604EA">
        <w:rPr>
          <w:lang w:eastAsia="ja-JP"/>
        </w:rPr>
        <w:t>R</w:t>
      </w:r>
      <w:r w:rsidR="001701AB">
        <w:rPr>
          <w:lang w:eastAsia="ja-JP"/>
        </w:rPr>
        <w:t>ule</w:t>
      </w:r>
      <w:r w:rsidRPr="00D45B1A">
        <w:rPr>
          <w:lang w:eastAsia="ja-JP"/>
        </w:rPr>
        <w:t xml:space="preserve"> provides a</w:t>
      </w:r>
      <w:r w:rsidR="00BB52D3">
        <w:rPr>
          <w:lang w:eastAsia="ja-JP"/>
        </w:rPr>
        <w:t xml:space="preserve"> costing</w:t>
      </w:r>
      <w:r w:rsidRPr="00D45B1A">
        <w:rPr>
          <w:lang w:eastAsia="ja-JP"/>
        </w:rPr>
        <w:t xml:space="preserve"> guideline on how expenses accumulated in final cost centres are to be matched to final cost objects. </w:t>
      </w:r>
    </w:p>
    <w:p w14:paraId="532E9DED" w14:textId="2D0DAC55" w:rsidR="00DB58FF" w:rsidRPr="00D45B1A" w:rsidRDefault="00DB58FF" w:rsidP="00554A66">
      <w:pPr>
        <w:rPr>
          <w:lang w:eastAsia="ja-JP"/>
        </w:rPr>
      </w:pPr>
      <w:r w:rsidRPr="00D45B1A">
        <w:rPr>
          <w:lang w:eastAsia="ja-JP"/>
        </w:rPr>
        <w:t xml:space="preserve">This </w:t>
      </w:r>
      <w:r w:rsidR="00F604EA">
        <w:rPr>
          <w:lang w:eastAsia="ja-JP"/>
        </w:rPr>
        <w:t xml:space="preserve">rule </w:t>
      </w:r>
      <w:r w:rsidRPr="00D45B1A">
        <w:rPr>
          <w:lang w:eastAsia="ja-JP"/>
        </w:rPr>
        <w:t xml:space="preserve">gives </w:t>
      </w:r>
      <w:r w:rsidR="00BB52D3">
        <w:rPr>
          <w:lang w:eastAsia="ja-JP"/>
        </w:rPr>
        <w:t xml:space="preserve">costing </w:t>
      </w:r>
      <w:r w:rsidRPr="00D45B1A">
        <w:rPr>
          <w:lang w:eastAsia="ja-JP"/>
        </w:rPr>
        <w:t xml:space="preserve">guidelines for the use of </w:t>
      </w:r>
      <w:r w:rsidR="00B06B5E">
        <w:rPr>
          <w:lang w:eastAsia="ja-JP"/>
        </w:rPr>
        <w:t>relative value units (</w:t>
      </w:r>
      <w:r w:rsidRPr="00D45B1A">
        <w:rPr>
          <w:lang w:eastAsia="ja-JP"/>
        </w:rPr>
        <w:t>RVU</w:t>
      </w:r>
      <w:r w:rsidR="00B06B5E">
        <w:rPr>
          <w:lang w:eastAsia="ja-JP"/>
        </w:rPr>
        <w:t>)</w:t>
      </w:r>
      <w:r w:rsidRPr="00D45B1A">
        <w:rPr>
          <w:lang w:eastAsia="ja-JP"/>
        </w:rPr>
        <w:t xml:space="preserve"> allocations at intermediate product level. </w:t>
      </w:r>
    </w:p>
    <w:p w14:paraId="3E6D6896" w14:textId="77777777" w:rsidR="00DB58FF" w:rsidRPr="00D45B1A" w:rsidRDefault="00DB58FF" w:rsidP="00554A66">
      <w:pPr>
        <w:pStyle w:val="Heading3"/>
      </w:pPr>
      <w:r w:rsidRPr="00D45B1A">
        <w:t>Objective</w:t>
      </w:r>
    </w:p>
    <w:p w14:paraId="06521405" w14:textId="77777777" w:rsidR="00DB58FF" w:rsidRPr="00D45B1A" w:rsidRDefault="00DB58FF" w:rsidP="00554A66">
      <w:pPr>
        <w:rPr>
          <w:lang w:eastAsia="ja-JP"/>
        </w:rPr>
      </w:pPr>
      <w:r w:rsidRPr="00D45B1A">
        <w:rPr>
          <w:lang w:eastAsia="ja-JP"/>
        </w:rPr>
        <w:t xml:space="preserve">To assist costing practitioners in the development, identification and use of RVUs to inform the cost allocation process. </w:t>
      </w:r>
    </w:p>
    <w:p w14:paraId="15D6A8E9" w14:textId="00990F33" w:rsidR="00DB58FF" w:rsidRPr="00D45B1A" w:rsidRDefault="001701AB" w:rsidP="00554A66">
      <w:pPr>
        <w:pStyle w:val="Heading3"/>
      </w:pPr>
      <w:r>
        <w:t xml:space="preserve">Business </w:t>
      </w:r>
      <w:r w:rsidR="00B06B5E">
        <w:t>R</w:t>
      </w:r>
      <w:r>
        <w:t>ule</w:t>
      </w:r>
    </w:p>
    <w:p w14:paraId="671AA2BF" w14:textId="77777777" w:rsidR="00DB58FF" w:rsidRPr="00D45B1A" w:rsidRDefault="00DB58FF" w:rsidP="00554A66">
      <w:r w:rsidRPr="00D45B1A">
        <w:t xml:space="preserve">Costing practitioners should be aware that RVUs are generally applied in the cost allocation process to demonstrate the relative effort in producing one cost object against another. </w:t>
      </w:r>
    </w:p>
    <w:p w14:paraId="03E26AC2" w14:textId="77777777" w:rsidR="00DB58FF" w:rsidRPr="00D45B1A" w:rsidRDefault="00DB58FF" w:rsidP="00554A66">
      <w:r w:rsidRPr="00D45B1A">
        <w:t>The process of developing RVUs is similar across a number of service areas (final cost centres) within a hospital, such as wards or nursing, imaging, pathology, pharmacy, and prosthesis. The difference between them generally is the description of effort or value that is used to define the RVU per service area.</w:t>
      </w:r>
    </w:p>
    <w:p w14:paraId="20264123" w14:textId="1229E7E2" w:rsidR="00DB58FF" w:rsidRPr="00D45B1A" w:rsidRDefault="00702703" w:rsidP="00554A66">
      <w:r w:rsidRPr="00D45B1A">
        <w:t>The determination of effort or value</w:t>
      </w:r>
      <w:r w:rsidR="00DB58FF" w:rsidRPr="00D45B1A">
        <w:t xml:space="preserve"> is generally dependent on the area being costed and the intermediate products being produced from that area. Examples of effort include:</w:t>
      </w:r>
    </w:p>
    <w:p w14:paraId="769D9914" w14:textId="77777777" w:rsidR="00DB58FF" w:rsidRPr="00D45B1A" w:rsidRDefault="00DB58FF" w:rsidP="003F3BEC">
      <w:pPr>
        <w:pStyle w:val="ListBullet"/>
        <w:tabs>
          <w:tab w:val="clear" w:pos="360"/>
          <w:tab w:val="num" w:pos="2194"/>
        </w:tabs>
        <w:ind w:left="2194"/>
      </w:pPr>
      <w:r w:rsidRPr="00D45B1A">
        <w:t>acuity (or patient classification or dependency) for wards</w:t>
      </w:r>
    </w:p>
    <w:p w14:paraId="17068B68" w14:textId="77777777" w:rsidR="00DB58FF" w:rsidRPr="00D45B1A" w:rsidRDefault="00DB58FF" w:rsidP="003F3BEC">
      <w:pPr>
        <w:pStyle w:val="ListBullet"/>
        <w:tabs>
          <w:tab w:val="clear" w:pos="360"/>
          <w:tab w:val="num" w:pos="2194"/>
        </w:tabs>
        <w:ind w:left="2194"/>
      </w:pPr>
      <w:r w:rsidRPr="00D45B1A">
        <w:t>work effort (time based and resource classification based) for imaging and pathology</w:t>
      </w:r>
    </w:p>
    <w:p w14:paraId="711EC110" w14:textId="68900B0C" w:rsidR="00DB58FF" w:rsidRPr="00D45B1A" w:rsidRDefault="00DB58FF" w:rsidP="003F3BEC">
      <w:pPr>
        <w:pStyle w:val="ListBullet"/>
        <w:tabs>
          <w:tab w:val="clear" w:pos="360"/>
          <w:tab w:val="num" w:pos="2194"/>
        </w:tabs>
        <w:ind w:left="2194"/>
      </w:pPr>
      <w:r w:rsidRPr="00D45B1A">
        <w:t>actual prices (paid by the hospital) for prosthesis and pharmaceuticals</w:t>
      </w:r>
      <w:r w:rsidR="004D6235">
        <w:t>.</w:t>
      </w:r>
    </w:p>
    <w:p w14:paraId="43E16A10" w14:textId="77777777" w:rsidR="00DB58FF" w:rsidRPr="00D45B1A" w:rsidRDefault="00DB58FF" w:rsidP="00554A66">
      <w:r w:rsidRPr="00D45B1A">
        <w:t>Costing practitioners should note that where expenses are allocated to an intermediate product using a RVU for expense distribution in the costing process, the following hierarchy should be considered:</w:t>
      </w:r>
    </w:p>
    <w:p w14:paraId="39AECD57" w14:textId="0AE8D499" w:rsidR="00DB58FF" w:rsidRPr="00D45B1A" w:rsidRDefault="00DB58FF" w:rsidP="003F3BEC">
      <w:pPr>
        <w:pStyle w:val="ListBullet"/>
        <w:tabs>
          <w:tab w:val="clear" w:pos="360"/>
          <w:tab w:val="num" w:pos="2194"/>
        </w:tabs>
        <w:ind w:left="2194"/>
      </w:pPr>
      <w:r w:rsidRPr="00D45B1A">
        <w:t xml:space="preserve">the actual cost of each intermediate product where this is provided via </w:t>
      </w:r>
      <w:r w:rsidR="00F604EA">
        <w:t>f</w:t>
      </w:r>
      <w:r w:rsidRPr="00D45B1A">
        <w:t>eeder data from an external provider or business unit, and that cost represents the actual charge to the facility for the full provision of that product or the full part of the provision of that s</w:t>
      </w:r>
      <w:r w:rsidR="003F1BF5">
        <w:t>ervice by the external provider</w:t>
      </w:r>
    </w:p>
    <w:p w14:paraId="0208612B" w14:textId="021FAD4E" w:rsidR="00DB58FF" w:rsidRPr="00D45B1A" w:rsidRDefault="00DB58FF" w:rsidP="003F3BEC">
      <w:pPr>
        <w:pStyle w:val="ListBullet"/>
        <w:tabs>
          <w:tab w:val="clear" w:pos="360"/>
          <w:tab w:val="num" w:pos="2194"/>
        </w:tabs>
        <w:ind w:left="2194"/>
      </w:pPr>
      <w:r w:rsidRPr="00D45B1A">
        <w:t>the use of local RVUs that are derived from an organisation’s own historical information and accurately reflect the organi</w:t>
      </w:r>
      <w:r w:rsidR="003F1BF5">
        <w:t>sation’s operational behaviours</w:t>
      </w:r>
    </w:p>
    <w:p w14:paraId="16846AF1" w14:textId="2130A67C" w:rsidR="00DB58FF" w:rsidRPr="00D45B1A" w:rsidRDefault="00DB58FF" w:rsidP="003F3BEC">
      <w:pPr>
        <w:pStyle w:val="ListBullet"/>
        <w:tabs>
          <w:tab w:val="clear" w:pos="360"/>
          <w:tab w:val="num" w:pos="2194"/>
        </w:tabs>
        <w:ind w:left="2194"/>
      </w:pPr>
      <w:r w:rsidRPr="00D45B1A">
        <w:t>the use of RVUs that are derived from external information, such as an industry standard (such as the Commonwealth Medical Benefits Schedule) or benchmark</w:t>
      </w:r>
    </w:p>
    <w:p w14:paraId="71075B7E" w14:textId="1A539EED" w:rsidR="00DB58FF" w:rsidRPr="00D45B1A" w:rsidRDefault="00DB58FF" w:rsidP="003F3BEC">
      <w:pPr>
        <w:pStyle w:val="ListBullet"/>
        <w:tabs>
          <w:tab w:val="clear" w:pos="360"/>
          <w:tab w:val="num" w:pos="2194"/>
        </w:tabs>
        <w:ind w:left="2194"/>
      </w:pPr>
      <w:r w:rsidRPr="00D45B1A">
        <w:t xml:space="preserve">the use of </w:t>
      </w:r>
      <w:r w:rsidR="00F604EA">
        <w:t>n</w:t>
      </w:r>
      <w:r w:rsidRPr="00D45B1A">
        <w:t xml:space="preserve">ational Diagnostic Related Group (DRG) </w:t>
      </w:r>
      <w:r w:rsidR="00F604EA">
        <w:t>s</w:t>
      </w:r>
      <w:r w:rsidRPr="00D45B1A">
        <w:t xml:space="preserve">ervice </w:t>
      </w:r>
      <w:r w:rsidR="00F604EA">
        <w:t>w</w:t>
      </w:r>
      <w:r w:rsidRPr="00D45B1A">
        <w:t>eights</w:t>
      </w:r>
      <w:r w:rsidR="00EA3C32">
        <w:t>.</w:t>
      </w:r>
    </w:p>
    <w:p w14:paraId="424DED9B" w14:textId="77777777" w:rsidR="00DB58FF" w:rsidRDefault="00DB58FF" w:rsidP="00554A66">
      <w:r>
        <w:t>For the purposes of these business rules, the distinction made for an RVU and service weight is as follows:</w:t>
      </w:r>
    </w:p>
    <w:p w14:paraId="42A11E76" w14:textId="3BE4355B" w:rsidR="00DB58FF" w:rsidRDefault="00DB58FF" w:rsidP="003F3BEC">
      <w:pPr>
        <w:pStyle w:val="ListBullet"/>
        <w:tabs>
          <w:tab w:val="clear" w:pos="360"/>
          <w:tab w:val="num" w:pos="2194"/>
        </w:tabs>
        <w:ind w:left="2194"/>
      </w:pPr>
      <w:r>
        <w:lastRenderedPageBreak/>
        <w:t>A</w:t>
      </w:r>
      <w:r w:rsidRPr="00CF0B25">
        <w:t xml:space="preserve">n </w:t>
      </w:r>
      <w:r w:rsidRPr="00C86147">
        <w:t xml:space="preserve">RVU </w:t>
      </w:r>
      <w:r w:rsidRPr="00CF0B25">
        <w:t>is a weighted unit that reflects the comparative costs of prod</w:t>
      </w:r>
      <w:r w:rsidR="007C1077">
        <w:t xml:space="preserve">uction of one product or </w:t>
      </w:r>
      <w:r w:rsidRPr="00CF0B25">
        <w:t>service against another, across</w:t>
      </w:r>
      <w:r w:rsidR="00897037">
        <w:t xml:space="preserve"> the full range of products </w:t>
      </w:r>
      <w:r w:rsidRPr="00CF0B25">
        <w:t xml:space="preserve">or services produced within the same department. </w:t>
      </w:r>
      <w:r w:rsidR="00702703">
        <w:t>Ideally,</w:t>
      </w:r>
      <w:r>
        <w:t xml:space="preserve"> they are based on local data such as a work value unit for effort in conducting one pathology test against </w:t>
      </w:r>
      <w:r w:rsidR="00702703">
        <w:t>another or</w:t>
      </w:r>
      <w:r>
        <w:t xml:space="preserve"> say the actual charge of a drug. In some instances, they may be externally referenced data at the unit level such as the actual reimbursement of a single or group of pathology tests. </w:t>
      </w:r>
    </w:p>
    <w:p w14:paraId="3A1A75D3" w14:textId="135FFF91" w:rsidR="00DB58FF" w:rsidRPr="00CF0B25" w:rsidRDefault="00DB58FF" w:rsidP="003F3BEC">
      <w:pPr>
        <w:pStyle w:val="ListBullet"/>
        <w:tabs>
          <w:tab w:val="clear" w:pos="360"/>
          <w:tab w:val="num" w:pos="2194"/>
        </w:tabs>
        <w:ind w:left="2194"/>
      </w:pPr>
      <w:r w:rsidRPr="00CF0B25">
        <w:t xml:space="preserve">A </w:t>
      </w:r>
      <w:r w:rsidRPr="00C86147">
        <w:t>service weight</w:t>
      </w:r>
      <w:r w:rsidRPr="00F451E4">
        <w:t xml:space="preserve"> is a series of weightings by </w:t>
      </w:r>
      <w:r w:rsidR="00F91C23">
        <w:t>specified categories (for example</w:t>
      </w:r>
      <w:r w:rsidR="00F604EA">
        <w:t>,</w:t>
      </w:r>
      <w:r w:rsidR="00F91C23">
        <w:t xml:space="preserve"> DRG)</w:t>
      </w:r>
      <w:r>
        <w:t xml:space="preserve"> and by cost bucket which are a relative measure of resource use within a </w:t>
      </w:r>
      <w:r w:rsidR="00F91C23">
        <w:t>category</w:t>
      </w:r>
      <w:r>
        <w:t xml:space="preserve">. In the case of service weights, a weighting is applied at the classification level and it assumes that on average the relative consumption of resources for episodes within that classification is on average similar. </w:t>
      </w:r>
    </w:p>
    <w:p w14:paraId="2426FB24" w14:textId="77777777" w:rsidR="00DB58FF" w:rsidRPr="00D45B1A" w:rsidRDefault="00DB58FF" w:rsidP="00554A66">
      <w:r w:rsidRPr="00D45B1A">
        <w:t>In the absence of data on actual costs incurred by patients through their consumption of intermediate products, developing local RVUs should be the highest priority for costing practitioners, as the cost will be more reflective of resource consumption and work effort within the hospital, than relying on external price lists or service weights. Furthermore, locally developed RVUs need to be reviewed periodically to ensure they are still relevant.</w:t>
      </w:r>
    </w:p>
    <w:p w14:paraId="067D659B" w14:textId="2CC2C83A" w:rsidR="00DB58FF" w:rsidRPr="00D45B1A" w:rsidRDefault="00DB58FF" w:rsidP="00554A66">
      <w:r w:rsidRPr="00D45B1A">
        <w:t xml:space="preserve">For example, </w:t>
      </w:r>
      <w:r w:rsidR="001E7F5F">
        <w:t>a significant majority of expenses are associated to labour</w:t>
      </w:r>
      <w:r w:rsidRPr="00D45B1A">
        <w:t xml:space="preserve">, and in the absence of any data collection which describes the work flow of nursing staff per patient per shift, it would be feasible for the costing practitioner to work with area </w:t>
      </w:r>
      <w:r w:rsidR="0014706B">
        <w:t>staff</w:t>
      </w:r>
      <w:r w:rsidR="0014706B" w:rsidRPr="00D45B1A">
        <w:t xml:space="preserve"> </w:t>
      </w:r>
      <w:r w:rsidR="007C1077">
        <w:t>such as nurse unit m</w:t>
      </w:r>
      <w:r w:rsidRPr="00D45B1A">
        <w:t>anagers to derive a series of local RVUs which best reflect the nursing intensity required per ward via a determined patient classification.</w:t>
      </w:r>
    </w:p>
    <w:p w14:paraId="13AF9067" w14:textId="79E29736" w:rsidR="00DB58FF" w:rsidRPr="00D45B1A" w:rsidRDefault="00DB58FF" w:rsidP="00554A66">
      <w:r w:rsidRPr="00D45B1A">
        <w:t xml:space="preserve">Costing practitioners should be mindful however, that in some circumstances, developing local RVUs would be neither feasible nor desirable. For example, pathology services, can include many hundreds of tests (and as many combinations of tests again) and yet from a materiality perspective, pathology services </w:t>
      </w:r>
      <w:r w:rsidR="007C1077">
        <w:t>may only account for less than five</w:t>
      </w:r>
      <w:r w:rsidRPr="00D45B1A">
        <w:t xml:space="preserve"> per</w:t>
      </w:r>
      <w:r w:rsidR="00EA3C32">
        <w:t xml:space="preserve"> </w:t>
      </w:r>
      <w:r w:rsidRPr="00D45B1A">
        <w:t xml:space="preserve">cent of the hospitals operational cost. </w:t>
      </w:r>
    </w:p>
    <w:p w14:paraId="51436F85" w14:textId="07124877" w:rsidR="00DB58FF" w:rsidRPr="00D45B1A" w:rsidRDefault="00DB58FF" w:rsidP="00554A66">
      <w:r w:rsidRPr="00D45B1A">
        <w:t>Determining local labour and materials resource relativities for each test or combination of tests may be extremely time consuming and not a project that will be supported by the pathology services manager. In this case the costing practitioner may seek the approval of the pathology services manager to use the Commonwealth Medicare Benefits Schedule (CMBS) price list</w:t>
      </w:r>
      <w:r w:rsidR="00C64D88">
        <w:t xml:space="preserve"> together with local pricing schedules for non CMBS items </w:t>
      </w:r>
      <w:r w:rsidRPr="00D45B1A">
        <w:t>as a proxy to allocate pathology costs.</w:t>
      </w:r>
    </w:p>
    <w:p w14:paraId="231A32AF" w14:textId="77777777" w:rsidR="00DB58FF" w:rsidRPr="00D45B1A" w:rsidRDefault="00DB58FF" w:rsidP="00554A66">
      <w:r w:rsidRPr="00D45B1A">
        <w:t xml:space="preserve">Some jurisdictions require their health services to use established service weights as RVUs to allocate certain costs. Service weights need to reflect contemporary resource utilisation where they are used. Service weights that were developed several decades ago are unlikely to be reflective of contemporary clinical practice. Costing practitioners should also be aware that the use of service weights may compromise the integrity of the intermediate products produced within the clinical costing system for business intelligence and reporting purposes as they are derived at an aggregated DRG level and not intermediate product level (such as pathology test level as extracted from the feeder system). </w:t>
      </w:r>
    </w:p>
    <w:p w14:paraId="3F173698" w14:textId="77777777" w:rsidR="00DB58FF" w:rsidRPr="00D45B1A" w:rsidRDefault="00DB58FF" w:rsidP="00554A66">
      <w:r w:rsidRPr="00D45B1A">
        <w:t>The following steps describe the process of developing or using existing RVUs and provide examples for costing practitioners.</w:t>
      </w:r>
    </w:p>
    <w:p w14:paraId="789648F2" w14:textId="10549CFD" w:rsidR="00DB58FF" w:rsidRPr="004E363C" w:rsidRDefault="00DB58FF" w:rsidP="00CB7371">
      <w:pPr>
        <w:keepNext/>
        <w:numPr>
          <w:ilvl w:val="0"/>
          <w:numId w:val="0"/>
        </w:numPr>
        <w:ind w:left="1843"/>
        <w:rPr>
          <w:b/>
        </w:rPr>
      </w:pPr>
      <w:r w:rsidRPr="004E363C">
        <w:rPr>
          <w:b/>
        </w:rPr>
        <w:lastRenderedPageBreak/>
        <w:t>Step 1</w:t>
      </w:r>
      <w:r w:rsidR="004E363C" w:rsidRPr="004E363C">
        <w:rPr>
          <w:b/>
        </w:rPr>
        <w:t xml:space="preserve"> –</w:t>
      </w:r>
      <w:r w:rsidRPr="004E363C">
        <w:rPr>
          <w:b/>
        </w:rPr>
        <w:t xml:space="preserve"> Meet relevant </w:t>
      </w:r>
      <w:r w:rsidR="0014706B">
        <w:rPr>
          <w:b/>
        </w:rPr>
        <w:t>staff members</w:t>
      </w:r>
    </w:p>
    <w:p w14:paraId="3879630D" w14:textId="1917444B" w:rsidR="00DB58FF" w:rsidRPr="00D45B1A" w:rsidRDefault="00DB58FF" w:rsidP="00554A66">
      <w:r w:rsidRPr="00D45B1A">
        <w:t xml:space="preserve">Prior to developing local RVUs or an approach to use a proxy RVU, the costing practitioner should meet with relevant </w:t>
      </w:r>
      <w:r w:rsidR="0014706B">
        <w:t>staff members</w:t>
      </w:r>
      <w:r w:rsidR="0014706B" w:rsidRPr="00D45B1A">
        <w:t xml:space="preserve"> </w:t>
      </w:r>
      <w:r w:rsidRPr="00D45B1A">
        <w:t xml:space="preserve">to understand the activity, and how expenses relate to the activity. The purpose of the meeting is to obtain an agreed method for determining the relative value of resource consumption for the intermediate products associated with the activity. </w:t>
      </w:r>
    </w:p>
    <w:p w14:paraId="23D9BC5F" w14:textId="45625161" w:rsidR="00DB58FF" w:rsidRPr="00D45B1A" w:rsidRDefault="00DB58FF" w:rsidP="00554A66">
      <w:r w:rsidRPr="00D45B1A">
        <w:t>Costing practitioners need to be conscious that from a materiality perspective, around 70 per</w:t>
      </w:r>
      <w:r w:rsidR="009873D9">
        <w:t xml:space="preserve"> </w:t>
      </w:r>
      <w:r w:rsidRPr="00D45B1A">
        <w:t>cent of expenses will relate to labour. RVUs developed will therefore need to discriminate between labour costs and the labour effort involved in producing intermediate products, and the effort or cost associated with the material used to produce intermediate products.</w:t>
      </w:r>
    </w:p>
    <w:p w14:paraId="731C4966" w14:textId="287C7CC6" w:rsidR="00DB58FF" w:rsidRPr="004E363C" w:rsidRDefault="004E363C" w:rsidP="00A05D6A">
      <w:pPr>
        <w:numPr>
          <w:ilvl w:val="0"/>
          <w:numId w:val="0"/>
        </w:numPr>
        <w:ind w:left="1843"/>
        <w:rPr>
          <w:b/>
        </w:rPr>
      </w:pPr>
      <w:r w:rsidRPr="004E363C">
        <w:rPr>
          <w:b/>
        </w:rPr>
        <w:t>Step 2 –</w:t>
      </w:r>
      <w:r w:rsidR="00DB58FF" w:rsidRPr="004E363C">
        <w:rPr>
          <w:b/>
        </w:rPr>
        <w:t xml:space="preserve"> Develop</w:t>
      </w:r>
      <w:r w:rsidRPr="004E363C">
        <w:rPr>
          <w:b/>
        </w:rPr>
        <w:t xml:space="preserve"> </w:t>
      </w:r>
      <w:r w:rsidR="009873D9">
        <w:rPr>
          <w:b/>
        </w:rPr>
        <w:t>relative value units</w:t>
      </w:r>
    </w:p>
    <w:p w14:paraId="1F38B36F" w14:textId="6EAF8FAE" w:rsidR="00DB58FF" w:rsidRPr="00D45B1A" w:rsidRDefault="00DB58FF" w:rsidP="00554A66">
      <w:r w:rsidRPr="00D45B1A">
        <w:t>The starting point for developing RVUs is to obtain the relevant activity data for a previous period (</w:t>
      </w:r>
      <w:r w:rsidR="00D215F6">
        <w:t>for example,</w:t>
      </w:r>
      <w:r w:rsidRPr="00D45B1A">
        <w:t xml:space="preserve"> the previous financial year), and sort this by the volume of activity that has taken place.</w:t>
      </w:r>
      <w:r w:rsidR="00BE41A4">
        <w:t xml:space="preserve"> Consideration should also be given to those cost objects that are new in the current year.</w:t>
      </w:r>
      <w:r w:rsidRPr="00D45B1A">
        <w:t xml:space="preserve"> For example, if MRI is a discreet cost centre, and MRI tests are identifiable from the imaging feeder extract, these MRI tests should be sorted according to the volume of tests. For example, the top 20 tests by volume may account for a significant proportion of all tests. The costing practitioner then needs to break down the expenses in the MRI cost centre by labour and non-labour categories (</w:t>
      </w:r>
      <w:r w:rsidR="00D215F6">
        <w:t>for example</w:t>
      </w:r>
      <w:r w:rsidRPr="00D45B1A">
        <w:t>, medical, nursing, radiographer</w:t>
      </w:r>
      <w:r w:rsidR="00D215F6">
        <w:t xml:space="preserve"> or</w:t>
      </w:r>
      <w:r w:rsidRPr="00D45B1A">
        <w:t xml:space="preserve"> materials).</w:t>
      </w:r>
    </w:p>
    <w:p w14:paraId="5D487A05" w14:textId="3E17EE00" w:rsidR="00DB58FF" w:rsidRPr="00D45B1A" w:rsidRDefault="00DB58FF" w:rsidP="00554A66">
      <w:r w:rsidRPr="00D45B1A">
        <w:t>When meeting with the area stakeholder, the costing practitioner will need to discuss how to allocate a relative value of resource consumption to each intermediate product for the labour and non-labour categories. With regard to labour costs in particular, the costing practitioner should seek to obtain information regarding the average time taken and number of staff involved for each intermediate product. An example template for populating the results of this di</w:t>
      </w:r>
      <w:r w:rsidR="004E363C">
        <w:t xml:space="preserve">scussion can be seen in </w:t>
      </w:r>
      <w:r w:rsidR="00DB0B85">
        <w:t>the table</w:t>
      </w:r>
      <w:r w:rsidRPr="00D45B1A">
        <w:t xml:space="preserve"> below:</w:t>
      </w:r>
    </w:p>
    <w:p w14:paraId="68DCB64D" w14:textId="3D6CB0E0" w:rsidR="00E403FA" w:rsidRPr="007C1077" w:rsidRDefault="004E363C" w:rsidP="007C1077">
      <w:pPr>
        <w:pStyle w:val="Caption"/>
        <w:keepNext/>
        <w:numPr>
          <w:ilvl w:val="0"/>
          <w:numId w:val="0"/>
        </w:numPr>
        <w:spacing w:after="60"/>
        <w:ind w:left="1843"/>
        <w:rPr>
          <w:rFonts w:asciiTheme="majorHAnsi" w:hAnsiTheme="majorHAnsi" w:cstheme="majorHAnsi"/>
          <w:i w:val="0"/>
          <w:sz w:val="22"/>
          <w:szCs w:val="22"/>
        </w:rPr>
      </w:pPr>
      <w:r w:rsidRPr="007C1077">
        <w:rPr>
          <w:rFonts w:asciiTheme="majorHAnsi" w:hAnsiTheme="majorHAnsi" w:cstheme="majorHAnsi"/>
          <w:b/>
          <w:i w:val="0"/>
          <w:sz w:val="22"/>
          <w:szCs w:val="22"/>
        </w:rPr>
        <w:t xml:space="preserve">Table </w:t>
      </w:r>
      <w:r w:rsidR="00D638F5" w:rsidRPr="007C1077">
        <w:rPr>
          <w:rFonts w:asciiTheme="majorHAnsi" w:hAnsiTheme="majorHAnsi" w:cstheme="majorHAnsi"/>
          <w:b/>
          <w:i w:val="0"/>
          <w:noProof/>
          <w:sz w:val="22"/>
          <w:szCs w:val="22"/>
        </w:rPr>
        <w:fldChar w:fldCharType="begin"/>
      </w:r>
      <w:r w:rsidR="00D638F5" w:rsidRPr="007C1077">
        <w:rPr>
          <w:rFonts w:asciiTheme="majorHAnsi" w:hAnsiTheme="majorHAnsi" w:cstheme="majorHAnsi"/>
          <w:b/>
          <w:i w:val="0"/>
          <w:noProof/>
          <w:sz w:val="22"/>
          <w:szCs w:val="22"/>
        </w:rPr>
        <w:instrText xml:space="preserve"> SEQ Table \* ARABIC </w:instrText>
      </w:r>
      <w:r w:rsidR="00D638F5" w:rsidRPr="007C1077">
        <w:rPr>
          <w:rFonts w:asciiTheme="majorHAnsi" w:hAnsiTheme="majorHAnsi" w:cstheme="majorHAnsi"/>
          <w:b/>
          <w:i w:val="0"/>
          <w:noProof/>
          <w:sz w:val="22"/>
          <w:szCs w:val="22"/>
        </w:rPr>
        <w:fldChar w:fldCharType="separate"/>
      </w:r>
      <w:r w:rsidR="00EA6A78" w:rsidRPr="007C1077">
        <w:rPr>
          <w:rFonts w:asciiTheme="majorHAnsi" w:hAnsiTheme="majorHAnsi" w:cstheme="majorHAnsi"/>
          <w:b/>
          <w:i w:val="0"/>
          <w:noProof/>
          <w:sz w:val="22"/>
          <w:szCs w:val="22"/>
        </w:rPr>
        <w:t>1</w:t>
      </w:r>
      <w:r w:rsidR="00D638F5" w:rsidRPr="007C1077">
        <w:rPr>
          <w:rFonts w:asciiTheme="majorHAnsi" w:hAnsiTheme="majorHAnsi" w:cstheme="majorHAnsi"/>
          <w:b/>
          <w:i w:val="0"/>
          <w:noProof/>
          <w:sz w:val="22"/>
          <w:szCs w:val="22"/>
        </w:rPr>
        <w:fldChar w:fldCharType="end"/>
      </w:r>
      <w:r w:rsidR="007C1077" w:rsidRPr="007C1077">
        <w:rPr>
          <w:rFonts w:asciiTheme="majorHAnsi" w:hAnsiTheme="majorHAnsi" w:cstheme="majorHAnsi"/>
          <w:b/>
          <w:i w:val="0"/>
          <w:sz w:val="22"/>
          <w:szCs w:val="22"/>
        </w:rPr>
        <w:t>:</w:t>
      </w:r>
      <w:r w:rsidRPr="007C1077">
        <w:rPr>
          <w:rFonts w:asciiTheme="majorHAnsi" w:hAnsiTheme="majorHAnsi" w:cstheme="majorHAnsi"/>
          <w:i w:val="0"/>
          <w:sz w:val="22"/>
          <w:szCs w:val="22"/>
        </w:rPr>
        <w:t xml:space="preserve"> Imaging Feeder Example – Staff Time and Materials</w:t>
      </w:r>
    </w:p>
    <w:tbl>
      <w:tblPr>
        <w:tblStyle w:val="TableGrid"/>
        <w:tblW w:w="0" w:type="auto"/>
        <w:tblInd w:w="1843" w:type="dxa"/>
        <w:tblLayout w:type="fixed"/>
        <w:tblLook w:val="04A0" w:firstRow="1" w:lastRow="0" w:firstColumn="1" w:lastColumn="0" w:noHBand="0" w:noVBand="1"/>
        <w:tblDescription w:val="Table with column headings test, tests, Medical time, medical staff, nursing time, nursing staff, radiographer staff, radiographer time and materials."/>
      </w:tblPr>
      <w:tblGrid>
        <w:gridCol w:w="675"/>
        <w:gridCol w:w="709"/>
        <w:gridCol w:w="850"/>
        <w:gridCol w:w="851"/>
        <w:gridCol w:w="850"/>
        <w:gridCol w:w="851"/>
        <w:gridCol w:w="1063"/>
        <w:gridCol w:w="1063"/>
        <w:gridCol w:w="869"/>
      </w:tblGrid>
      <w:tr w:rsidR="00AF16ED" w:rsidRPr="00AF16ED" w14:paraId="58098ECF" w14:textId="77777777" w:rsidTr="00AF16ED">
        <w:trPr>
          <w:tblHeader/>
        </w:trPr>
        <w:tc>
          <w:tcPr>
            <w:tcW w:w="675" w:type="dxa"/>
          </w:tcPr>
          <w:p w14:paraId="1EF8615D" w14:textId="6AD9866B" w:rsidR="00E403FA" w:rsidRPr="007C1077" w:rsidRDefault="00D15B6E" w:rsidP="00D15B6E">
            <w:pPr>
              <w:numPr>
                <w:ilvl w:val="0"/>
                <w:numId w:val="0"/>
              </w:numPr>
              <w:spacing w:before="0" w:after="0"/>
              <w:rPr>
                <w:b/>
                <w:sz w:val="16"/>
                <w:szCs w:val="16"/>
              </w:rPr>
            </w:pPr>
            <w:r w:rsidRPr="007C1077">
              <w:rPr>
                <w:b/>
                <w:sz w:val="16"/>
                <w:szCs w:val="16"/>
              </w:rPr>
              <w:t>Test</w:t>
            </w:r>
          </w:p>
        </w:tc>
        <w:tc>
          <w:tcPr>
            <w:tcW w:w="709" w:type="dxa"/>
          </w:tcPr>
          <w:p w14:paraId="39BBF65E" w14:textId="360699DA" w:rsidR="00E403FA" w:rsidRPr="007C1077" w:rsidRDefault="00D15B6E" w:rsidP="00D15B6E">
            <w:pPr>
              <w:numPr>
                <w:ilvl w:val="0"/>
                <w:numId w:val="0"/>
              </w:numPr>
              <w:spacing w:before="0" w:after="0"/>
              <w:jc w:val="center"/>
              <w:rPr>
                <w:b/>
                <w:sz w:val="16"/>
                <w:szCs w:val="16"/>
              </w:rPr>
            </w:pPr>
            <w:r w:rsidRPr="007C1077">
              <w:rPr>
                <w:b/>
                <w:sz w:val="16"/>
                <w:szCs w:val="16"/>
              </w:rPr>
              <w:t>Tests</w:t>
            </w:r>
          </w:p>
        </w:tc>
        <w:tc>
          <w:tcPr>
            <w:tcW w:w="850" w:type="dxa"/>
          </w:tcPr>
          <w:p w14:paraId="7AE735DB" w14:textId="36491816" w:rsidR="00E403FA" w:rsidRPr="007C1077" w:rsidRDefault="00D15B6E" w:rsidP="00D15B6E">
            <w:pPr>
              <w:numPr>
                <w:ilvl w:val="0"/>
                <w:numId w:val="0"/>
              </w:numPr>
              <w:spacing w:before="0" w:after="0"/>
              <w:jc w:val="center"/>
              <w:rPr>
                <w:b/>
                <w:sz w:val="16"/>
                <w:szCs w:val="16"/>
              </w:rPr>
            </w:pPr>
            <w:r w:rsidRPr="007C1077">
              <w:rPr>
                <w:b/>
                <w:sz w:val="16"/>
                <w:szCs w:val="16"/>
              </w:rPr>
              <w:t>Medical time</w:t>
            </w:r>
          </w:p>
        </w:tc>
        <w:tc>
          <w:tcPr>
            <w:tcW w:w="851" w:type="dxa"/>
          </w:tcPr>
          <w:p w14:paraId="130A1E3A" w14:textId="2D2DE04E" w:rsidR="00E403FA" w:rsidRPr="007C1077" w:rsidRDefault="00D15B6E" w:rsidP="00D15B6E">
            <w:pPr>
              <w:numPr>
                <w:ilvl w:val="0"/>
                <w:numId w:val="0"/>
              </w:numPr>
              <w:spacing w:before="0" w:after="0"/>
              <w:jc w:val="center"/>
              <w:rPr>
                <w:b/>
                <w:sz w:val="16"/>
                <w:szCs w:val="16"/>
              </w:rPr>
            </w:pPr>
            <w:r w:rsidRPr="007C1077">
              <w:rPr>
                <w:b/>
                <w:sz w:val="16"/>
                <w:szCs w:val="16"/>
              </w:rPr>
              <w:t>Medical staff</w:t>
            </w:r>
          </w:p>
        </w:tc>
        <w:tc>
          <w:tcPr>
            <w:tcW w:w="850" w:type="dxa"/>
          </w:tcPr>
          <w:p w14:paraId="063660BB" w14:textId="5402E1C8" w:rsidR="00E403FA" w:rsidRPr="007C1077" w:rsidRDefault="00D15B6E" w:rsidP="00D15B6E">
            <w:pPr>
              <w:numPr>
                <w:ilvl w:val="0"/>
                <w:numId w:val="0"/>
              </w:numPr>
              <w:spacing w:before="0" w:after="0"/>
              <w:jc w:val="center"/>
              <w:rPr>
                <w:b/>
                <w:sz w:val="16"/>
                <w:szCs w:val="16"/>
              </w:rPr>
            </w:pPr>
            <w:r w:rsidRPr="007C1077">
              <w:rPr>
                <w:b/>
                <w:sz w:val="16"/>
                <w:szCs w:val="16"/>
              </w:rPr>
              <w:t>Nursing time</w:t>
            </w:r>
          </w:p>
        </w:tc>
        <w:tc>
          <w:tcPr>
            <w:tcW w:w="851" w:type="dxa"/>
          </w:tcPr>
          <w:p w14:paraId="6F298840" w14:textId="0D9CA082" w:rsidR="00E403FA" w:rsidRPr="007C1077" w:rsidRDefault="00D15B6E" w:rsidP="00D15B6E">
            <w:pPr>
              <w:numPr>
                <w:ilvl w:val="0"/>
                <w:numId w:val="0"/>
              </w:numPr>
              <w:spacing w:before="0" w:after="0"/>
              <w:jc w:val="center"/>
              <w:rPr>
                <w:b/>
                <w:sz w:val="16"/>
                <w:szCs w:val="16"/>
              </w:rPr>
            </w:pPr>
            <w:r w:rsidRPr="007C1077">
              <w:rPr>
                <w:b/>
                <w:sz w:val="16"/>
                <w:szCs w:val="16"/>
              </w:rPr>
              <w:t>Nursing staff</w:t>
            </w:r>
          </w:p>
        </w:tc>
        <w:tc>
          <w:tcPr>
            <w:tcW w:w="1063" w:type="dxa"/>
          </w:tcPr>
          <w:p w14:paraId="275CE06F" w14:textId="619158C7" w:rsidR="00E403FA" w:rsidRPr="007C1077" w:rsidRDefault="00555173" w:rsidP="00D15B6E">
            <w:pPr>
              <w:numPr>
                <w:ilvl w:val="0"/>
                <w:numId w:val="0"/>
              </w:numPr>
              <w:spacing w:before="0" w:after="0"/>
              <w:ind w:left="-109" w:right="-90"/>
              <w:jc w:val="center"/>
              <w:rPr>
                <w:b/>
                <w:sz w:val="16"/>
                <w:szCs w:val="16"/>
              </w:rPr>
            </w:pPr>
            <w:r w:rsidRPr="007C1077">
              <w:rPr>
                <w:b/>
                <w:sz w:val="16"/>
                <w:szCs w:val="16"/>
              </w:rPr>
              <w:t>Radiographer time</w:t>
            </w:r>
          </w:p>
        </w:tc>
        <w:tc>
          <w:tcPr>
            <w:tcW w:w="1063" w:type="dxa"/>
          </w:tcPr>
          <w:p w14:paraId="311ACC6E" w14:textId="662504ED" w:rsidR="00E403FA" w:rsidRPr="007C1077" w:rsidRDefault="00D15B6E" w:rsidP="00555173">
            <w:pPr>
              <w:numPr>
                <w:ilvl w:val="0"/>
                <w:numId w:val="0"/>
              </w:numPr>
              <w:spacing w:before="0" w:after="0"/>
              <w:ind w:left="-109" w:right="-90"/>
              <w:jc w:val="center"/>
              <w:rPr>
                <w:b/>
                <w:sz w:val="16"/>
                <w:szCs w:val="16"/>
              </w:rPr>
            </w:pPr>
            <w:r w:rsidRPr="007C1077">
              <w:rPr>
                <w:b/>
                <w:sz w:val="16"/>
                <w:szCs w:val="16"/>
              </w:rPr>
              <w:t xml:space="preserve">Radiographer </w:t>
            </w:r>
            <w:r w:rsidR="00555173" w:rsidRPr="007C1077">
              <w:rPr>
                <w:b/>
                <w:sz w:val="16"/>
                <w:szCs w:val="16"/>
              </w:rPr>
              <w:t>staff</w:t>
            </w:r>
          </w:p>
        </w:tc>
        <w:tc>
          <w:tcPr>
            <w:tcW w:w="869" w:type="dxa"/>
          </w:tcPr>
          <w:p w14:paraId="6C216416" w14:textId="7BBBC6C5" w:rsidR="00E403FA" w:rsidRPr="007C1077" w:rsidRDefault="00D15B6E" w:rsidP="00D15B6E">
            <w:pPr>
              <w:numPr>
                <w:ilvl w:val="0"/>
                <w:numId w:val="0"/>
              </w:numPr>
              <w:spacing w:before="0" w:after="0"/>
              <w:jc w:val="center"/>
              <w:rPr>
                <w:b/>
                <w:sz w:val="16"/>
                <w:szCs w:val="16"/>
              </w:rPr>
            </w:pPr>
            <w:r w:rsidRPr="007C1077">
              <w:rPr>
                <w:b/>
                <w:sz w:val="16"/>
                <w:szCs w:val="16"/>
              </w:rPr>
              <w:t>Materials</w:t>
            </w:r>
          </w:p>
        </w:tc>
      </w:tr>
      <w:tr w:rsidR="00AF16ED" w:rsidRPr="00D15B6E" w14:paraId="31D75804" w14:textId="77777777" w:rsidTr="00AF16ED">
        <w:tc>
          <w:tcPr>
            <w:tcW w:w="675" w:type="dxa"/>
          </w:tcPr>
          <w:p w14:paraId="01B88DEB" w14:textId="6DC56096" w:rsidR="00E403FA" w:rsidRPr="007C1077" w:rsidRDefault="00D15B6E" w:rsidP="00D15B6E">
            <w:pPr>
              <w:numPr>
                <w:ilvl w:val="0"/>
                <w:numId w:val="0"/>
              </w:numPr>
              <w:spacing w:before="0" w:after="0"/>
              <w:rPr>
                <w:sz w:val="16"/>
                <w:szCs w:val="16"/>
              </w:rPr>
            </w:pPr>
            <w:r w:rsidRPr="007C1077">
              <w:rPr>
                <w:sz w:val="16"/>
                <w:szCs w:val="16"/>
              </w:rPr>
              <w:t>MRI 1</w:t>
            </w:r>
          </w:p>
        </w:tc>
        <w:tc>
          <w:tcPr>
            <w:tcW w:w="709" w:type="dxa"/>
          </w:tcPr>
          <w:p w14:paraId="2029275F" w14:textId="178A3F97" w:rsidR="00E403FA" w:rsidRPr="007C1077" w:rsidRDefault="00D15B6E" w:rsidP="00D15B6E">
            <w:pPr>
              <w:numPr>
                <w:ilvl w:val="0"/>
                <w:numId w:val="0"/>
              </w:numPr>
              <w:spacing w:before="0" w:after="0"/>
              <w:jc w:val="center"/>
              <w:rPr>
                <w:sz w:val="16"/>
                <w:szCs w:val="16"/>
              </w:rPr>
            </w:pPr>
            <w:r w:rsidRPr="007C1077">
              <w:rPr>
                <w:sz w:val="16"/>
                <w:szCs w:val="16"/>
              </w:rPr>
              <w:t>500</w:t>
            </w:r>
          </w:p>
        </w:tc>
        <w:tc>
          <w:tcPr>
            <w:tcW w:w="850" w:type="dxa"/>
          </w:tcPr>
          <w:p w14:paraId="65D8276D" w14:textId="28E42EC1" w:rsidR="00D15B6E" w:rsidRPr="007C1077" w:rsidRDefault="00D15B6E" w:rsidP="00D15B6E">
            <w:pPr>
              <w:numPr>
                <w:ilvl w:val="0"/>
                <w:numId w:val="0"/>
              </w:numPr>
              <w:spacing w:before="0" w:after="0"/>
              <w:jc w:val="center"/>
              <w:rPr>
                <w:sz w:val="16"/>
                <w:szCs w:val="16"/>
              </w:rPr>
            </w:pPr>
            <w:r w:rsidRPr="007C1077">
              <w:rPr>
                <w:sz w:val="16"/>
                <w:szCs w:val="16"/>
              </w:rPr>
              <w:t>30</w:t>
            </w:r>
          </w:p>
        </w:tc>
        <w:tc>
          <w:tcPr>
            <w:tcW w:w="851" w:type="dxa"/>
          </w:tcPr>
          <w:p w14:paraId="306D6F1E" w14:textId="3BA1A7AE" w:rsidR="00E403FA" w:rsidRPr="007C1077" w:rsidRDefault="00D15B6E" w:rsidP="00D15B6E">
            <w:pPr>
              <w:numPr>
                <w:ilvl w:val="0"/>
                <w:numId w:val="0"/>
              </w:numPr>
              <w:spacing w:before="0" w:after="0"/>
              <w:jc w:val="center"/>
              <w:rPr>
                <w:sz w:val="16"/>
                <w:szCs w:val="16"/>
              </w:rPr>
            </w:pPr>
            <w:r w:rsidRPr="007C1077">
              <w:rPr>
                <w:sz w:val="16"/>
                <w:szCs w:val="16"/>
              </w:rPr>
              <w:t>2</w:t>
            </w:r>
          </w:p>
        </w:tc>
        <w:tc>
          <w:tcPr>
            <w:tcW w:w="850" w:type="dxa"/>
          </w:tcPr>
          <w:p w14:paraId="714CA8AA" w14:textId="78A4B32E" w:rsidR="00E403FA" w:rsidRPr="007C1077" w:rsidRDefault="00D15B6E" w:rsidP="00D15B6E">
            <w:pPr>
              <w:numPr>
                <w:ilvl w:val="0"/>
                <w:numId w:val="0"/>
              </w:numPr>
              <w:spacing w:before="0" w:after="0"/>
              <w:jc w:val="center"/>
              <w:rPr>
                <w:sz w:val="16"/>
                <w:szCs w:val="16"/>
              </w:rPr>
            </w:pPr>
            <w:r w:rsidRPr="007C1077">
              <w:rPr>
                <w:sz w:val="16"/>
                <w:szCs w:val="16"/>
              </w:rPr>
              <w:t>40</w:t>
            </w:r>
          </w:p>
        </w:tc>
        <w:tc>
          <w:tcPr>
            <w:tcW w:w="851" w:type="dxa"/>
          </w:tcPr>
          <w:p w14:paraId="24EF68A3" w14:textId="5C69A04F" w:rsidR="00E403FA" w:rsidRPr="007C1077" w:rsidRDefault="00D15B6E" w:rsidP="00D15B6E">
            <w:pPr>
              <w:numPr>
                <w:ilvl w:val="0"/>
                <w:numId w:val="0"/>
              </w:numPr>
              <w:spacing w:before="0" w:after="0"/>
              <w:jc w:val="center"/>
              <w:rPr>
                <w:sz w:val="16"/>
                <w:szCs w:val="16"/>
              </w:rPr>
            </w:pPr>
            <w:r w:rsidRPr="007C1077">
              <w:rPr>
                <w:sz w:val="16"/>
                <w:szCs w:val="16"/>
              </w:rPr>
              <w:t>1</w:t>
            </w:r>
          </w:p>
        </w:tc>
        <w:tc>
          <w:tcPr>
            <w:tcW w:w="1063" w:type="dxa"/>
          </w:tcPr>
          <w:p w14:paraId="0F8DF7D4" w14:textId="743BD513" w:rsidR="00E403FA" w:rsidRPr="007C1077" w:rsidRDefault="00D15B6E" w:rsidP="00D15B6E">
            <w:pPr>
              <w:numPr>
                <w:ilvl w:val="0"/>
                <w:numId w:val="0"/>
              </w:numPr>
              <w:spacing w:before="0" w:after="0"/>
              <w:jc w:val="center"/>
              <w:rPr>
                <w:sz w:val="16"/>
                <w:szCs w:val="16"/>
              </w:rPr>
            </w:pPr>
            <w:r w:rsidRPr="007C1077">
              <w:rPr>
                <w:sz w:val="16"/>
                <w:szCs w:val="16"/>
              </w:rPr>
              <w:t>40</w:t>
            </w:r>
          </w:p>
        </w:tc>
        <w:tc>
          <w:tcPr>
            <w:tcW w:w="1063" w:type="dxa"/>
          </w:tcPr>
          <w:p w14:paraId="546945D9" w14:textId="0748BF3C" w:rsidR="00E403FA" w:rsidRPr="007C1077" w:rsidRDefault="00D15B6E" w:rsidP="00D15B6E">
            <w:pPr>
              <w:numPr>
                <w:ilvl w:val="0"/>
                <w:numId w:val="0"/>
              </w:numPr>
              <w:spacing w:before="0" w:after="0"/>
              <w:jc w:val="center"/>
              <w:rPr>
                <w:sz w:val="16"/>
                <w:szCs w:val="16"/>
              </w:rPr>
            </w:pPr>
            <w:r w:rsidRPr="007C1077">
              <w:rPr>
                <w:sz w:val="16"/>
                <w:szCs w:val="16"/>
              </w:rPr>
              <w:t>1</w:t>
            </w:r>
          </w:p>
        </w:tc>
        <w:tc>
          <w:tcPr>
            <w:tcW w:w="869" w:type="dxa"/>
          </w:tcPr>
          <w:p w14:paraId="65A97AC2" w14:textId="66505DA7" w:rsidR="00E403FA" w:rsidRPr="007C1077" w:rsidRDefault="00D15B6E" w:rsidP="00D15B6E">
            <w:pPr>
              <w:numPr>
                <w:ilvl w:val="0"/>
                <w:numId w:val="0"/>
              </w:numPr>
              <w:spacing w:before="0" w:after="0"/>
              <w:jc w:val="center"/>
              <w:rPr>
                <w:sz w:val="16"/>
                <w:szCs w:val="16"/>
              </w:rPr>
            </w:pPr>
            <w:r w:rsidRPr="007C1077">
              <w:rPr>
                <w:sz w:val="16"/>
                <w:szCs w:val="16"/>
              </w:rPr>
              <w:t>5</w:t>
            </w:r>
          </w:p>
        </w:tc>
      </w:tr>
      <w:tr w:rsidR="00AF16ED" w:rsidRPr="00D15B6E" w14:paraId="730C4770" w14:textId="77777777" w:rsidTr="00AF16ED">
        <w:tc>
          <w:tcPr>
            <w:tcW w:w="675" w:type="dxa"/>
          </w:tcPr>
          <w:p w14:paraId="2D586EBE" w14:textId="6F58488D" w:rsidR="00E403FA" w:rsidRPr="007C1077" w:rsidRDefault="00D15B6E" w:rsidP="00D15B6E">
            <w:pPr>
              <w:numPr>
                <w:ilvl w:val="0"/>
                <w:numId w:val="0"/>
              </w:numPr>
              <w:spacing w:before="0" w:after="0"/>
              <w:rPr>
                <w:sz w:val="16"/>
                <w:szCs w:val="16"/>
              </w:rPr>
            </w:pPr>
            <w:r w:rsidRPr="007C1077">
              <w:rPr>
                <w:sz w:val="16"/>
                <w:szCs w:val="16"/>
              </w:rPr>
              <w:t>MRI 2</w:t>
            </w:r>
          </w:p>
        </w:tc>
        <w:tc>
          <w:tcPr>
            <w:tcW w:w="709" w:type="dxa"/>
          </w:tcPr>
          <w:p w14:paraId="349D27F8" w14:textId="2DB64AAA" w:rsidR="00E403FA" w:rsidRPr="007C1077" w:rsidRDefault="00D15B6E" w:rsidP="00D15B6E">
            <w:pPr>
              <w:numPr>
                <w:ilvl w:val="0"/>
                <w:numId w:val="0"/>
              </w:numPr>
              <w:spacing w:before="0" w:after="0"/>
              <w:jc w:val="center"/>
              <w:rPr>
                <w:sz w:val="16"/>
                <w:szCs w:val="16"/>
              </w:rPr>
            </w:pPr>
            <w:r w:rsidRPr="007C1077">
              <w:rPr>
                <w:sz w:val="16"/>
                <w:szCs w:val="16"/>
              </w:rPr>
              <w:t>400</w:t>
            </w:r>
          </w:p>
        </w:tc>
        <w:tc>
          <w:tcPr>
            <w:tcW w:w="850" w:type="dxa"/>
          </w:tcPr>
          <w:p w14:paraId="0C1330BC" w14:textId="6ECC93D0" w:rsidR="00D15B6E" w:rsidRPr="007C1077" w:rsidRDefault="00D15B6E" w:rsidP="00D15B6E">
            <w:pPr>
              <w:numPr>
                <w:ilvl w:val="0"/>
                <w:numId w:val="0"/>
              </w:numPr>
              <w:spacing w:before="0" w:after="0"/>
              <w:jc w:val="center"/>
              <w:rPr>
                <w:sz w:val="16"/>
                <w:szCs w:val="16"/>
              </w:rPr>
            </w:pPr>
            <w:r w:rsidRPr="007C1077">
              <w:rPr>
                <w:sz w:val="16"/>
                <w:szCs w:val="16"/>
              </w:rPr>
              <w:t>10</w:t>
            </w:r>
          </w:p>
        </w:tc>
        <w:tc>
          <w:tcPr>
            <w:tcW w:w="851" w:type="dxa"/>
          </w:tcPr>
          <w:p w14:paraId="57415564" w14:textId="43AA8997" w:rsidR="00E403FA" w:rsidRPr="007C1077" w:rsidRDefault="00D15B6E" w:rsidP="00D15B6E">
            <w:pPr>
              <w:numPr>
                <w:ilvl w:val="0"/>
                <w:numId w:val="0"/>
              </w:numPr>
              <w:spacing w:before="0" w:after="0"/>
              <w:jc w:val="center"/>
              <w:rPr>
                <w:sz w:val="16"/>
                <w:szCs w:val="16"/>
              </w:rPr>
            </w:pPr>
            <w:r w:rsidRPr="007C1077">
              <w:rPr>
                <w:sz w:val="16"/>
                <w:szCs w:val="16"/>
              </w:rPr>
              <w:t>1</w:t>
            </w:r>
          </w:p>
        </w:tc>
        <w:tc>
          <w:tcPr>
            <w:tcW w:w="850" w:type="dxa"/>
          </w:tcPr>
          <w:p w14:paraId="0075C6E8" w14:textId="617AE4B8" w:rsidR="00E403FA" w:rsidRPr="007C1077" w:rsidRDefault="00D15B6E" w:rsidP="00D15B6E">
            <w:pPr>
              <w:numPr>
                <w:ilvl w:val="0"/>
                <w:numId w:val="0"/>
              </w:numPr>
              <w:spacing w:before="0" w:after="0"/>
              <w:jc w:val="center"/>
              <w:rPr>
                <w:sz w:val="16"/>
                <w:szCs w:val="16"/>
              </w:rPr>
            </w:pPr>
            <w:r w:rsidRPr="007C1077">
              <w:rPr>
                <w:sz w:val="16"/>
                <w:szCs w:val="16"/>
              </w:rPr>
              <w:t>20</w:t>
            </w:r>
          </w:p>
        </w:tc>
        <w:tc>
          <w:tcPr>
            <w:tcW w:w="851" w:type="dxa"/>
          </w:tcPr>
          <w:p w14:paraId="415C6322" w14:textId="5B37DCFA" w:rsidR="00E403FA" w:rsidRPr="007C1077" w:rsidRDefault="00D15B6E" w:rsidP="00D15B6E">
            <w:pPr>
              <w:numPr>
                <w:ilvl w:val="0"/>
                <w:numId w:val="0"/>
              </w:numPr>
              <w:spacing w:before="0" w:after="0"/>
              <w:jc w:val="center"/>
              <w:rPr>
                <w:sz w:val="16"/>
                <w:szCs w:val="16"/>
              </w:rPr>
            </w:pPr>
            <w:r w:rsidRPr="007C1077">
              <w:rPr>
                <w:sz w:val="16"/>
                <w:szCs w:val="16"/>
              </w:rPr>
              <w:t>1</w:t>
            </w:r>
          </w:p>
        </w:tc>
        <w:tc>
          <w:tcPr>
            <w:tcW w:w="1063" w:type="dxa"/>
          </w:tcPr>
          <w:p w14:paraId="1053F9AE" w14:textId="366A1FF5" w:rsidR="00E403FA" w:rsidRPr="007C1077" w:rsidRDefault="00D15B6E" w:rsidP="00D15B6E">
            <w:pPr>
              <w:numPr>
                <w:ilvl w:val="0"/>
                <w:numId w:val="0"/>
              </w:numPr>
              <w:spacing w:before="0" w:after="0"/>
              <w:jc w:val="center"/>
              <w:rPr>
                <w:sz w:val="16"/>
                <w:szCs w:val="16"/>
              </w:rPr>
            </w:pPr>
            <w:r w:rsidRPr="007C1077">
              <w:rPr>
                <w:sz w:val="16"/>
                <w:szCs w:val="16"/>
              </w:rPr>
              <w:t>30</w:t>
            </w:r>
          </w:p>
        </w:tc>
        <w:tc>
          <w:tcPr>
            <w:tcW w:w="1063" w:type="dxa"/>
          </w:tcPr>
          <w:p w14:paraId="009E3D7D" w14:textId="0CDD1F5E" w:rsidR="00E403FA" w:rsidRPr="007C1077" w:rsidRDefault="00D15B6E" w:rsidP="00D15B6E">
            <w:pPr>
              <w:numPr>
                <w:ilvl w:val="0"/>
                <w:numId w:val="0"/>
              </w:numPr>
              <w:spacing w:before="0" w:after="0"/>
              <w:jc w:val="center"/>
              <w:rPr>
                <w:sz w:val="16"/>
                <w:szCs w:val="16"/>
              </w:rPr>
            </w:pPr>
            <w:r w:rsidRPr="007C1077">
              <w:rPr>
                <w:sz w:val="16"/>
                <w:szCs w:val="16"/>
              </w:rPr>
              <w:t>1</w:t>
            </w:r>
          </w:p>
        </w:tc>
        <w:tc>
          <w:tcPr>
            <w:tcW w:w="869" w:type="dxa"/>
          </w:tcPr>
          <w:p w14:paraId="51A99D81" w14:textId="3425AEFA" w:rsidR="00E403FA" w:rsidRPr="007C1077" w:rsidRDefault="00D15B6E" w:rsidP="00D15B6E">
            <w:pPr>
              <w:numPr>
                <w:ilvl w:val="0"/>
                <w:numId w:val="0"/>
              </w:numPr>
              <w:spacing w:before="0" w:after="0"/>
              <w:jc w:val="center"/>
              <w:rPr>
                <w:sz w:val="16"/>
                <w:szCs w:val="16"/>
              </w:rPr>
            </w:pPr>
            <w:r w:rsidRPr="007C1077">
              <w:rPr>
                <w:sz w:val="16"/>
                <w:szCs w:val="16"/>
              </w:rPr>
              <w:t>2</w:t>
            </w:r>
          </w:p>
        </w:tc>
      </w:tr>
      <w:tr w:rsidR="00AF16ED" w:rsidRPr="00D15B6E" w14:paraId="133F1D7E" w14:textId="77777777" w:rsidTr="00AF16ED">
        <w:tc>
          <w:tcPr>
            <w:tcW w:w="675" w:type="dxa"/>
          </w:tcPr>
          <w:p w14:paraId="391D765E" w14:textId="0C673799" w:rsidR="00E403FA" w:rsidRPr="007C1077" w:rsidRDefault="00D15B6E" w:rsidP="00D15B6E">
            <w:pPr>
              <w:numPr>
                <w:ilvl w:val="0"/>
                <w:numId w:val="0"/>
              </w:numPr>
              <w:spacing w:before="0" w:after="0"/>
              <w:rPr>
                <w:sz w:val="16"/>
                <w:szCs w:val="16"/>
              </w:rPr>
            </w:pPr>
            <w:r w:rsidRPr="007C1077">
              <w:rPr>
                <w:sz w:val="16"/>
                <w:szCs w:val="16"/>
              </w:rPr>
              <w:t>MRI 3</w:t>
            </w:r>
          </w:p>
        </w:tc>
        <w:tc>
          <w:tcPr>
            <w:tcW w:w="709" w:type="dxa"/>
          </w:tcPr>
          <w:p w14:paraId="3A52D688" w14:textId="455B282F" w:rsidR="00E403FA" w:rsidRPr="007C1077" w:rsidRDefault="00D15B6E" w:rsidP="00D15B6E">
            <w:pPr>
              <w:numPr>
                <w:ilvl w:val="0"/>
                <w:numId w:val="0"/>
              </w:numPr>
              <w:spacing w:before="0" w:after="0"/>
              <w:jc w:val="center"/>
              <w:rPr>
                <w:sz w:val="16"/>
                <w:szCs w:val="16"/>
              </w:rPr>
            </w:pPr>
            <w:r w:rsidRPr="007C1077">
              <w:rPr>
                <w:sz w:val="16"/>
                <w:szCs w:val="16"/>
              </w:rPr>
              <w:t>300</w:t>
            </w:r>
          </w:p>
        </w:tc>
        <w:tc>
          <w:tcPr>
            <w:tcW w:w="850" w:type="dxa"/>
          </w:tcPr>
          <w:p w14:paraId="16FCE5D7" w14:textId="394F8B59" w:rsidR="00E403FA" w:rsidRPr="007C1077" w:rsidRDefault="00D15B6E" w:rsidP="00D15B6E">
            <w:pPr>
              <w:numPr>
                <w:ilvl w:val="0"/>
                <w:numId w:val="0"/>
              </w:numPr>
              <w:spacing w:before="0" w:after="0"/>
              <w:jc w:val="center"/>
              <w:rPr>
                <w:sz w:val="16"/>
                <w:szCs w:val="16"/>
              </w:rPr>
            </w:pPr>
            <w:r w:rsidRPr="007C1077">
              <w:rPr>
                <w:sz w:val="16"/>
                <w:szCs w:val="16"/>
              </w:rPr>
              <w:t>20</w:t>
            </w:r>
          </w:p>
        </w:tc>
        <w:tc>
          <w:tcPr>
            <w:tcW w:w="851" w:type="dxa"/>
          </w:tcPr>
          <w:p w14:paraId="7F0A390D" w14:textId="006D355C" w:rsidR="00E403FA" w:rsidRPr="007C1077" w:rsidRDefault="00D15B6E" w:rsidP="00D15B6E">
            <w:pPr>
              <w:numPr>
                <w:ilvl w:val="0"/>
                <w:numId w:val="0"/>
              </w:numPr>
              <w:spacing w:before="0" w:after="0"/>
              <w:jc w:val="center"/>
              <w:rPr>
                <w:sz w:val="16"/>
                <w:szCs w:val="16"/>
              </w:rPr>
            </w:pPr>
            <w:r w:rsidRPr="007C1077">
              <w:rPr>
                <w:sz w:val="16"/>
                <w:szCs w:val="16"/>
              </w:rPr>
              <w:t>1</w:t>
            </w:r>
          </w:p>
        </w:tc>
        <w:tc>
          <w:tcPr>
            <w:tcW w:w="850" w:type="dxa"/>
          </w:tcPr>
          <w:p w14:paraId="463BA0A8" w14:textId="42A5598F" w:rsidR="00E403FA" w:rsidRPr="007C1077" w:rsidRDefault="00D15B6E" w:rsidP="00D15B6E">
            <w:pPr>
              <w:numPr>
                <w:ilvl w:val="0"/>
                <w:numId w:val="0"/>
              </w:numPr>
              <w:spacing w:before="0" w:after="0"/>
              <w:jc w:val="center"/>
              <w:rPr>
                <w:sz w:val="16"/>
                <w:szCs w:val="16"/>
              </w:rPr>
            </w:pPr>
            <w:r w:rsidRPr="007C1077">
              <w:rPr>
                <w:sz w:val="16"/>
                <w:szCs w:val="16"/>
              </w:rPr>
              <w:t>30</w:t>
            </w:r>
          </w:p>
        </w:tc>
        <w:tc>
          <w:tcPr>
            <w:tcW w:w="851" w:type="dxa"/>
          </w:tcPr>
          <w:p w14:paraId="788F2D50" w14:textId="09253A57" w:rsidR="00E403FA" w:rsidRPr="007C1077" w:rsidRDefault="00D15B6E" w:rsidP="00D15B6E">
            <w:pPr>
              <w:numPr>
                <w:ilvl w:val="0"/>
                <w:numId w:val="0"/>
              </w:numPr>
              <w:spacing w:before="0" w:after="0"/>
              <w:jc w:val="center"/>
              <w:rPr>
                <w:sz w:val="16"/>
                <w:szCs w:val="16"/>
              </w:rPr>
            </w:pPr>
            <w:r w:rsidRPr="007C1077">
              <w:rPr>
                <w:sz w:val="16"/>
                <w:szCs w:val="16"/>
              </w:rPr>
              <w:t>2</w:t>
            </w:r>
          </w:p>
        </w:tc>
        <w:tc>
          <w:tcPr>
            <w:tcW w:w="1063" w:type="dxa"/>
          </w:tcPr>
          <w:p w14:paraId="27CA3F90" w14:textId="2058BC9E" w:rsidR="00E403FA" w:rsidRPr="007C1077" w:rsidRDefault="00D15B6E" w:rsidP="00D15B6E">
            <w:pPr>
              <w:numPr>
                <w:ilvl w:val="0"/>
                <w:numId w:val="0"/>
              </w:numPr>
              <w:spacing w:before="0" w:after="0"/>
              <w:jc w:val="center"/>
              <w:rPr>
                <w:sz w:val="16"/>
                <w:szCs w:val="16"/>
              </w:rPr>
            </w:pPr>
            <w:r w:rsidRPr="007C1077">
              <w:rPr>
                <w:sz w:val="16"/>
                <w:szCs w:val="16"/>
              </w:rPr>
              <w:t>40</w:t>
            </w:r>
          </w:p>
        </w:tc>
        <w:tc>
          <w:tcPr>
            <w:tcW w:w="1063" w:type="dxa"/>
          </w:tcPr>
          <w:p w14:paraId="14F54790" w14:textId="1A08FFF7" w:rsidR="00E403FA" w:rsidRPr="007C1077" w:rsidRDefault="00D15B6E" w:rsidP="00D15B6E">
            <w:pPr>
              <w:numPr>
                <w:ilvl w:val="0"/>
                <w:numId w:val="0"/>
              </w:numPr>
              <w:spacing w:before="0" w:after="0"/>
              <w:jc w:val="center"/>
              <w:rPr>
                <w:sz w:val="16"/>
                <w:szCs w:val="16"/>
              </w:rPr>
            </w:pPr>
            <w:r w:rsidRPr="007C1077">
              <w:rPr>
                <w:sz w:val="16"/>
                <w:szCs w:val="16"/>
              </w:rPr>
              <w:t>2</w:t>
            </w:r>
          </w:p>
        </w:tc>
        <w:tc>
          <w:tcPr>
            <w:tcW w:w="869" w:type="dxa"/>
          </w:tcPr>
          <w:p w14:paraId="20C72765" w14:textId="24B68876" w:rsidR="00E403FA" w:rsidRPr="007C1077" w:rsidRDefault="00D15B6E" w:rsidP="00D15B6E">
            <w:pPr>
              <w:numPr>
                <w:ilvl w:val="0"/>
                <w:numId w:val="0"/>
              </w:numPr>
              <w:spacing w:before="0" w:after="0"/>
              <w:jc w:val="center"/>
              <w:rPr>
                <w:sz w:val="16"/>
                <w:szCs w:val="16"/>
              </w:rPr>
            </w:pPr>
            <w:r w:rsidRPr="007C1077">
              <w:rPr>
                <w:sz w:val="16"/>
                <w:szCs w:val="16"/>
              </w:rPr>
              <w:t>10</w:t>
            </w:r>
          </w:p>
        </w:tc>
      </w:tr>
      <w:tr w:rsidR="00AF16ED" w:rsidRPr="00D15B6E" w14:paraId="2B64F193" w14:textId="77777777" w:rsidTr="00AF16ED">
        <w:tc>
          <w:tcPr>
            <w:tcW w:w="675" w:type="dxa"/>
          </w:tcPr>
          <w:p w14:paraId="685E5635" w14:textId="27D7A965" w:rsidR="00D15B6E" w:rsidRPr="007C1077" w:rsidRDefault="00D15B6E" w:rsidP="00D15B6E">
            <w:pPr>
              <w:numPr>
                <w:ilvl w:val="0"/>
                <w:numId w:val="0"/>
              </w:numPr>
              <w:spacing w:before="0" w:after="0"/>
              <w:rPr>
                <w:i/>
                <w:sz w:val="16"/>
                <w:szCs w:val="16"/>
              </w:rPr>
            </w:pPr>
            <w:r w:rsidRPr="007C1077">
              <w:rPr>
                <w:sz w:val="16"/>
                <w:szCs w:val="16"/>
              </w:rPr>
              <w:t xml:space="preserve">MRI </w:t>
            </w:r>
            <w:r w:rsidRPr="007C1077">
              <w:rPr>
                <w:i/>
                <w:sz w:val="16"/>
                <w:szCs w:val="16"/>
              </w:rPr>
              <w:t>n</w:t>
            </w:r>
          </w:p>
        </w:tc>
        <w:tc>
          <w:tcPr>
            <w:tcW w:w="709" w:type="dxa"/>
          </w:tcPr>
          <w:p w14:paraId="061E1BFB" w14:textId="1D7B494E" w:rsidR="00D15B6E" w:rsidRPr="007C1077" w:rsidRDefault="00D15B6E" w:rsidP="00D15B6E">
            <w:pPr>
              <w:numPr>
                <w:ilvl w:val="0"/>
                <w:numId w:val="0"/>
              </w:numPr>
              <w:spacing w:before="0" w:after="0"/>
              <w:jc w:val="center"/>
              <w:rPr>
                <w:sz w:val="16"/>
                <w:szCs w:val="16"/>
              </w:rPr>
            </w:pPr>
          </w:p>
        </w:tc>
        <w:tc>
          <w:tcPr>
            <w:tcW w:w="850" w:type="dxa"/>
          </w:tcPr>
          <w:p w14:paraId="4C240ECD" w14:textId="40D0989B" w:rsidR="00D15B6E" w:rsidRPr="007C1077" w:rsidRDefault="00D15B6E" w:rsidP="00D15B6E">
            <w:pPr>
              <w:numPr>
                <w:ilvl w:val="0"/>
                <w:numId w:val="0"/>
              </w:numPr>
              <w:spacing w:before="0" w:after="0"/>
              <w:jc w:val="center"/>
              <w:rPr>
                <w:sz w:val="16"/>
                <w:szCs w:val="16"/>
              </w:rPr>
            </w:pPr>
          </w:p>
        </w:tc>
        <w:tc>
          <w:tcPr>
            <w:tcW w:w="851" w:type="dxa"/>
          </w:tcPr>
          <w:p w14:paraId="1E58A52B" w14:textId="16EA97DC" w:rsidR="00D15B6E" w:rsidRPr="007C1077" w:rsidRDefault="00D15B6E" w:rsidP="00D15B6E">
            <w:pPr>
              <w:numPr>
                <w:ilvl w:val="0"/>
                <w:numId w:val="0"/>
              </w:numPr>
              <w:spacing w:before="0" w:after="0"/>
              <w:jc w:val="center"/>
              <w:rPr>
                <w:sz w:val="16"/>
                <w:szCs w:val="16"/>
              </w:rPr>
            </w:pPr>
          </w:p>
        </w:tc>
        <w:tc>
          <w:tcPr>
            <w:tcW w:w="850" w:type="dxa"/>
          </w:tcPr>
          <w:p w14:paraId="49C51C2A" w14:textId="1F6F966D" w:rsidR="00D15B6E" w:rsidRPr="007C1077" w:rsidRDefault="00D15B6E" w:rsidP="00D15B6E">
            <w:pPr>
              <w:numPr>
                <w:ilvl w:val="0"/>
                <w:numId w:val="0"/>
              </w:numPr>
              <w:spacing w:before="0" w:after="0"/>
              <w:jc w:val="center"/>
              <w:rPr>
                <w:sz w:val="16"/>
                <w:szCs w:val="16"/>
              </w:rPr>
            </w:pPr>
          </w:p>
        </w:tc>
        <w:tc>
          <w:tcPr>
            <w:tcW w:w="851" w:type="dxa"/>
          </w:tcPr>
          <w:p w14:paraId="29D66448" w14:textId="3ACE8275" w:rsidR="00D15B6E" w:rsidRPr="007C1077" w:rsidRDefault="00D15B6E" w:rsidP="00D15B6E">
            <w:pPr>
              <w:numPr>
                <w:ilvl w:val="0"/>
                <w:numId w:val="0"/>
              </w:numPr>
              <w:spacing w:before="0" w:after="0"/>
              <w:jc w:val="center"/>
              <w:rPr>
                <w:sz w:val="16"/>
                <w:szCs w:val="16"/>
              </w:rPr>
            </w:pPr>
          </w:p>
        </w:tc>
        <w:tc>
          <w:tcPr>
            <w:tcW w:w="1063" w:type="dxa"/>
          </w:tcPr>
          <w:p w14:paraId="20D1DCA6" w14:textId="1EAF0138" w:rsidR="00D15B6E" w:rsidRPr="007C1077" w:rsidRDefault="00D15B6E" w:rsidP="00D15B6E">
            <w:pPr>
              <w:numPr>
                <w:ilvl w:val="0"/>
                <w:numId w:val="0"/>
              </w:numPr>
              <w:spacing w:before="0" w:after="0"/>
              <w:jc w:val="center"/>
              <w:rPr>
                <w:sz w:val="16"/>
                <w:szCs w:val="16"/>
              </w:rPr>
            </w:pPr>
          </w:p>
        </w:tc>
        <w:tc>
          <w:tcPr>
            <w:tcW w:w="1063" w:type="dxa"/>
          </w:tcPr>
          <w:p w14:paraId="2E0A9284" w14:textId="2A3A6E87" w:rsidR="00D15B6E" w:rsidRPr="007C1077" w:rsidRDefault="00D15B6E" w:rsidP="00D15B6E">
            <w:pPr>
              <w:numPr>
                <w:ilvl w:val="0"/>
                <w:numId w:val="0"/>
              </w:numPr>
              <w:spacing w:before="0" w:after="0"/>
              <w:jc w:val="center"/>
              <w:rPr>
                <w:sz w:val="16"/>
                <w:szCs w:val="16"/>
              </w:rPr>
            </w:pPr>
          </w:p>
        </w:tc>
        <w:tc>
          <w:tcPr>
            <w:tcW w:w="869" w:type="dxa"/>
          </w:tcPr>
          <w:p w14:paraId="66A38CFF" w14:textId="5F6469C4" w:rsidR="00D15B6E" w:rsidRPr="007C1077" w:rsidRDefault="00D15B6E" w:rsidP="00D15B6E">
            <w:pPr>
              <w:numPr>
                <w:ilvl w:val="0"/>
                <w:numId w:val="0"/>
              </w:numPr>
              <w:spacing w:before="0" w:after="0"/>
              <w:jc w:val="center"/>
              <w:rPr>
                <w:sz w:val="16"/>
                <w:szCs w:val="16"/>
              </w:rPr>
            </w:pPr>
          </w:p>
        </w:tc>
      </w:tr>
    </w:tbl>
    <w:p w14:paraId="505062AF" w14:textId="6E4A031A" w:rsidR="00DB58FF" w:rsidRPr="00D45B1A" w:rsidRDefault="00DB58FF" w:rsidP="00554A66">
      <w:r w:rsidRPr="00D45B1A">
        <w:t>After compiling this information, the costing practitioner can then create RVUs to incorporate into the cost allocation proce</w:t>
      </w:r>
      <w:r w:rsidR="004E363C">
        <w:t>ss. For the labour related RVUs</w:t>
      </w:r>
      <w:r w:rsidRPr="00D45B1A">
        <w:t xml:space="preserve"> the calculation is a multiplication of the time and the staff involved. </w:t>
      </w:r>
      <w:r w:rsidR="00DB0B85">
        <w:t>An example is provided in the table below</w:t>
      </w:r>
    </w:p>
    <w:p w14:paraId="4D77DA78" w14:textId="3816C92E" w:rsidR="00D15B6E" w:rsidRPr="007C1077" w:rsidRDefault="004E363C" w:rsidP="00897037">
      <w:pPr>
        <w:pStyle w:val="Caption"/>
        <w:numPr>
          <w:ilvl w:val="0"/>
          <w:numId w:val="0"/>
        </w:numPr>
        <w:spacing w:after="60"/>
        <w:ind w:left="1843"/>
        <w:rPr>
          <w:rFonts w:asciiTheme="majorHAnsi" w:hAnsiTheme="majorHAnsi" w:cstheme="majorHAnsi"/>
          <w:i w:val="0"/>
          <w:sz w:val="22"/>
          <w:szCs w:val="22"/>
        </w:rPr>
      </w:pPr>
      <w:r w:rsidRPr="007C1077">
        <w:rPr>
          <w:rFonts w:asciiTheme="majorHAnsi" w:hAnsiTheme="majorHAnsi" w:cstheme="majorHAnsi"/>
          <w:b/>
          <w:i w:val="0"/>
          <w:sz w:val="22"/>
          <w:szCs w:val="22"/>
        </w:rPr>
        <w:t xml:space="preserve">Table </w:t>
      </w:r>
      <w:r w:rsidR="00D638F5" w:rsidRPr="007C1077">
        <w:rPr>
          <w:rFonts w:asciiTheme="majorHAnsi" w:hAnsiTheme="majorHAnsi" w:cstheme="majorHAnsi"/>
          <w:b/>
          <w:i w:val="0"/>
          <w:noProof/>
          <w:sz w:val="22"/>
          <w:szCs w:val="22"/>
        </w:rPr>
        <w:fldChar w:fldCharType="begin"/>
      </w:r>
      <w:r w:rsidR="00D638F5" w:rsidRPr="007C1077">
        <w:rPr>
          <w:rFonts w:asciiTheme="majorHAnsi" w:hAnsiTheme="majorHAnsi" w:cstheme="majorHAnsi"/>
          <w:b/>
          <w:i w:val="0"/>
          <w:noProof/>
          <w:sz w:val="22"/>
          <w:szCs w:val="22"/>
        </w:rPr>
        <w:instrText xml:space="preserve"> SEQ Table \* ARABIC </w:instrText>
      </w:r>
      <w:r w:rsidR="00D638F5" w:rsidRPr="007C1077">
        <w:rPr>
          <w:rFonts w:asciiTheme="majorHAnsi" w:hAnsiTheme="majorHAnsi" w:cstheme="majorHAnsi"/>
          <w:b/>
          <w:i w:val="0"/>
          <w:noProof/>
          <w:sz w:val="22"/>
          <w:szCs w:val="22"/>
        </w:rPr>
        <w:fldChar w:fldCharType="separate"/>
      </w:r>
      <w:r w:rsidR="00EA6A78" w:rsidRPr="007C1077">
        <w:rPr>
          <w:rFonts w:asciiTheme="majorHAnsi" w:hAnsiTheme="majorHAnsi" w:cstheme="majorHAnsi"/>
          <w:b/>
          <w:i w:val="0"/>
          <w:noProof/>
          <w:sz w:val="22"/>
          <w:szCs w:val="22"/>
        </w:rPr>
        <w:t>2</w:t>
      </w:r>
      <w:r w:rsidR="00D638F5" w:rsidRPr="007C1077">
        <w:rPr>
          <w:rFonts w:asciiTheme="majorHAnsi" w:hAnsiTheme="majorHAnsi" w:cstheme="majorHAnsi"/>
          <w:b/>
          <w:i w:val="0"/>
          <w:noProof/>
          <w:sz w:val="22"/>
          <w:szCs w:val="22"/>
        </w:rPr>
        <w:fldChar w:fldCharType="end"/>
      </w:r>
      <w:r w:rsidR="007C1077" w:rsidRPr="007C1077">
        <w:rPr>
          <w:rFonts w:asciiTheme="majorHAnsi" w:hAnsiTheme="majorHAnsi" w:cstheme="majorHAnsi"/>
          <w:b/>
          <w:i w:val="0"/>
          <w:sz w:val="22"/>
          <w:szCs w:val="22"/>
        </w:rPr>
        <w:t>:</w:t>
      </w:r>
      <w:r w:rsidRPr="007C1077">
        <w:rPr>
          <w:rFonts w:asciiTheme="majorHAnsi" w:hAnsiTheme="majorHAnsi" w:cstheme="majorHAnsi"/>
          <w:sz w:val="22"/>
          <w:szCs w:val="22"/>
        </w:rPr>
        <w:t xml:space="preserve"> </w:t>
      </w:r>
      <w:r w:rsidRPr="007C1077">
        <w:rPr>
          <w:rFonts w:asciiTheme="majorHAnsi" w:hAnsiTheme="majorHAnsi" w:cstheme="majorHAnsi"/>
          <w:i w:val="0"/>
          <w:sz w:val="22"/>
          <w:szCs w:val="22"/>
        </w:rPr>
        <w:t>Imaging Feeder Example - Staff Time X Number of Staff</w:t>
      </w:r>
    </w:p>
    <w:tbl>
      <w:tblPr>
        <w:tblStyle w:val="TableGrid"/>
        <w:tblW w:w="0" w:type="auto"/>
        <w:tblInd w:w="1843" w:type="dxa"/>
        <w:tblLook w:val="04A0" w:firstRow="1" w:lastRow="0" w:firstColumn="1" w:lastColumn="0" w:noHBand="0" w:noVBand="1"/>
        <w:tblDescription w:val="Table with column headings test, Medical RVU, Nursing RVU, Radiographer RVU and Materials RVU."/>
      </w:tblPr>
      <w:tblGrid>
        <w:gridCol w:w="1497"/>
        <w:gridCol w:w="1515"/>
        <w:gridCol w:w="1515"/>
        <w:gridCol w:w="1543"/>
        <w:gridCol w:w="1522"/>
      </w:tblGrid>
      <w:tr w:rsidR="00D15B6E" w:rsidRPr="00AF16ED" w14:paraId="7459FDC2" w14:textId="77777777" w:rsidTr="00AF16ED">
        <w:trPr>
          <w:tblHeader/>
        </w:trPr>
        <w:tc>
          <w:tcPr>
            <w:tcW w:w="1564" w:type="dxa"/>
          </w:tcPr>
          <w:p w14:paraId="2ABA541A" w14:textId="51D44C9C" w:rsidR="00D15B6E" w:rsidRPr="007C1077" w:rsidRDefault="00B97A8A" w:rsidP="00D15B6E">
            <w:pPr>
              <w:numPr>
                <w:ilvl w:val="0"/>
                <w:numId w:val="0"/>
              </w:numPr>
              <w:spacing w:before="0" w:after="0"/>
              <w:rPr>
                <w:b/>
                <w:sz w:val="16"/>
                <w:szCs w:val="16"/>
              </w:rPr>
            </w:pPr>
            <w:r w:rsidRPr="007C1077">
              <w:rPr>
                <w:b/>
                <w:sz w:val="16"/>
                <w:szCs w:val="16"/>
              </w:rPr>
              <w:t>Test</w:t>
            </w:r>
          </w:p>
        </w:tc>
        <w:tc>
          <w:tcPr>
            <w:tcW w:w="1564" w:type="dxa"/>
          </w:tcPr>
          <w:p w14:paraId="49394229" w14:textId="588BE5F2" w:rsidR="00D15B6E" w:rsidRPr="007C1077" w:rsidRDefault="00B97A8A" w:rsidP="00D15B6E">
            <w:pPr>
              <w:numPr>
                <w:ilvl w:val="0"/>
                <w:numId w:val="0"/>
              </w:numPr>
              <w:spacing w:before="0" w:after="0"/>
              <w:rPr>
                <w:b/>
                <w:sz w:val="16"/>
                <w:szCs w:val="16"/>
              </w:rPr>
            </w:pPr>
            <w:r w:rsidRPr="007C1077">
              <w:rPr>
                <w:b/>
                <w:sz w:val="16"/>
                <w:szCs w:val="16"/>
              </w:rPr>
              <w:t>Medical RVU</w:t>
            </w:r>
          </w:p>
        </w:tc>
        <w:tc>
          <w:tcPr>
            <w:tcW w:w="1563" w:type="dxa"/>
          </w:tcPr>
          <w:p w14:paraId="34ABFB22" w14:textId="11DCB3BA" w:rsidR="00D15B6E" w:rsidRPr="007C1077" w:rsidRDefault="00B97A8A" w:rsidP="00D15B6E">
            <w:pPr>
              <w:numPr>
                <w:ilvl w:val="0"/>
                <w:numId w:val="0"/>
              </w:numPr>
              <w:spacing w:before="0" w:after="0"/>
              <w:rPr>
                <w:b/>
                <w:sz w:val="16"/>
                <w:szCs w:val="16"/>
              </w:rPr>
            </w:pPr>
            <w:r w:rsidRPr="007C1077">
              <w:rPr>
                <w:b/>
                <w:sz w:val="16"/>
                <w:szCs w:val="16"/>
              </w:rPr>
              <w:t>Nursing RVU</w:t>
            </w:r>
          </w:p>
        </w:tc>
        <w:tc>
          <w:tcPr>
            <w:tcW w:w="1563" w:type="dxa"/>
          </w:tcPr>
          <w:p w14:paraId="44CE11D5" w14:textId="5AE7AB81" w:rsidR="00D15B6E" w:rsidRPr="007C1077" w:rsidRDefault="00B97A8A" w:rsidP="00D15B6E">
            <w:pPr>
              <w:numPr>
                <w:ilvl w:val="0"/>
                <w:numId w:val="0"/>
              </w:numPr>
              <w:spacing w:before="0" w:after="0"/>
              <w:rPr>
                <w:b/>
                <w:sz w:val="16"/>
                <w:szCs w:val="16"/>
              </w:rPr>
            </w:pPr>
            <w:r w:rsidRPr="007C1077">
              <w:rPr>
                <w:b/>
                <w:sz w:val="16"/>
                <w:szCs w:val="16"/>
              </w:rPr>
              <w:t>Radiographer RVU</w:t>
            </w:r>
          </w:p>
        </w:tc>
        <w:tc>
          <w:tcPr>
            <w:tcW w:w="1564" w:type="dxa"/>
          </w:tcPr>
          <w:p w14:paraId="308EE0FC" w14:textId="04AB51E7" w:rsidR="00D15B6E" w:rsidRPr="007C1077" w:rsidRDefault="00B97A8A" w:rsidP="00D15B6E">
            <w:pPr>
              <w:numPr>
                <w:ilvl w:val="0"/>
                <w:numId w:val="0"/>
              </w:numPr>
              <w:spacing w:before="0" w:after="0"/>
              <w:rPr>
                <w:b/>
                <w:sz w:val="16"/>
                <w:szCs w:val="16"/>
              </w:rPr>
            </w:pPr>
            <w:r w:rsidRPr="007C1077">
              <w:rPr>
                <w:b/>
                <w:sz w:val="16"/>
                <w:szCs w:val="16"/>
              </w:rPr>
              <w:t>Materials RVU</w:t>
            </w:r>
          </w:p>
        </w:tc>
      </w:tr>
      <w:tr w:rsidR="00B97A8A" w:rsidRPr="00B97A8A" w14:paraId="1CF7AEEE" w14:textId="77777777" w:rsidTr="00D15B6E">
        <w:tc>
          <w:tcPr>
            <w:tcW w:w="1564" w:type="dxa"/>
          </w:tcPr>
          <w:p w14:paraId="3B68EFFE" w14:textId="71355E5C" w:rsidR="00B97A8A" w:rsidRPr="007C1077" w:rsidRDefault="00B97A8A" w:rsidP="00D15B6E">
            <w:pPr>
              <w:numPr>
                <w:ilvl w:val="0"/>
                <w:numId w:val="0"/>
              </w:numPr>
              <w:spacing w:before="0" w:after="0"/>
              <w:rPr>
                <w:sz w:val="16"/>
                <w:szCs w:val="16"/>
              </w:rPr>
            </w:pPr>
            <w:r w:rsidRPr="007C1077">
              <w:rPr>
                <w:sz w:val="16"/>
                <w:szCs w:val="16"/>
              </w:rPr>
              <w:t>MRI 1</w:t>
            </w:r>
          </w:p>
        </w:tc>
        <w:tc>
          <w:tcPr>
            <w:tcW w:w="1564" w:type="dxa"/>
          </w:tcPr>
          <w:p w14:paraId="43CBA822" w14:textId="0CA8B1BF" w:rsidR="00B97A8A" w:rsidRPr="007C1077" w:rsidRDefault="00B97A8A" w:rsidP="00D15B6E">
            <w:pPr>
              <w:numPr>
                <w:ilvl w:val="0"/>
                <w:numId w:val="0"/>
              </w:numPr>
              <w:spacing w:before="0" w:after="0"/>
              <w:rPr>
                <w:sz w:val="16"/>
                <w:szCs w:val="16"/>
              </w:rPr>
            </w:pPr>
            <w:r w:rsidRPr="007C1077">
              <w:rPr>
                <w:sz w:val="16"/>
                <w:szCs w:val="16"/>
              </w:rPr>
              <w:t>60</w:t>
            </w:r>
          </w:p>
        </w:tc>
        <w:tc>
          <w:tcPr>
            <w:tcW w:w="1563" w:type="dxa"/>
          </w:tcPr>
          <w:p w14:paraId="76FDF76A" w14:textId="68FEF809" w:rsidR="00B97A8A" w:rsidRPr="007C1077" w:rsidRDefault="00B97A8A" w:rsidP="00D15B6E">
            <w:pPr>
              <w:numPr>
                <w:ilvl w:val="0"/>
                <w:numId w:val="0"/>
              </w:numPr>
              <w:spacing w:before="0" w:after="0"/>
              <w:rPr>
                <w:sz w:val="16"/>
                <w:szCs w:val="16"/>
              </w:rPr>
            </w:pPr>
            <w:r w:rsidRPr="007C1077">
              <w:rPr>
                <w:sz w:val="16"/>
                <w:szCs w:val="16"/>
              </w:rPr>
              <w:t>40</w:t>
            </w:r>
          </w:p>
        </w:tc>
        <w:tc>
          <w:tcPr>
            <w:tcW w:w="1563" w:type="dxa"/>
          </w:tcPr>
          <w:p w14:paraId="0809A043" w14:textId="011AC909" w:rsidR="00B97A8A" w:rsidRPr="007C1077" w:rsidRDefault="00B97A8A" w:rsidP="00D15B6E">
            <w:pPr>
              <w:numPr>
                <w:ilvl w:val="0"/>
                <w:numId w:val="0"/>
              </w:numPr>
              <w:spacing w:before="0" w:after="0"/>
              <w:rPr>
                <w:sz w:val="16"/>
                <w:szCs w:val="16"/>
              </w:rPr>
            </w:pPr>
            <w:r w:rsidRPr="007C1077">
              <w:rPr>
                <w:sz w:val="16"/>
                <w:szCs w:val="16"/>
              </w:rPr>
              <w:t>40</w:t>
            </w:r>
          </w:p>
        </w:tc>
        <w:tc>
          <w:tcPr>
            <w:tcW w:w="1564" w:type="dxa"/>
          </w:tcPr>
          <w:p w14:paraId="7455DC77" w14:textId="663F4107" w:rsidR="00B97A8A" w:rsidRPr="007C1077" w:rsidRDefault="00B97A8A" w:rsidP="00D15B6E">
            <w:pPr>
              <w:numPr>
                <w:ilvl w:val="0"/>
                <w:numId w:val="0"/>
              </w:numPr>
              <w:spacing w:before="0" w:after="0"/>
              <w:rPr>
                <w:sz w:val="16"/>
                <w:szCs w:val="16"/>
              </w:rPr>
            </w:pPr>
            <w:r w:rsidRPr="007C1077">
              <w:rPr>
                <w:sz w:val="16"/>
                <w:szCs w:val="16"/>
              </w:rPr>
              <w:t>5</w:t>
            </w:r>
          </w:p>
        </w:tc>
      </w:tr>
      <w:tr w:rsidR="00B97A8A" w:rsidRPr="00B97A8A" w14:paraId="7ED4B5EE" w14:textId="77777777" w:rsidTr="00D15B6E">
        <w:tc>
          <w:tcPr>
            <w:tcW w:w="1564" w:type="dxa"/>
          </w:tcPr>
          <w:p w14:paraId="64FE90F0" w14:textId="2771D507" w:rsidR="00B97A8A" w:rsidRPr="007C1077" w:rsidRDefault="00B97A8A" w:rsidP="00D15B6E">
            <w:pPr>
              <w:numPr>
                <w:ilvl w:val="0"/>
                <w:numId w:val="0"/>
              </w:numPr>
              <w:spacing w:before="0" w:after="0"/>
              <w:rPr>
                <w:sz w:val="16"/>
                <w:szCs w:val="16"/>
              </w:rPr>
            </w:pPr>
            <w:r w:rsidRPr="007C1077">
              <w:rPr>
                <w:sz w:val="16"/>
                <w:szCs w:val="16"/>
              </w:rPr>
              <w:t>MRI 2</w:t>
            </w:r>
          </w:p>
        </w:tc>
        <w:tc>
          <w:tcPr>
            <w:tcW w:w="1564" w:type="dxa"/>
          </w:tcPr>
          <w:p w14:paraId="150B3509" w14:textId="3EB7A854" w:rsidR="00B97A8A" w:rsidRPr="007C1077" w:rsidRDefault="00B97A8A" w:rsidP="00D15B6E">
            <w:pPr>
              <w:numPr>
                <w:ilvl w:val="0"/>
                <w:numId w:val="0"/>
              </w:numPr>
              <w:spacing w:before="0" w:after="0"/>
              <w:rPr>
                <w:sz w:val="16"/>
                <w:szCs w:val="16"/>
              </w:rPr>
            </w:pPr>
            <w:r w:rsidRPr="007C1077">
              <w:rPr>
                <w:sz w:val="16"/>
                <w:szCs w:val="16"/>
              </w:rPr>
              <w:t>10</w:t>
            </w:r>
          </w:p>
        </w:tc>
        <w:tc>
          <w:tcPr>
            <w:tcW w:w="1563" w:type="dxa"/>
          </w:tcPr>
          <w:p w14:paraId="69FE58AF" w14:textId="187E69D5" w:rsidR="00B97A8A" w:rsidRPr="007C1077" w:rsidRDefault="00B97A8A" w:rsidP="00D15B6E">
            <w:pPr>
              <w:numPr>
                <w:ilvl w:val="0"/>
                <w:numId w:val="0"/>
              </w:numPr>
              <w:spacing w:before="0" w:after="0"/>
              <w:rPr>
                <w:sz w:val="16"/>
                <w:szCs w:val="16"/>
              </w:rPr>
            </w:pPr>
            <w:r w:rsidRPr="007C1077">
              <w:rPr>
                <w:sz w:val="16"/>
                <w:szCs w:val="16"/>
              </w:rPr>
              <w:t>20</w:t>
            </w:r>
          </w:p>
        </w:tc>
        <w:tc>
          <w:tcPr>
            <w:tcW w:w="1563" w:type="dxa"/>
          </w:tcPr>
          <w:p w14:paraId="5D9D172D" w14:textId="7B9F0647" w:rsidR="00B97A8A" w:rsidRPr="007C1077" w:rsidRDefault="00B97A8A" w:rsidP="00D15B6E">
            <w:pPr>
              <w:numPr>
                <w:ilvl w:val="0"/>
                <w:numId w:val="0"/>
              </w:numPr>
              <w:spacing w:before="0" w:after="0"/>
              <w:rPr>
                <w:sz w:val="16"/>
                <w:szCs w:val="16"/>
              </w:rPr>
            </w:pPr>
            <w:r w:rsidRPr="007C1077">
              <w:rPr>
                <w:sz w:val="16"/>
                <w:szCs w:val="16"/>
              </w:rPr>
              <w:t>30</w:t>
            </w:r>
          </w:p>
        </w:tc>
        <w:tc>
          <w:tcPr>
            <w:tcW w:w="1564" w:type="dxa"/>
          </w:tcPr>
          <w:p w14:paraId="6E8EFEDF" w14:textId="23AEA986" w:rsidR="00B97A8A" w:rsidRPr="007C1077" w:rsidRDefault="00B97A8A" w:rsidP="00D15B6E">
            <w:pPr>
              <w:numPr>
                <w:ilvl w:val="0"/>
                <w:numId w:val="0"/>
              </w:numPr>
              <w:spacing w:before="0" w:after="0"/>
              <w:rPr>
                <w:sz w:val="16"/>
                <w:szCs w:val="16"/>
              </w:rPr>
            </w:pPr>
            <w:r w:rsidRPr="007C1077">
              <w:rPr>
                <w:sz w:val="16"/>
                <w:szCs w:val="16"/>
              </w:rPr>
              <w:t>2</w:t>
            </w:r>
          </w:p>
        </w:tc>
      </w:tr>
      <w:tr w:rsidR="00B97A8A" w:rsidRPr="00B97A8A" w14:paraId="14E70797" w14:textId="77777777" w:rsidTr="00D15B6E">
        <w:tc>
          <w:tcPr>
            <w:tcW w:w="1564" w:type="dxa"/>
          </w:tcPr>
          <w:p w14:paraId="41547481" w14:textId="55062CB5" w:rsidR="00B97A8A" w:rsidRPr="007C1077" w:rsidRDefault="00B97A8A" w:rsidP="00D15B6E">
            <w:pPr>
              <w:numPr>
                <w:ilvl w:val="0"/>
                <w:numId w:val="0"/>
              </w:numPr>
              <w:spacing w:before="0" w:after="0"/>
              <w:rPr>
                <w:sz w:val="16"/>
                <w:szCs w:val="16"/>
              </w:rPr>
            </w:pPr>
            <w:r w:rsidRPr="007C1077">
              <w:rPr>
                <w:sz w:val="16"/>
                <w:szCs w:val="16"/>
              </w:rPr>
              <w:t>MRI 3</w:t>
            </w:r>
          </w:p>
        </w:tc>
        <w:tc>
          <w:tcPr>
            <w:tcW w:w="1564" w:type="dxa"/>
          </w:tcPr>
          <w:p w14:paraId="60065B3E" w14:textId="26C18458" w:rsidR="00B97A8A" w:rsidRPr="007C1077" w:rsidRDefault="00B97A8A" w:rsidP="00D15B6E">
            <w:pPr>
              <w:numPr>
                <w:ilvl w:val="0"/>
                <w:numId w:val="0"/>
              </w:numPr>
              <w:spacing w:before="0" w:after="0"/>
              <w:rPr>
                <w:sz w:val="16"/>
                <w:szCs w:val="16"/>
              </w:rPr>
            </w:pPr>
            <w:r w:rsidRPr="007C1077">
              <w:rPr>
                <w:sz w:val="16"/>
                <w:szCs w:val="16"/>
              </w:rPr>
              <w:t>20</w:t>
            </w:r>
          </w:p>
        </w:tc>
        <w:tc>
          <w:tcPr>
            <w:tcW w:w="1563" w:type="dxa"/>
          </w:tcPr>
          <w:p w14:paraId="6EE74651" w14:textId="44AECDD2" w:rsidR="00B97A8A" w:rsidRPr="007C1077" w:rsidRDefault="00B97A8A" w:rsidP="00D15B6E">
            <w:pPr>
              <w:numPr>
                <w:ilvl w:val="0"/>
                <w:numId w:val="0"/>
              </w:numPr>
              <w:spacing w:before="0" w:after="0"/>
              <w:rPr>
                <w:sz w:val="16"/>
                <w:szCs w:val="16"/>
              </w:rPr>
            </w:pPr>
            <w:r w:rsidRPr="007C1077">
              <w:rPr>
                <w:sz w:val="16"/>
                <w:szCs w:val="16"/>
              </w:rPr>
              <w:t>60</w:t>
            </w:r>
          </w:p>
        </w:tc>
        <w:tc>
          <w:tcPr>
            <w:tcW w:w="1563" w:type="dxa"/>
          </w:tcPr>
          <w:p w14:paraId="398187BD" w14:textId="1EC0D1D9" w:rsidR="00B97A8A" w:rsidRPr="007C1077" w:rsidRDefault="00B97A8A" w:rsidP="00D15B6E">
            <w:pPr>
              <w:numPr>
                <w:ilvl w:val="0"/>
                <w:numId w:val="0"/>
              </w:numPr>
              <w:spacing w:before="0" w:after="0"/>
              <w:rPr>
                <w:sz w:val="16"/>
                <w:szCs w:val="16"/>
              </w:rPr>
            </w:pPr>
            <w:r w:rsidRPr="007C1077">
              <w:rPr>
                <w:sz w:val="16"/>
                <w:szCs w:val="16"/>
              </w:rPr>
              <w:t>80</w:t>
            </w:r>
          </w:p>
        </w:tc>
        <w:tc>
          <w:tcPr>
            <w:tcW w:w="1564" w:type="dxa"/>
          </w:tcPr>
          <w:p w14:paraId="3941304F" w14:textId="7EAA3671" w:rsidR="00B97A8A" w:rsidRPr="007C1077" w:rsidRDefault="00B97A8A" w:rsidP="00D15B6E">
            <w:pPr>
              <w:numPr>
                <w:ilvl w:val="0"/>
                <w:numId w:val="0"/>
              </w:numPr>
              <w:spacing w:before="0" w:after="0"/>
              <w:rPr>
                <w:sz w:val="16"/>
                <w:szCs w:val="16"/>
              </w:rPr>
            </w:pPr>
            <w:r w:rsidRPr="007C1077">
              <w:rPr>
                <w:sz w:val="16"/>
                <w:szCs w:val="16"/>
              </w:rPr>
              <w:t>10</w:t>
            </w:r>
          </w:p>
        </w:tc>
      </w:tr>
      <w:tr w:rsidR="00B97A8A" w:rsidRPr="00B97A8A" w14:paraId="62B2B403" w14:textId="77777777" w:rsidTr="00D15B6E">
        <w:tc>
          <w:tcPr>
            <w:tcW w:w="1564" w:type="dxa"/>
          </w:tcPr>
          <w:p w14:paraId="1DD04498" w14:textId="68EDFA50" w:rsidR="00B97A8A" w:rsidRPr="007C1077" w:rsidRDefault="00B97A8A" w:rsidP="00D15B6E">
            <w:pPr>
              <w:numPr>
                <w:ilvl w:val="0"/>
                <w:numId w:val="0"/>
              </w:numPr>
              <w:spacing w:before="0" w:after="0"/>
              <w:rPr>
                <w:sz w:val="16"/>
                <w:szCs w:val="16"/>
              </w:rPr>
            </w:pPr>
            <w:r w:rsidRPr="007C1077">
              <w:rPr>
                <w:sz w:val="16"/>
                <w:szCs w:val="16"/>
              </w:rPr>
              <w:t>MRI n</w:t>
            </w:r>
          </w:p>
        </w:tc>
        <w:tc>
          <w:tcPr>
            <w:tcW w:w="1564" w:type="dxa"/>
          </w:tcPr>
          <w:p w14:paraId="59E4494B" w14:textId="77777777" w:rsidR="00B97A8A" w:rsidRPr="007C1077" w:rsidRDefault="00B97A8A" w:rsidP="00D15B6E">
            <w:pPr>
              <w:numPr>
                <w:ilvl w:val="0"/>
                <w:numId w:val="0"/>
              </w:numPr>
              <w:spacing w:before="0" w:after="0"/>
              <w:rPr>
                <w:sz w:val="16"/>
                <w:szCs w:val="16"/>
              </w:rPr>
            </w:pPr>
          </w:p>
        </w:tc>
        <w:tc>
          <w:tcPr>
            <w:tcW w:w="1563" w:type="dxa"/>
          </w:tcPr>
          <w:p w14:paraId="25DCA66D" w14:textId="77777777" w:rsidR="00B97A8A" w:rsidRPr="007C1077" w:rsidRDefault="00B97A8A" w:rsidP="00D15B6E">
            <w:pPr>
              <w:numPr>
                <w:ilvl w:val="0"/>
                <w:numId w:val="0"/>
              </w:numPr>
              <w:spacing w:before="0" w:after="0"/>
              <w:rPr>
                <w:sz w:val="16"/>
                <w:szCs w:val="16"/>
              </w:rPr>
            </w:pPr>
          </w:p>
        </w:tc>
        <w:tc>
          <w:tcPr>
            <w:tcW w:w="1563" w:type="dxa"/>
          </w:tcPr>
          <w:p w14:paraId="1CE977D2" w14:textId="77777777" w:rsidR="00B97A8A" w:rsidRPr="007C1077" w:rsidRDefault="00B97A8A" w:rsidP="00D15B6E">
            <w:pPr>
              <w:numPr>
                <w:ilvl w:val="0"/>
                <w:numId w:val="0"/>
              </w:numPr>
              <w:spacing w:before="0" w:after="0"/>
              <w:rPr>
                <w:sz w:val="16"/>
                <w:szCs w:val="16"/>
              </w:rPr>
            </w:pPr>
          </w:p>
        </w:tc>
        <w:tc>
          <w:tcPr>
            <w:tcW w:w="1564" w:type="dxa"/>
          </w:tcPr>
          <w:p w14:paraId="43A66D0F" w14:textId="77777777" w:rsidR="00B97A8A" w:rsidRPr="007C1077" w:rsidRDefault="00B97A8A" w:rsidP="00D15B6E">
            <w:pPr>
              <w:numPr>
                <w:ilvl w:val="0"/>
                <w:numId w:val="0"/>
              </w:numPr>
              <w:spacing w:before="0" w:after="0"/>
              <w:rPr>
                <w:sz w:val="16"/>
                <w:szCs w:val="16"/>
              </w:rPr>
            </w:pPr>
          </w:p>
        </w:tc>
      </w:tr>
    </w:tbl>
    <w:p w14:paraId="27686481" w14:textId="36B282F5" w:rsidR="00DB58FF" w:rsidRDefault="00DB58FF" w:rsidP="00554A66">
      <w:r>
        <w:lastRenderedPageBreak/>
        <w:t xml:space="preserve">A further example is provided for the allocation of nursing on an inpatient ward. This is presented in </w:t>
      </w:r>
      <w:r w:rsidR="00DB0B85">
        <w:t>the table</w:t>
      </w:r>
      <w:r>
        <w:t xml:space="preserve"> </w:t>
      </w:r>
      <w:r w:rsidR="004D7BFA">
        <w:t>below</w:t>
      </w:r>
      <w:r>
        <w:t>:</w:t>
      </w:r>
    </w:p>
    <w:p w14:paraId="6AE47D3B" w14:textId="6559C3EA" w:rsidR="004E363C" w:rsidRPr="007C1077" w:rsidRDefault="004E363C" w:rsidP="007C1077">
      <w:pPr>
        <w:pStyle w:val="Caption"/>
        <w:keepNext/>
        <w:numPr>
          <w:ilvl w:val="0"/>
          <w:numId w:val="0"/>
        </w:numPr>
        <w:spacing w:after="60"/>
        <w:ind w:left="1843"/>
        <w:rPr>
          <w:rFonts w:asciiTheme="majorHAnsi" w:hAnsiTheme="majorHAnsi" w:cstheme="majorHAnsi"/>
          <w:i w:val="0"/>
          <w:sz w:val="22"/>
          <w:szCs w:val="22"/>
        </w:rPr>
      </w:pPr>
      <w:r w:rsidRPr="007C1077">
        <w:rPr>
          <w:rFonts w:asciiTheme="majorHAnsi" w:hAnsiTheme="majorHAnsi" w:cstheme="majorHAnsi"/>
          <w:b/>
          <w:i w:val="0"/>
          <w:sz w:val="22"/>
          <w:szCs w:val="22"/>
        </w:rPr>
        <w:t xml:space="preserve">Table </w:t>
      </w:r>
      <w:r w:rsidR="00D638F5" w:rsidRPr="007C1077">
        <w:rPr>
          <w:rFonts w:asciiTheme="majorHAnsi" w:hAnsiTheme="majorHAnsi" w:cstheme="majorHAnsi"/>
          <w:b/>
          <w:i w:val="0"/>
          <w:noProof/>
          <w:sz w:val="22"/>
          <w:szCs w:val="22"/>
        </w:rPr>
        <w:fldChar w:fldCharType="begin"/>
      </w:r>
      <w:r w:rsidR="00D638F5" w:rsidRPr="007C1077">
        <w:rPr>
          <w:rFonts w:asciiTheme="majorHAnsi" w:hAnsiTheme="majorHAnsi" w:cstheme="majorHAnsi"/>
          <w:b/>
          <w:i w:val="0"/>
          <w:noProof/>
          <w:sz w:val="22"/>
          <w:szCs w:val="22"/>
        </w:rPr>
        <w:instrText xml:space="preserve"> SEQ Table \* ARABIC </w:instrText>
      </w:r>
      <w:r w:rsidR="00D638F5" w:rsidRPr="007C1077">
        <w:rPr>
          <w:rFonts w:asciiTheme="majorHAnsi" w:hAnsiTheme="majorHAnsi" w:cstheme="majorHAnsi"/>
          <w:b/>
          <w:i w:val="0"/>
          <w:noProof/>
          <w:sz w:val="22"/>
          <w:szCs w:val="22"/>
        </w:rPr>
        <w:fldChar w:fldCharType="separate"/>
      </w:r>
      <w:r w:rsidR="00EA6A78" w:rsidRPr="007C1077">
        <w:rPr>
          <w:rFonts w:asciiTheme="majorHAnsi" w:hAnsiTheme="majorHAnsi" w:cstheme="majorHAnsi"/>
          <w:b/>
          <w:i w:val="0"/>
          <w:noProof/>
          <w:sz w:val="22"/>
          <w:szCs w:val="22"/>
        </w:rPr>
        <w:t>3</w:t>
      </w:r>
      <w:r w:rsidR="00D638F5" w:rsidRPr="007C1077">
        <w:rPr>
          <w:rFonts w:asciiTheme="majorHAnsi" w:hAnsiTheme="majorHAnsi" w:cstheme="majorHAnsi"/>
          <w:b/>
          <w:i w:val="0"/>
          <w:noProof/>
          <w:sz w:val="22"/>
          <w:szCs w:val="22"/>
        </w:rPr>
        <w:fldChar w:fldCharType="end"/>
      </w:r>
      <w:r w:rsidR="007C1077" w:rsidRPr="007C1077">
        <w:rPr>
          <w:rFonts w:asciiTheme="majorHAnsi" w:hAnsiTheme="majorHAnsi" w:cstheme="majorHAnsi"/>
          <w:b/>
          <w:i w:val="0"/>
          <w:sz w:val="22"/>
          <w:szCs w:val="22"/>
        </w:rPr>
        <w:t>:</w:t>
      </w:r>
      <w:r w:rsidRPr="007C1077">
        <w:rPr>
          <w:rFonts w:asciiTheme="majorHAnsi" w:hAnsiTheme="majorHAnsi" w:cstheme="majorHAnsi"/>
          <w:i w:val="0"/>
          <w:sz w:val="22"/>
          <w:szCs w:val="22"/>
        </w:rPr>
        <w:t xml:space="preserve"> Nur</w:t>
      </w:r>
      <w:r w:rsidR="007C1077" w:rsidRPr="007C1077">
        <w:rPr>
          <w:rFonts w:asciiTheme="majorHAnsi" w:hAnsiTheme="majorHAnsi" w:cstheme="majorHAnsi"/>
          <w:i w:val="0"/>
          <w:sz w:val="22"/>
          <w:szCs w:val="22"/>
        </w:rPr>
        <w:t>sing and</w:t>
      </w:r>
      <w:r w:rsidRPr="007C1077">
        <w:rPr>
          <w:rFonts w:asciiTheme="majorHAnsi" w:hAnsiTheme="majorHAnsi" w:cstheme="majorHAnsi"/>
          <w:i w:val="0"/>
          <w:sz w:val="22"/>
          <w:szCs w:val="22"/>
        </w:rPr>
        <w:t xml:space="preserve"> Ward Example</w:t>
      </w:r>
    </w:p>
    <w:tbl>
      <w:tblPr>
        <w:tblStyle w:val="TableGrid"/>
        <w:tblW w:w="7818" w:type="dxa"/>
        <w:tblInd w:w="1843" w:type="dxa"/>
        <w:tblLayout w:type="fixed"/>
        <w:tblLook w:val="04A0" w:firstRow="1" w:lastRow="0" w:firstColumn="1" w:lastColumn="0" w:noHBand="0" w:noVBand="1"/>
        <w:tblDescription w:val="Table with column headings Method, Service or Cost Area, Episode Number, Intermediate Product Volume Driver, Utilisation and RVU."/>
      </w:tblPr>
      <w:tblGrid>
        <w:gridCol w:w="1242"/>
        <w:gridCol w:w="879"/>
        <w:gridCol w:w="964"/>
        <w:gridCol w:w="3289"/>
        <w:gridCol w:w="875"/>
        <w:gridCol w:w="569"/>
      </w:tblGrid>
      <w:tr w:rsidR="00243A6A" w:rsidRPr="00AF16ED" w14:paraId="2E0E691A" w14:textId="77777777" w:rsidTr="007C1077">
        <w:trPr>
          <w:tblHeader/>
        </w:trPr>
        <w:tc>
          <w:tcPr>
            <w:tcW w:w="1242" w:type="dxa"/>
          </w:tcPr>
          <w:p w14:paraId="14260F18" w14:textId="16D78B09" w:rsidR="00B97A8A" w:rsidRPr="007C1077" w:rsidRDefault="00B97A8A" w:rsidP="00AF16ED">
            <w:pPr>
              <w:numPr>
                <w:ilvl w:val="0"/>
                <w:numId w:val="0"/>
              </w:numPr>
              <w:spacing w:before="60" w:after="60" w:line="160" w:lineRule="atLeast"/>
              <w:rPr>
                <w:b/>
                <w:sz w:val="16"/>
                <w:szCs w:val="16"/>
              </w:rPr>
            </w:pPr>
            <w:r w:rsidRPr="007C1077">
              <w:rPr>
                <w:b/>
                <w:sz w:val="16"/>
                <w:szCs w:val="16"/>
              </w:rPr>
              <w:t>Method</w:t>
            </w:r>
          </w:p>
        </w:tc>
        <w:tc>
          <w:tcPr>
            <w:tcW w:w="879" w:type="dxa"/>
          </w:tcPr>
          <w:p w14:paraId="131DCE7C" w14:textId="6B00DEBE" w:rsidR="00B97A8A" w:rsidRPr="007C1077" w:rsidRDefault="007C1077" w:rsidP="00AF16ED">
            <w:pPr>
              <w:numPr>
                <w:ilvl w:val="0"/>
                <w:numId w:val="0"/>
              </w:numPr>
              <w:spacing w:before="60" w:after="60" w:line="160" w:lineRule="atLeast"/>
              <w:rPr>
                <w:b/>
                <w:sz w:val="16"/>
                <w:szCs w:val="16"/>
              </w:rPr>
            </w:pPr>
            <w:r>
              <w:rPr>
                <w:b/>
                <w:sz w:val="16"/>
                <w:szCs w:val="16"/>
              </w:rPr>
              <w:t>Service or cost a</w:t>
            </w:r>
            <w:r w:rsidR="00B97A8A" w:rsidRPr="007C1077">
              <w:rPr>
                <w:b/>
                <w:sz w:val="16"/>
                <w:szCs w:val="16"/>
              </w:rPr>
              <w:t>rea</w:t>
            </w:r>
          </w:p>
        </w:tc>
        <w:tc>
          <w:tcPr>
            <w:tcW w:w="964" w:type="dxa"/>
          </w:tcPr>
          <w:p w14:paraId="79871873" w14:textId="70984682" w:rsidR="00B97A8A" w:rsidRPr="007C1077" w:rsidRDefault="007C1077" w:rsidP="00AF16ED">
            <w:pPr>
              <w:numPr>
                <w:ilvl w:val="0"/>
                <w:numId w:val="0"/>
              </w:numPr>
              <w:spacing w:before="60" w:after="60" w:line="160" w:lineRule="atLeast"/>
              <w:rPr>
                <w:b/>
                <w:sz w:val="16"/>
                <w:szCs w:val="16"/>
              </w:rPr>
            </w:pPr>
            <w:r>
              <w:rPr>
                <w:b/>
                <w:sz w:val="16"/>
                <w:szCs w:val="16"/>
              </w:rPr>
              <w:t>Episode n</w:t>
            </w:r>
            <w:r w:rsidR="00B97A8A" w:rsidRPr="007C1077">
              <w:rPr>
                <w:b/>
                <w:sz w:val="16"/>
                <w:szCs w:val="16"/>
              </w:rPr>
              <w:t>umber</w:t>
            </w:r>
          </w:p>
        </w:tc>
        <w:tc>
          <w:tcPr>
            <w:tcW w:w="3289" w:type="dxa"/>
          </w:tcPr>
          <w:p w14:paraId="4EC1F6D4" w14:textId="7348E6FB" w:rsidR="00B97A8A" w:rsidRPr="007C1077" w:rsidRDefault="007C1077" w:rsidP="00AF16ED">
            <w:pPr>
              <w:numPr>
                <w:ilvl w:val="0"/>
                <w:numId w:val="0"/>
              </w:numPr>
              <w:spacing w:before="60" w:after="60" w:line="160" w:lineRule="atLeast"/>
              <w:ind w:left="-14" w:right="-108"/>
              <w:rPr>
                <w:b/>
                <w:sz w:val="16"/>
                <w:szCs w:val="16"/>
              </w:rPr>
            </w:pPr>
            <w:r>
              <w:rPr>
                <w:b/>
                <w:sz w:val="16"/>
                <w:szCs w:val="16"/>
              </w:rPr>
              <w:t>Intermediate product volume d</w:t>
            </w:r>
            <w:r w:rsidR="00B97A8A" w:rsidRPr="007C1077">
              <w:rPr>
                <w:b/>
                <w:sz w:val="16"/>
                <w:szCs w:val="16"/>
              </w:rPr>
              <w:t>river</w:t>
            </w:r>
          </w:p>
        </w:tc>
        <w:tc>
          <w:tcPr>
            <w:tcW w:w="875" w:type="dxa"/>
          </w:tcPr>
          <w:p w14:paraId="0226F105" w14:textId="10191DBC" w:rsidR="00B97A8A" w:rsidRPr="007C1077" w:rsidRDefault="00B97A8A" w:rsidP="00AF16ED">
            <w:pPr>
              <w:numPr>
                <w:ilvl w:val="0"/>
                <w:numId w:val="0"/>
              </w:numPr>
              <w:spacing w:before="60" w:after="60" w:line="160" w:lineRule="atLeast"/>
              <w:ind w:left="-108" w:right="-55"/>
              <w:jc w:val="center"/>
              <w:rPr>
                <w:b/>
                <w:sz w:val="16"/>
                <w:szCs w:val="16"/>
              </w:rPr>
            </w:pPr>
            <w:r w:rsidRPr="007C1077">
              <w:rPr>
                <w:b/>
                <w:sz w:val="16"/>
                <w:szCs w:val="16"/>
              </w:rPr>
              <w:t>Utilisation</w:t>
            </w:r>
          </w:p>
        </w:tc>
        <w:tc>
          <w:tcPr>
            <w:tcW w:w="569" w:type="dxa"/>
          </w:tcPr>
          <w:p w14:paraId="2AF903AA" w14:textId="2E967630" w:rsidR="00B97A8A" w:rsidRPr="007C1077" w:rsidRDefault="00B97A8A" w:rsidP="00AF16ED">
            <w:pPr>
              <w:numPr>
                <w:ilvl w:val="0"/>
                <w:numId w:val="0"/>
              </w:numPr>
              <w:spacing w:before="60" w:after="60" w:line="160" w:lineRule="atLeast"/>
              <w:jc w:val="center"/>
              <w:rPr>
                <w:b/>
                <w:sz w:val="16"/>
                <w:szCs w:val="16"/>
              </w:rPr>
            </w:pPr>
            <w:r w:rsidRPr="007C1077">
              <w:rPr>
                <w:b/>
                <w:sz w:val="16"/>
                <w:szCs w:val="16"/>
              </w:rPr>
              <w:t>RVU</w:t>
            </w:r>
          </w:p>
        </w:tc>
      </w:tr>
      <w:tr w:rsidR="00243A6A" w:rsidRPr="00B97A8A" w14:paraId="1E2FEFC9" w14:textId="77777777" w:rsidTr="007C1077">
        <w:tc>
          <w:tcPr>
            <w:tcW w:w="1242" w:type="dxa"/>
          </w:tcPr>
          <w:p w14:paraId="79E2DAD7" w14:textId="5D40CE73" w:rsidR="00B97A8A" w:rsidRPr="007C1077" w:rsidRDefault="00B97A8A" w:rsidP="00AF16ED">
            <w:pPr>
              <w:numPr>
                <w:ilvl w:val="0"/>
                <w:numId w:val="0"/>
              </w:numPr>
              <w:spacing w:before="60" w:after="60" w:line="160" w:lineRule="atLeast"/>
              <w:rPr>
                <w:sz w:val="16"/>
                <w:szCs w:val="16"/>
              </w:rPr>
            </w:pPr>
            <w:r w:rsidRPr="007C1077">
              <w:rPr>
                <w:sz w:val="16"/>
                <w:szCs w:val="16"/>
              </w:rPr>
              <w:t>Bed day</w:t>
            </w:r>
          </w:p>
        </w:tc>
        <w:tc>
          <w:tcPr>
            <w:tcW w:w="879" w:type="dxa"/>
          </w:tcPr>
          <w:p w14:paraId="0EF2667D" w14:textId="3954029C" w:rsidR="00B97A8A" w:rsidRPr="007C1077" w:rsidRDefault="007C1077" w:rsidP="00AF16ED">
            <w:pPr>
              <w:numPr>
                <w:ilvl w:val="0"/>
                <w:numId w:val="0"/>
              </w:numPr>
              <w:spacing w:before="60" w:after="60" w:line="160" w:lineRule="atLeast"/>
              <w:rPr>
                <w:sz w:val="16"/>
                <w:szCs w:val="16"/>
              </w:rPr>
            </w:pPr>
            <w:r>
              <w:rPr>
                <w:sz w:val="16"/>
                <w:szCs w:val="16"/>
              </w:rPr>
              <w:t>General medical w</w:t>
            </w:r>
            <w:r w:rsidR="00243A6A" w:rsidRPr="007C1077">
              <w:rPr>
                <w:sz w:val="16"/>
                <w:szCs w:val="16"/>
              </w:rPr>
              <w:t>ard A</w:t>
            </w:r>
          </w:p>
        </w:tc>
        <w:tc>
          <w:tcPr>
            <w:tcW w:w="964" w:type="dxa"/>
          </w:tcPr>
          <w:p w14:paraId="045290F8" w14:textId="21D5E03F" w:rsidR="00B97A8A" w:rsidRPr="007C1077" w:rsidRDefault="00243A6A" w:rsidP="00AF16ED">
            <w:pPr>
              <w:numPr>
                <w:ilvl w:val="0"/>
                <w:numId w:val="0"/>
              </w:numPr>
              <w:spacing w:before="60" w:after="60" w:line="160" w:lineRule="atLeast"/>
              <w:rPr>
                <w:sz w:val="16"/>
                <w:szCs w:val="16"/>
              </w:rPr>
            </w:pPr>
            <w:r w:rsidRPr="007C1077">
              <w:rPr>
                <w:sz w:val="16"/>
                <w:szCs w:val="16"/>
              </w:rPr>
              <w:t>IP1234-1</w:t>
            </w:r>
          </w:p>
        </w:tc>
        <w:tc>
          <w:tcPr>
            <w:tcW w:w="3289" w:type="dxa"/>
          </w:tcPr>
          <w:p w14:paraId="6E903F7A" w14:textId="47E41559" w:rsidR="00B97A8A" w:rsidRPr="007C1077" w:rsidRDefault="00243A6A" w:rsidP="00AF16ED">
            <w:pPr>
              <w:numPr>
                <w:ilvl w:val="0"/>
                <w:numId w:val="0"/>
              </w:numPr>
              <w:spacing w:before="60" w:after="60" w:line="160" w:lineRule="atLeast"/>
              <w:ind w:left="-14" w:right="-108"/>
              <w:rPr>
                <w:sz w:val="16"/>
                <w:szCs w:val="16"/>
              </w:rPr>
            </w:pPr>
            <w:r w:rsidRPr="007C1077">
              <w:rPr>
                <w:sz w:val="16"/>
                <w:szCs w:val="16"/>
              </w:rPr>
              <w:t>Gen_Med_A_Bed_day</w:t>
            </w:r>
          </w:p>
        </w:tc>
        <w:tc>
          <w:tcPr>
            <w:tcW w:w="875" w:type="dxa"/>
          </w:tcPr>
          <w:p w14:paraId="2EE00CCE" w14:textId="1413D884" w:rsidR="00B97A8A" w:rsidRPr="007C1077" w:rsidRDefault="00243A6A" w:rsidP="00AF16ED">
            <w:pPr>
              <w:numPr>
                <w:ilvl w:val="0"/>
                <w:numId w:val="0"/>
              </w:numPr>
              <w:spacing w:before="60" w:after="60" w:line="160" w:lineRule="atLeast"/>
              <w:ind w:right="-55"/>
              <w:jc w:val="center"/>
              <w:rPr>
                <w:sz w:val="16"/>
                <w:szCs w:val="16"/>
              </w:rPr>
            </w:pPr>
            <w:r w:rsidRPr="007C1077">
              <w:rPr>
                <w:sz w:val="16"/>
                <w:szCs w:val="16"/>
              </w:rPr>
              <w:t>1</w:t>
            </w:r>
          </w:p>
        </w:tc>
        <w:tc>
          <w:tcPr>
            <w:tcW w:w="569" w:type="dxa"/>
          </w:tcPr>
          <w:p w14:paraId="6457FA73" w14:textId="586609FB" w:rsidR="00B97A8A" w:rsidRPr="007C1077" w:rsidRDefault="00243A6A" w:rsidP="00AF16ED">
            <w:pPr>
              <w:numPr>
                <w:ilvl w:val="0"/>
                <w:numId w:val="0"/>
              </w:numPr>
              <w:spacing w:before="60" w:after="60" w:line="160" w:lineRule="atLeast"/>
              <w:jc w:val="center"/>
              <w:rPr>
                <w:sz w:val="16"/>
                <w:szCs w:val="16"/>
              </w:rPr>
            </w:pPr>
            <w:r w:rsidRPr="007C1077">
              <w:rPr>
                <w:sz w:val="16"/>
                <w:szCs w:val="16"/>
              </w:rPr>
              <w:t>1</w:t>
            </w:r>
          </w:p>
        </w:tc>
      </w:tr>
      <w:tr w:rsidR="00243A6A" w:rsidRPr="00B97A8A" w14:paraId="2F076FDB" w14:textId="77777777" w:rsidTr="007C1077">
        <w:tc>
          <w:tcPr>
            <w:tcW w:w="1242" w:type="dxa"/>
          </w:tcPr>
          <w:p w14:paraId="300EBBFA" w14:textId="1A3D08C4" w:rsidR="00243A6A" w:rsidRPr="007C1077" w:rsidRDefault="00243A6A" w:rsidP="00AF16ED">
            <w:pPr>
              <w:numPr>
                <w:ilvl w:val="0"/>
                <w:numId w:val="0"/>
              </w:numPr>
              <w:spacing w:before="60" w:after="60" w:line="160" w:lineRule="atLeast"/>
              <w:rPr>
                <w:sz w:val="16"/>
                <w:szCs w:val="16"/>
              </w:rPr>
            </w:pPr>
            <w:r w:rsidRPr="007C1077">
              <w:rPr>
                <w:sz w:val="16"/>
                <w:szCs w:val="16"/>
              </w:rPr>
              <w:t>Actual time</w:t>
            </w:r>
          </w:p>
        </w:tc>
        <w:tc>
          <w:tcPr>
            <w:tcW w:w="879" w:type="dxa"/>
          </w:tcPr>
          <w:p w14:paraId="404E2403" w14:textId="66EDBDA5" w:rsidR="00243A6A" w:rsidRPr="007C1077" w:rsidRDefault="007C1077" w:rsidP="00AF16ED">
            <w:pPr>
              <w:numPr>
                <w:ilvl w:val="0"/>
                <w:numId w:val="0"/>
              </w:numPr>
              <w:spacing w:before="60" w:after="60" w:line="160" w:lineRule="atLeast"/>
              <w:rPr>
                <w:sz w:val="16"/>
                <w:szCs w:val="16"/>
              </w:rPr>
            </w:pPr>
            <w:r>
              <w:rPr>
                <w:sz w:val="16"/>
                <w:szCs w:val="16"/>
              </w:rPr>
              <w:t>General medical w</w:t>
            </w:r>
            <w:r w:rsidR="00243A6A" w:rsidRPr="007C1077">
              <w:rPr>
                <w:sz w:val="16"/>
                <w:szCs w:val="16"/>
              </w:rPr>
              <w:t>ard A</w:t>
            </w:r>
          </w:p>
        </w:tc>
        <w:tc>
          <w:tcPr>
            <w:tcW w:w="964" w:type="dxa"/>
          </w:tcPr>
          <w:p w14:paraId="10C857CA" w14:textId="6CB66E8E" w:rsidR="00243A6A" w:rsidRPr="007C1077" w:rsidRDefault="00243A6A" w:rsidP="00AF16ED">
            <w:pPr>
              <w:numPr>
                <w:ilvl w:val="0"/>
                <w:numId w:val="0"/>
              </w:numPr>
              <w:spacing w:before="60" w:after="60" w:line="160" w:lineRule="atLeast"/>
              <w:rPr>
                <w:sz w:val="16"/>
                <w:szCs w:val="16"/>
              </w:rPr>
            </w:pPr>
            <w:r w:rsidRPr="007C1077">
              <w:rPr>
                <w:sz w:val="16"/>
                <w:szCs w:val="16"/>
              </w:rPr>
              <w:t>IP1234-1</w:t>
            </w:r>
          </w:p>
        </w:tc>
        <w:tc>
          <w:tcPr>
            <w:tcW w:w="3289" w:type="dxa"/>
          </w:tcPr>
          <w:p w14:paraId="70DCABE8" w14:textId="3923BB86" w:rsidR="00243A6A" w:rsidRPr="007C1077" w:rsidRDefault="00243A6A" w:rsidP="00AF16ED">
            <w:pPr>
              <w:numPr>
                <w:ilvl w:val="0"/>
                <w:numId w:val="0"/>
              </w:numPr>
              <w:spacing w:before="60" w:after="60" w:line="160" w:lineRule="atLeast"/>
              <w:ind w:left="-14" w:right="-108"/>
              <w:rPr>
                <w:sz w:val="16"/>
                <w:szCs w:val="16"/>
              </w:rPr>
            </w:pPr>
            <w:r w:rsidRPr="007C1077">
              <w:rPr>
                <w:sz w:val="16"/>
                <w:szCs w:val="16"/>
              </w:rPr>
              <w:t>Gen_Med_A_Actual_Time</w:t>
            </w:r>
          </w:p>
        </w:tc>
        <w:tc>
          <w:tcPr>
            <w:tcW w:w="875" w:type="dxa"/>
          </w:tcPr>
          <w:p w14:paraId="5CBBE714" w14:textId="22BEAD74" w:rsidR="00243A6A" w:rsidRPr="007C1077" w:rsidRDefault="00243A6A" w:rsidP="00AF16ED">
            <w:pPr>
              <w:numPr>
                <w:ilvl w:val="0"/>
                <w:numId w:val="0"/>
              </w:numPr>
              <w:spacing w:before="60" w:after="60" w:line="160" w:lineRule="atLeast"/>
              <w:jc w:val="center"/>
              <w:rPr>
                <w:sz w:val="16"/>
                <w:szCs w:val="16"/>
              </w:rPr>
            </w:pPr>
            <w:r w:rsidRPr="007C1077">
              <w:rPr>
                <w:sz w:val="16"/>
                <w:szCs w:val="16"/>
              </w:rPr>
              <w:t>1440</w:t>
            </w:r>
          </w:p>
        </w:tc>
        <w:tc>
          <w:tcPr>
            <w:tcW w:w="569" w:type="dxa"/>
          </w:tcPr>
          <w:p w14:paraId="2F9CD796" w14:textId="7F403FA2" w:rsidR="00243A6A" w:rsidRPr="007C1077" w:rsidRDefault="00243A6A" w:rsidP="00AF16ED">
            <w:pPr>
              <w:numPr>
                <w:ilvl w:val="0"/>
                <w:numId w:val="0"/>
              </w:numPr>
              <w:spacing w:before="60" w:after="60" w:line="160" w:lineRule="atLeast"/>
              <w:jc w:val="center"/>
              <w:rPr>
                <w:sz w:val="16"/>
                <w:szCs w:val="16"/>
              </w:rPr>
            </w:pPr>
            <w:r w:rsidRPr="007C1077">
              <w:rPr>
                <w:sz w:val="16"/>
                <w:szCs w:val="16"/>
              </w:rPr>
              <w:t>4</w:t>
            </w:r>
          </w:p>
        </w:tc>
      </w:tr>
      <w:tr w:rsidR="00243A6A" w:rsidRPr="00B97A8A" w14:paraId="5921950B" w14:textId="77777777" w:rsidTr="007C1077">
        <w:tc>
          <w:tcPr>
            <w:tcW w:w="1242" w:type="dxa"/>
          </w:tcPr>
          <w:p w14:paraId="4B5B00A5" w14:textId="3C2189D3" w:rsidR="00243A6A" w:rsidRPr="007C1077" w:rsidRDefault="00243A6A" w:rsidP="00AF16ED">
            <w:pPr>
              <w:numPr>
                <w:ilvl w:val="0"/>
                <w:numId w:val="0"/>
              </w:numPr>
              <w:spacing w:before="60" w:after="60" w:line="160" w:lineRule="atLeast"/>
              <w:rPr>
                <w:sz w:val="16"/>
                <w:szCs w:val="16"/>
              </w:rPr>
            </w:pPr>
            <w:r w:rsidRPr="007C1077">
              <w:rPr>
                <w:sz w:val="16"/>
                <w:szCs w:val="16"/>
              </w:rPr>
              <w:t>Acui</w:t>
            </w:r>
            <w:r w:rsidR="007C1077">
              <w:rPr>
                <w:sz w:val="16"/>
                <w:szCs w:val="16"/>
              </w:rPr>
              <w:t>ty measure with actual t</w:t>
            </w:r>
            <w:r w:rsidRPr="007C1077">
              <w:rPr>
                <w:sz w:val="16"/>
                <w:szCs w:val="16"/>
              </w:rPr>
              <w:t>ime</w:t>
            </w:r>
          </w:p>
        </w:tc>
        <w:tc>
          <w:tcPr>
            <w:tcW w:w="879" w:type="dxa"/>
          </w:tcPr>
          <w:p w14:paraId="7D349CD8" w14:textId="3D272DD5" w:rsidR="00243A6A" w:rsidRPr="007C1077" w:rsidRDefault="007C1077" w:rsidP="00AF16ED">
            <w:pPr>
              <w:numPr>
                <w:ilvl w:val="0"/>
                <w:numId w:val="0"/>
              </w:numPr>
              <w:spacing w:before="60" w:after="60" w:line="160" w:lineRule="atLeast"/>
              <w:rPr>
                <w:sz w:val="16"/>
                <w:szCs w:val="16"/>
              </w:rPr>
            </w:pPr>
            <w:r>
              <w:rPr>
                <w:sz w:val="16"/>
                <w:szCs w:val="16"/>
              </w:rPr>
              <w:t>General medical w</w:t>
            </w:r>
            <w:r w:rsidR="00243A6A" w:rsidRPr="007C1077">
              <w:rPr>
                <w:sz w:val="16"/>
                <w:szCs w:val="16"/>
              </w:rPr>
              <w:t>ard A</w:t>
            </w:r>
          </w:p>
        </w:tc>
        <w:tc>
          <w:tcPr>
            <w:tcW w:w="964" w:type="dxa"/>
          </w:tcPr>
          <w:p w14:paraId="667201AD" w14:textId="2DBC35FF" w:rsidR="00243A6A" w:rsidRPr="007C1077" w:rsidRDefault="00243A6A" w:rsidP="00AF16ED">
            <w:pPr>
              <w:numPr>
                <w:ilvl w:val="0"/>
                <w:numId w:val="0"/>
              </w:numPr>
              <w:spacing w:before="60" w:after="60" w:line="160" w:lineRule="atLeast"/>
              <w:rPr>
                <w:sz w:val="16"/>
                <w:szCs w:val="16"/>
              </w:rPr>
            </w:pPr>
            <w:r w:rsidRPr="007C1077">
              <w:rPr>
                <w:sz w:val="16"/>
                <w:szCs w:val="16"/>
              </w:rPr>
              <w:t>IP1234-1</w:t>
            </w:r>
          </w:p>
        </w:tc>
        <w:tc>
          <w:tcPr>
            <w:tcW w:w="3289" w:type="dxa"/>
          </w:tcPr>
          <w:p w14:paraId="3EB749C0" w14:textId="39A05D59" w:rsidR="00243A6A" w:rsidRPr="007C1077" w:rsidRDefault="00243A6A" w:rsidP="00AF16ED">
            <w:pPr>
              <w:numPr>
                <w:ilvl w:val="0"/>
                <w:numId w:val="0"/>
              </w:numPr>
              <w:spacing w:before="60" w:after="60" w:line="160" w:lineRule="atLeast"/>
              <w:ind w:left="-14" w:right="-108"/>
              <w:rPr>
                <w:sz w:val="16"/>
                <w:szCs w:val="16"/>
              </w:rPr>
            </w:pPr>
            <w:r w:rsidRPr="007C1077">
              <w:rPr>
                <w:sz w:val="16"/>
                <w:szCs w:val="16"/>
              </w:rPr>
              <w:t>Gen_Med_A_Morning_Acuity_High_Dependency</w:t>
            </w:r>
          </w:p>
        </w:tc>
        <w:tc>
          <w:tcPr>
            <w:tcW w:w="875" w:type="dxa"/>
          </w:tcPr>
          <w:p w14:paraId="189526EA" w14:textId="0810F2AB" w:rsidR="00243A6A" w:rsidRPr="007C1077" w:rsidRDefault="00243A6A" w:rsidP="00AF16ED">
            <w:pPr>
              <w:numPr>
                <w:ilvl w:val="0"/>
                <w:numId w:val="0"/>
              </w:numPr>
              <w:spacing w:before="60" w:after="60" w:line="160" w:lineRule="atLeast"/>
              <w:jc w:val="center"/>
              <w:rPr>
                <w:sz w:val="16"/>
                <w:szCs w:val="16"/>
              </w:rPr>
            </w:pPr>
            <w:r w:rsidRPr="007C1077">
              <w:rPr>
                <w:sz w:val="16"/>
                <w:szCs w:val="16"/>
              </w:rPr>
              <w:t>480</w:t>
            </w:r>
          </w:p>
        </w:tc>
        <w:tc>
          <w:tcPr>
            <w:tcW w:w="569" w:type="dxa"/>
          </w:tcPr>
          <w:p w14:paraId="2D02A285" w14:textId="5ED61D9D" w:rsidR="00243A6A" w:rsidRPr="007C1077" w:rsidRDefault="00243A6A" w:rsidP="00AF16ED">
            <w:pPr>
              <w:numPr>
                <w:ilvl w:val="0"/>
                <w:numId w:val="0"/>
              </w:numPr>
              <w:spacing w:before="60" w:after="60" w:line="160" w:lineRule="atLeast"/>
              <w:jc w:val="center"/>
              <w:rPr>
                <w:sz w:val="16"/>
                <w:szCs w:val="16"/>
              </w:rPr>
            </w:pPr>
            <w:r w:rsidRPr="007C1077">
              <w:rPr>
                <w:sz w:val="16"/>
                <w:szCs w:val="16"/>
              </w:rPr>
              <w:t>8</w:t>
            </w:r>
          </w:p>
        </w:tc>
      </w:tr>
      <w:tr w:rsidR="00243A6A" w:rsidRPr="00B97A8A" w14:paraId="37087D17" w14:textId="77777777" w:rsidTr="007C1077">
        <w:tc>
          <w:tcPr>
            <w:tcW w:w="1242" w:type="dxa"/>
          </w:tcPr>
          <w:p w14:paraId="785FA0D5" w14:textId="74C246F9" w:rsidR="00243A6A" w:rsidRPr="007C1077" w:rsidRDefault="007C1077" w:rsidP="00AF16ED">
            <w:pPr>
              <w:numPr>
                <w:ilvl w:val="0"/>
                <w:numId w:val="0"/>
              </w:numPr>
              <w:spacing w:before="60" w:after="60" w:line="160" w:lineRule="atLeast"/>
              <w:rPr>
                <w:sz w:val="16"/>
                <w:szCs w:val="16"/>
              </w:rPr>
            </w:pPr>
            <w:r>
              <w:rPr>
                <w:sz w:val="16"/>
                <w:szCs w:val="16"/>
              </w:rPr>
              <w:t>Acuity measure with actual t</w:t>
            </w:r>
            <w:r w:rsidR="00243A6A" w:rsidRPr="007C1077">
              <w:rPr>
                <w:sz w:val="16"/>
                <w:szCs w:val="16"/>
              </w:rPr>
              <w:t>ime</w:t>
            </w:r>
          </w:p>
        </w:tc>
        <w:tc>
          <w:tcPr>
            <w:tcW w:w="879" w:type="dxa"/>
          </w:tcPr>
          <w:p w14:paraId="07AA036B" w14:textId="4D303091" w:rsidR="00243A6A" w:rsidRPr="007C1077" w:rsidRDefault="007C1077" w:rsidP="00AF16ED">
            <w:pPr>
              <w:numPr>
                <w:ilvl w:val="0"/>
                <w:numId w:val="0"/>
              </w:numPr>
              <w:spacing w:before="60" w:after="60" w:line="160" w:lineRule="atLeast"/>
              <w:rPr>
                <w:sz w:val="16"/>
                <w:szCs w:val="16"/>
              </w:rPr>
            </w:pPr>
            <w:r>
              <w:rPr>
                <w:sz w:val="16"/>
                <w:szCs w:val="16"/>
              </w:rPr>
              <w:t>General medical w</w:t>
            </w:r>
            <w:r w:rsidR="00243A6A" w:rsidRPr="007C1077">
              <w:rPr>
                <w:sz w:val="16"/>
                <w:szCs w:val="16"/>
              </w:rPr>
              <w:t>ard A</w:t>
            </w:r>
          </w:p>
        </w:tc>
        <w:tc>
          <w:tcPr>
            <w:tcW w:w="964" w:type="dxa"/>
          </w:tcPr>
          <w:p w14:paraId="2051D2E6" w14:textId="28704D95" w:rsidR="00243A6A" w:rsidRPr="007C1077" w:rsidRDefault="00243A6A" w:rsidP="00AF16ED">
            <w:pPr>
              <w:numPr>
                <w:ilvl w:val="0"/>
                <w:numId w:val="0"/>
              </w:numPr>
              <w:spacing w:before="60" w:after="60" w:line="160" w:lineRule="atLeast"/>
              <w:rPr>
                <w:sz w:val="16"/>
                <w:szCs w:val="16"/>
              </w:rPr>
            </w:pPr>
            <w:r w:rsidRPr="007C1077">
              <w:rPr>
                <w:sz w:val="16"/>
                <w:szCs w:val="16"/>
              </w:rPr>
              <w:t>IP1234-1</w:t>
            </w:r>
          </w:p>
        </w:tc>
        <w:tc>
          <w:tcPr>
            <w:tcW w:w="3289" w:type="dxa"/>
          </w:tcPr>
          <w:p w14:paraId="7E148FC7" w14:textId="2F4B168D" w:rsidR="00243A6A" w:rsidRPr="007C1077" w:rsidRDefault="00243A6A" w:rsidP="00AF16ED">
            <w:pPr>
              <w:numPr>
                <w:ilvl w:val="0"/>
                <w:numId w:val="0"/>
              </w:numPr>
              <w:spacing w:before="60" w:after="60" w:line="160" w:lineRule="atLeast"/>
              <w:ind w:left="-14" w:right="-108"/>
              <w:rPr>
                <w:sz w:val="16"/>
                <w:szCs w:val="16"/>
              </w:rPr>
            </w:pPr>
            <w:r w:rsidRPr="007C1077">
              <w:rPr>
                <w:sz w:val="16"/>
                <w:szCs w:val="16"/>
              </w:rPr>
              <w:t>Gen_Med_A_Afternoon_Acuity_Stable</w:t>
            </w:r>
          </w:p>
        </w:tc>
        <w:tc>
          <w:tcPr>
            <w:tcW w:w="875" w:type="dxa"/>
          </w:tcPr>
          <w:p w14:paraId="75DCB768" w14:textId="0D3A2E17" w:rsidR="00243A6A" w:rsidRPr="007C1077" w:rsidRDefault="00243A6A" w:rsidP="00AF16ED">
            <w:pPr>
              <w:numPr>
                <w:ilvl w:val="0"/>
                <w:numId w:val="0"/>
              </w:numPr>
              <w:spacing w:before="60" w:after="60" w:line="160" w:lineRule="atLeast"/>
              <w:jc w:val="center"/>
              <w:rPr>
                <w:sz w:val="16"/>
                <w:szCs w:val="16"/>
              </w:rPr>
            </w:pPr>
            <w:r w:rsidRPr="007C1077">
              <w:rPr>
                <w:sz w:val="16"/>
                <w:szCs w:val="16"/>
              </w:rPr>
              <w:t>480</w:t>
            </w:r>
          </w:p>
        </w:tc>
        <w:tc>
          <w:tcPr>
            <w:tcW w:w="569" w:type="dxa"/>
          </w:tcPr>
          <w:p w14:paraId="2F750333" w14:textId="573B024D" w:rsidR="00243A6A" w:rsidRPr="007C1077" w:rsidRDefault="00243A6A" w:rsidP="00AF16ED">
            <w:pPr>
              <w:numPr>
                <w:ilvl w:val="0"/>
                <w:numId w:val="0"/>
              </w:numPr>
              <w:spacing w:before="60" w:after="60" w:line="160" w:lineRule="atLeast"/>
              <w:jc w:val="center"/>
              <w:rPr>
                <w:sz w:val="16"/>
                <w:szCs w:val="16"/>
              </w:rPr>
            </w:pPr>
            <w:r w:rsidRPr="007C1077">
              <w:rPr>
                <w:sz w:val="16"/>
                <w:szCs w:val="16"/>
              </w:rPr>
              <w:t>4</w:t>
            </w:r>
          </w:p>
        </w:tc>
      </w:tr>
      <w:tr w:rsidR="00243A6A" w:rsidRPr="00B97A8A" w14:paraId="2F2BFEEC" w14:textId="77777777" w:rsidTr="007C1077">
        <w:tc>
          <w:tcPr>
            <w:tcW w:w="1242" w:type="dxa"/>
          </w:tcPr>
          <w:p w14:paraId="5BB3B2B8" w14:textId="29B590EF" w:rsidR="00243A6A" w:rsidRPr="007C1077" w:rsidRDefault="007C1077" w:rsidP="00AF16ED">
            <w:pPr>
              <w:numPr>
                <w:ilvl w:val="0"/>
                <w:numId w:val="0"/>
              </w:numPr>
              <w:spacing w:before="60" w:after="60" w:line="160" w:lineRule="atLeast"/>
              <w:rPr>
                <w:sz w:val="16"/>
                <w:szCs w:val="16"/>
              </w:rPr>
            </w:pPr>
            <w:r>
              <w:rPr>
                <w:sz w:val="16"/>
                <w:szCs w:val="16"/>
              </w:rPr>
              <w:t>Acuity measure with actual t</w:t>
            </w:r>
            <w:r w:rsidR="00243A6A" w:rsidRPr="007C1077">
              <w:rPr>
                <w:sz w:val="16"/>
                <w:szCs w:val="16"/>
              </w:rPr>
              <w:t>ime</w:t>
            </w:r>
          </w:p>
        </w:tc>
        <w:tc>
          <w:tcPr>
            <w:tcW w:w="879" w:type="dxa"/>
          </w:tcPr>
          <w:p w14:paraId="17DC351B" w14:textId="431ECA96" w:rsidR="00243A6A" w:rsidRPr="007C1077" w:rsidRDefault="007C1077" w:rsidP="00AF16ED">
            <w:pPr>
              <w:numPr>
                <w:ilvl w:val="0"/>
                <w:numId w:val="0"/>
              </w:numPr>
              <w:spacing w:before="60" w:after="60" w:line="160" w:lineRule="atLeast"/>
              <w:rPr>
                <w:sz w:val="16"/>
                <w:szCs w:val="16"/>
              </w:rPr>
            </w:pPr>
            <w:r>
              <w:rPr>
                <w:sz w:val="16"/>
                <w:szCs w:val="16"/>
              </w:rPr>
              <w:t>General m</w:t>
            </w:r>
            <w:r w:rsidR="00243A6A" w:rsidRPr="007C1077">
              <w:rPr>
                <w:sz w:val="16"/>
                <w:szCs w:val="16"/>
              </w:rPr>
              <w:t>ed</w:t>
            </w:r>
            <w:r>
              <w:rPr>
                <w:sz w:val="16"/>
                <w:szCs w:val="16"/>
              </w:rPr>
              <w:t>ical w</w:t>
            </w:r>
            <w:r w:rsidR="00243A6A" w:rsidRPr="007C1077">
              <w:rPr>
                <w:sz w:val="16"/>
                <w:szCs w:val="16"/>
              </w:rPr>
              <w:t>ard A</w:t>
            </w:r>
          </w:p>
        </w:tc>
        <w:tc>
          <w:tcPr>
            <w:tcW w:w="964" w:type="dxa"/>
          </w:tcPr>
          <w:p w14:paraId="75EE14BD" w14:textId="775D0DB7" w:rsidR="00243A6A" w:rsidRPr="007C1077" w:rsidRDefault="00243A6A" w:rsidP="00AF16ED">
            <w:pPr>
              <w:numPr>
                <w:ilvl w:val="0"/>
                <w:numId w:val="0"/>
              </w:numPr>
              <w:spacing w:before="60" w:after="60" w:line="160" w:lineRule="atLeast"/>
              <w:rPr>
                <w:sz w:val="16"/>
                <w:szCs w:val="16"/>
              </w:rPr>
            </w:pPr>
            <w:r w:rsidRPr="007C1077">
              <w:rPr>
                <w:sz w:val="16"/>
                <w:szCs w:val="16"/>
              </w:rPr>
              <w:t>IP1234-1</w:t>
            </w:r>
          </w:p>
        </w:tc>
        <w:tc>
          <w:tcPr>
            <w:tcW w:w="3289" w:type="dxa"/>
          </w:tcPr>
          <w:p w14:paraId="499E7EE3" w14:textId="54AD9875" w:rsidR="00243A6A" w:rsidRPr="007C1077" w:rsidRDefault="00243A6A" w:rsidP="00AF16ED">
            <w:pPr>
              <w:numPr>
                <w:ilvl w:val="0"/>
                <w:numId w:val="0"/>
              </w:numPr>
              <w:spacing w:before="60" w:after="60" w:line="160" w:lineRule="atLeast"/>
              <w:ind w:left="-14" w:right="-108"/>
              <w:rPr>
                <w:sz w:val="16"/>
                <w:szCs w:val="16"/>
              </w:rPr>
            </w:pPr>
            <w:r w:rsidRPr="007C1077">
              <w:rPr>
                <w:sz w:val="16"/>
                <w:szCs w:val="16"/>
              </w:rPr>
              <w:t>Gen_Med_A_Acuity_Night_Independent</w:t>
            </w:r>
          </w:p>
        </w:tc>
        <w:tc>
          <w:tcPr>
            <w:tcW w:w="875" w:type="dxa"/>
          </w:tcPr>
          <w:p w14:paraId="6076976A" w14:textId="0C06E307" w:rsidR="00243A6A" w:rsidRPr="007C1077" w:rsidRDefault="00243A6A" w:rsidP="00AF16ED">
            <w:pPr>
              <w:numPr>
                <w:ilvl w:val="0"/>
                <w:numId w:val="0"/>
              </w:numPr>
              <w:spacing w:before="60" w:after="60" w:line="160" w:lineRule="atLeast"/>
              <w:jc w:val="center"/>
              <w:rPr>
                <w:sz w:val="16"/>
                <w:szCs w:val="16"/>
              </w:rPr>
            </w:pPr>
            <w:r w:rsidRPr="007C1077">
              <w:rPr>
                <w:sz w:val="16"/>
                <w:szCs w:val="16"/>
              </w:rPr>
              <w:t>480</w:t>
            </w:r>
          </w:p>
        </w:tc>
        <w:tc>
          <w:tcPr>
            <w:tcW w:w="569" w:type="dxa"/>
          </w:tcPr>
          <w:p w14:paraId="409BAC41" w14:textId="0DD41DE4" w:rsidR="00243A6A" w:rsidRPr="007C1077" w:rsidRDefault="00243A6A" w:rsidP="00AF16ED">
            <w:pPr>
              <w:numPr>
                <w:ilvl w:val="0"/>
                <w:numId w:val="0"/>
              </w:numPr>
              <w:spacing w:before="60" w:after="60" w:line="160" w:lineRule="atLeast"/>
              <w:jc w:val="center"/>
              <w:rPr>
                <w:sz w:val="16"/>
                <w:szCs w:val="16"/>
              </w:rPr>
            </w:pPr>
            <w:r w:rsidRPr="007C1077">
              <w:rPr>
                <w:sz w:val="16"/>
                <w:szCs w:val="16"/>
              </w:rPr>
              <w:t>1</w:t>
            </w:r>
          </w:p>
        </w:tc>
      </w:tr>
    </w:tbl>
    <w:p w14:paraId="0DF5DE43" w14:textId="472E5526" w:rsidR="00DB58FF" w:rsidRDefault="00702703" w:rsidP="00554A66">
      <w:r>
        <w:t>Table 3</w:t>
      </w:r>
      <w:r w:rsidR="00DB58FF">
        <w:t xml:space="preserve"> presents various costing scenarios which impact upon the build of the intermediate product and the volume driver. The change in cost is driven by a combination of the volume driver (such as time or bed day), utilisation statistic and the RVU.</w:t>
      </w:r>
    </w:p>
    <w:p w14:paraId="2C5C6A30" w14:textId="77777777" w:rsidR="00DB58FF" w:rsidRDefault="00DB58FF" w:rsidP="00554A66">
      <w:r>
        <w:t xml:space="preserve">In the example above, differences in approach are demonstrated when comparing a bed day approach to an actual time approach to an acuity measure approach with actual time as the utilisation statistic. </w:t>
      </w:r>
    </w:p>
    <w:p w14:paraId="70626F9A" w14:textId="77777777" w:rsidR="00DB58FF" w:rsidRDefault="00DB58FF" w:rsidP="00554A66">
      <w:r>
        <w:t>Under acuity m</w:t>
      </w:r>
      <w:r w:rsidR="004E363C">
        <w:t>easure and actual time approach</w:t>
      </w:r>
      <w:r>
        <w:t xml:space="preserve">, the time the patient resides within the ward is split by shift and an assessment is made on the level of care </w:t>
      </w:r>
      <w:r w:rsidRPr="00736E59">
        <w:t>required by</w:t>
      </w:r>
      <w:r>
        <w:t xml:space="preserve"> the patient (for example, high dependency, stable and independent as a de facto measure of patient complexity). A RVU is then assigned according to the complexity assessment to reflect the nature (or volume) of nursing resource intensity required by the patient</w:t>
      </w:r>
    </w:p>
    <w:p w14:paraId="0B6061AE" w14:textId="5E04D86E" w:rsidR="00DB58FF" w:rsidRDefault="00DB58FF" w:rsidP="00554A66">
      <w:r>
        <w:t xml:space="preserve">In this example, where the patient has not left the ward in the morning (where utilisation is 480 minutes) and the complexity assessment is high dependency the RVU assigned seeks to demonstrate that this patient will consume on average </w:t>
      </w:r>
      <w:r w:rsidR="00BD47FF">
        <w:t xml:space="preserve">eight </w:t>
      </w:r>
      <w:r>
        <w:t xml:space="preserve">times the nursing resource than where the patient becomes independent in the evening shift as the RVU assigned is </w:t>
      </w:r>
      <w:r w:rsidR="00BD47FF">
        <w:t>one</w:t>
      </w:r>
      <w:r>
        <w:t xml:space="preserve">, so for the morning shift the patient will have </w:t>
      </w:r>
      <w:r w:rsidR="00BD47FF">
        <w:t>eight</w:t>
      </w:r>
      <w:r>
        <w:t xml:space="preserve"> times more nursing costs allocated to this intermediate product than the intermediate product for the night shift.</w:t>
      </w:r>
    </w:p>
    <w:p w14:paraId="0B901812" w14:textId="7AEFD404" w:rsidR="00DB58FF" w:rsidRDefault="00DB58FF" w:rsidP="00554A66">
      <w:r>
        <w:t xml:space="preserve">In the case of the bed day approach this does not provide the specificity of the acuity measure and actual time approach as the time the patient resides on the ward is rolled up to either a whole or part day and the RVU assigned reflects the complexity of the patient at day’s end which is deemed to be </w:t>
      </w:r>
      <w:r w:rsidR="00BD47FF">
        <w:t xml:space="preserve">one </w:t>
      </w:r>
      <w:r>
        <w:t>(or independent) and relative nursing expenditures are allocated accordingly.</w:t>
      </w:r>
    </w:p>
    <w:p w14:paraId="31F8256F" w14:textId="2E6F1A58" w:rsidR="00DB58FF" w:rsidRDefault="00DB58FF" w:rsidP="00554A66">
      <w:r>
        <w:t xml:space="preserve">For the actual time approach, </w:t>
      </w:r>
      <w:r w:rsidR="004E363C">
        <w:t>actual minutes on the ward are</w:t>
      </w:r>
      <w:r>
        <w:t xml:space="preserve"> used as the utilisation measure. This increases the specificity in cost allocation as any movement or transfer in and out of the ward is captured and costs allocated based on this time. In this example the patient resides a full day on the ward (described as 1</w:t>
      </w:r>
      <w:r w:rsidR="007C1077">
        <w:t>,</w:t>
      </w:r>
      <w:r>
        <w:t xml:space="preserve">440 minutes), but the RVU assigned is based on an assessment of the patient’s overall complexity for the day, in this case a </w:t>
      </w:r>
      <w:r w:rsidR="00BD47FF">
        <w:t xml:space="preserve">four </w:t>
      </w:r>
      <w:r>
        <w:t>(or stable) and relative nursing expenditures are allocated accordingly.</w:t>
      </w:r>
    </w:p>
    <w:p w14:paraId="17C0E453" w14:textId="056213FF" w:rsidR="00DB58FF" w:rsidRPr="004E363C" w:rsidRDefault="004E363C" w:rsidP="00A05D6A">
      <w:pPr>
        <w:numPr>
          <w:ilvl w:val="0"/>
          <w:numId w:val="0"/>
        </w:numPr>
        <w:ind w:left="1843"/>
        <w:rPr>
          <w:b/>
        </w:rPr>
      </w:pPr>
      <w:r>
        <w:rPr>
          <w:b/>
        </w:rPr>
        <w:lastRenderedPageBreak/>
        <w:t xml:space="preserve">Step 3 – </w:t>
      </w:r>
      <w:r w:rsidR="00DB58FF" w:rsidRPr="004E363C">
        <w:rPr>
          <w:b/>
        </w:rPr>
        <w:t>Us</w:t>
      </w:r>
      <w:r>
        <w:rPr>
          <w:b/>
        </w:rPr>
        <w:t>e</w:t>
      </w:r>
      <w:r w:rsidR="00DB58FF" w:rsidRPr="004E363C">
        <w:rPr>
          <w:b/>
        </w:rPr>
        <w:t xml:space="preserve"> </w:t>
      </w:r>
      <w:r w:rsidR="00DC1841">
        <w:rPr>
          <w:b/>
        </w:rPr>
        <w:t>e</w:t>
      </w:r>
      <w:r w:rsidR="009873D9">
        <w:rPr>
          <w:b/>
        </w:rPr>
        <w:t>xisting relative value units</w:t>
      </w:r>
    </w:p>
    <w:p w14:paraId="5E040530" w14:textId="77777777" w:rsidR="00DB58FF" w:rsidRPr="00D45B1A" w:rsidRDefault="00DB58FF" w:rsidP="00554A66">
      <w:r w:rsidRPr="00D45B1A">
        <w:t>Costing practitioners should be aware that their jurisdictions may provide advice that service weights are to be used to allocate certain expenses. Ideally, these service weights will reflect contemporary clinical practice.</w:t>
      </w:r>
    </w:p>
    <w:p w14:paraId="5B47F5C0" w14:textId="65243CD0" w:rsidR="004E363C" w:rsidRDefault="00DB58FF" w:rsidP="004E363C">
      <w:r w:rsidRPr="00D45B1A">
        <w:t xml:space="preserve">In other instances, discussions with service managers may lead to external references and other references being used as RVUs. Some examples are shown in the </w:t>
      </w:r>
      <w:r w:rsidR="00DB0B85">
        <w:t>table</w:t>
      </w:r>
      <w:r w:rsidRPr="00D45B1A">
        <w:t xml:space="preserve"> below:</w:t>
      </w:r>
    </w:p>
    <w:p w14:paraId="72ABB57E" w14:textId="16B9ACF4" w:rsidR="004E363C" w:rsidRPr="007C1077" w:rsidRDefault="004E363C" w:rsidP="007C1077">
      <w:pPr>
        <w:pStyle w:val="Caption"/>
        <w:keepNext/>
        <w:numPr>
          <w:ilvl w:val="0"/>
          <w:numId w:val="0"/>
        </w:numPr>
        <w:spacing w:after="60"/>
        <w:ind w:left="1843"/>
        <w:rPr>
          <w:rFonts w:asciiTheme="majorHAnsi" w:hAnsiTheme="majorHAnsi" w:cstheme="majorHAnsi"/>
          <w:i w:val="0"/>
          <w:sz w:val="22"/>
          <w:szCs w:val="22"/>
        </w:rPr>
      </w:pPr>
      <w:r w:rsidRPr="007C1077">
        <w:rPr>
          <w:rFonts w:asciiTheme="majorHAnsi" w:hAnsiTheme="majorHAnsi" w:cstheme="majorHAnsi"/>
          <w:b/>
          <w:i w:val="0"/>
          <w:sz w:val="22"/>
          <w:szCs w:val="22"/>
        </w:rPr>
        <w:t xml:space="preserve">Table </w:t>
      </w:r>
      <w:r w:rsidR="00D638F5" w:rsidRPr="007C1077">
        <w:rPr>
          <w:rFonts w:asciiTheme="majorHAnsi" w:hAnsiTheme="majorHAnsi" w:cstheme="majorHAnsi"/>
          <w:b/>
          <w:i w:val="0"/>
          <w:noProof/>
          <w:sz w:val="22"/>
          <w:szCs w:val="22"/>
        </w:rPr>
        <w:fldChar w:fldCharType="begin"/>
      </w:r>
      <w:r w:rsidR="00D638F5" w:rsidRPr="007C1077">
        <w:rPr>
          <w:rFonts w:asciiTheme="majorHAnsi" w:hAnsiTheme="majorHAnsi" w:cstheme="majorHAnsi"/>
          <w:b/>
          <w:i w:val="0"/>
          <w:noProof/>
          <w:sz w:val="22"/>
          <w:szCs w:val="22"/>
        </w:rPr>
        <w:instrText xml:space="preserve"> SEQ Table \* ARABIC </w:instrText>
      </w:r>
      <w:r w:rsidR="00D638F5" w:rsidRPr="007C1077">
        <w:rPr>
          <w:rFonts w:asciiTheme="majorHAnsi" w:hAnsiTheme="majorHAnsi" w:cstheme="majorHAnsi"/>
          <w:b/>
          <w:i w:val="0"/>
          <w:noProof/>
          <w:sz w:val="22"/>
          <w:szCs w:val="22"/>
        </w:rPr>
        <w:fldChar w:fldCharType="separate"/>
      </w:r>
      <w:r w:rsidR="00EA6A78" w:rsidRPr="007C1077">
        <w:rPr>
          <w:rFonts w:asciiTheme="majorHAnsi" w:hAnsiTheme="majorHAnsi" w:cstheme="majorHAnsi"/>
          <w:b/>
          <w:i w:val="0"/>
          <w:noProof/>
          <w:sz w:val="22"/>
          <w:szCs w:val="22"/>
        </w:rPr>
        <w:t>4</w:t>
      </w:r>
      <w:r w:rsidR="00D638F5" w:rsidRPr="007C1077">
        <w:rPr>
          <w:rFonts w:asciiTheme="majorHAnsi" w:hAnsiTheme="majorHAnsi" w:cstheme="majorHAnsi"/>
          <w:b/>
          <w:i w:val="0"/>
          <w:noProof/>
          <w:sz w:val="22"/>
          <w:szCs w:val="22"/>
        </w:rPr>
        <w:fldChar w:fldCharType="end"/>
      </w:r>
      <w:r w:rsidR="007C1077" w:rsidRPr="007C1077">
        <w:rPr>
          <w:rFonts w:asciiTheme="majorHAnsi" w:hAnsiTheme="majorHAnsi" w:cstheme="majorHAnsi"/>
          <w:b/>
          <w:i w:val="0"/>
          <w:sz w:val="22"/>
          <w:szCs w:val="22"/>
        </w:rPr>
        <w:t>:</w:t>
      </w:r>
      <w:r w:rsidRPr="007C1077">
        <w:rPr>
          <w:rFonts w:asciiTheme="majorHAnsi" w:hAnsiTheme="majorHAnsi" w:cstheme="majorHAnsi"/>
          <w:b/>
          <w:i w:val="0"/>
          <w:sz w:val="22"/>
          <w:szCs w:val="22"/>
        </w:rPr>
        <w:t xml:space="preserve"> </w:t>
      </w:r>
      <w:r w:rsidRPr="007C1077">
        <w:rPr>
          <w:rFonts w:asciiTheme="majorHAnsi" w:hAnsiTheme="majorHAnsi" w:cstheme="majorHAnsi"/>
          <w:i w:val="0"/>
          <w:sz w:val="22"/>
          <w:szCs w:val="22"/>
        </w:rPr>
        <w:t>R</w:t>
      </w:r>
      <w:r w:rsidR="00F21863" w:rsidRPr="007C1077">
        <w:rPr>
          <w:rFonts w:asciiTheme="majorHAnsi" w:hAnsiTheme="majorHAnsi" w:cstheme="majorHAnsi"/>
          <w:i w:val="0"/>
          <w:sz w:val="22"/>
          <w:szCs w:val="22"/>
        </w:rPr>
        <w:t>VU</w:t>
      </w:r>
      <w:r w:rsidR="007C1077">
        <w:rPr>
          <w:rFonts w:asciiTheme="majorHAnsi" w:hAnsiTheme="majorHAnsi" w:cstheme="majorHAnsi"/>
          <w:i w:val="0"/>
          <w:sz w:val="22"/>
          <w:szCs w:val="22"/>
        </w:rPr>
        <w:t xml:space="preserve"> Examples by hospital service d</w:t>
      </w:r>
      <w:r w:rsidRPr="007C1077">
        <w:rPr>
          <w:rFonts w:asciiTheme="majorHAnsi" w:hAnsiTheme="majorHAnsi" w:cstheme="majorHAnsi"/>
          <w:i w:val="0"/>
          <w:sz w:val="22"/>
          <w:szCs w:val="22"/>
        </w:rPr>
        <w:t>epartment</w:t>
      </w:r>
      <w:r w:rsidR="007C1077">
        <w:rPr>
          <w:rFonts w:asciiTheme="majorHAnsi" w:hAnsiTheme="majorHAnsi" w:cstheme="majorHAnsi"/>
          <w:i w:val="0"/>
          <w:sz w:val="22"/>
          <w:szCs w:val="22"/>
        </w:rPr>
        <w:t>, service a</w:t>
      </w:r>
      <w:r w:rsidRPr="007C1077">
        <w:rPr>
          <w:rFonts w:asciiTheme="majorHAnsi" w:hAnsiTheme="majorHAnsi" w:cstheme="majorHAnsi"/>
          <w:i w:val="0"/>
          <w:sz w:val="22"/>
          <w:szCs w:val="22"/>
        </w:rPr>
        <w:t>rea</w:t>
      </w:r>
      <w:r w:rsidR="007C1077">
        <w:rPr>
          <w:rFonts w:asciiTheme="majorHAnsi" w:hAnsiTheme="majorHAnsi" w:cstheme="majorHAnsi"/>
          <w:i w:val="0"/>
          <w:sz w:val="22"/>
          <w:szCs w:val="22"/>
        </w:rPr>
        <w:t>, f</w:t>
      </w:r>
      <w:r w:rsidRPr="007C1077">
        <w:rPr>
          <w:rFonts w:asciiTheme="majorHAnsi" w:hAnsiTheme="majorHAnsi" w:cstheme="majorHAnsi"/>
          <w:i w:val="0"/>
          <w:sz w:val="22"/>
          <w:szCs w:val="22"/>
        </w:rPr>
        <w:t>inal cost centre</w:t>
      </w:r>
    </w:p>
    <w:tbl>
      <w:tblPr>
        <w:tblStyle w:val="TableGrid"/>
        <w:tblW w:w="7904" w:type="dxa"/>
        <w:tblInd w:w="1843" w:type="dxa"/>
        <w:tblLook w:val="04A0" w:firstRow="1" w:lastRow="0" w:firstColumn="1" w:lastColumn="0" w:noHBand="0" w:noVBand="1"/>
        <w:tblDescription w:val="Table with column headings Service or Cost Area, Intermediate Product Volume Driver and RVU or Weighting."/>
      </w:tblPr>
      <w:tblGrid>
        <w:gridCol w:w="1809"/>
        <w:gridCol w:w="2693"/>
        <w:gridCol w:w="3402"/>
      </w:tblGrid>
      <w:tr w:rsidR="00243A6A" w:rsidRPr="00AF16ED" w14:paraId="553E95A9" w14:textId="77777777" w:rsidTr="00AF16ED">
        <w:trPr>
          <w:tblHeader/>
        </w:trPr>
        <w:tc>
          <w:tcPr>
            <w:tcW w:w="1809" w:type="dxa"/>
          </w:tcPr>
          <w:p w14:paraId="31D5091E" w14:textId="446C681A" w:rsidR="00243A6A" w:rsidRPr="007C1077" w:rsidRDefault="007C1077" w:rsidP="00243A6A">
            <w:pPr>
              <w:numPr>
                <w:ilvl w:val="0"/>
                <w:numId w:val="0"/>
              </w:numPr>
              <w:spacing w:before="0" w:after="0"/>
              <w:rPr>
                <w:rFonts w:asciiTheme="majorHAnsi" w:hAnsiTheme="majorHAnsi" w:cstheme="majorHAnsi"/>
                <w:b/>
                <w:sz w:val="16"/>
                <w:szCs w:val="16"/>
              </w:rPr>
            </w:pPr>
            <w:r w:rsidRPr="007C1077">
              <w:rPr>
                <w:rFonts w:asciiTheme="majorHAnsi" w:hAnsiTheme="majorHAnsi" w:cstheme="majorHAnsi"/>
                <w:b/>
                <w:sz w:val="16"/>
                <w:szCs w:val="16"/>
              </w:rPr>
              <w:t>Service or cost a</w:t>
            </w:r>
            <w:r w:rsidR="00243A6A" w:rsidRPr="007C1077">
              <w:rPr>
                <w:rFonts w:asciiTheme="majorHAnsi" w:hAnsiTheme="majorHAnsi" w:cstheme="majorHAnsi"/>
                <w:b/>
                <w:sz w:val="16"/>
                <w:szCs w:val="16"/>
              </w:rPr>
              <w:t>rea</w:t>
            </w:r>
          </w:p>
        </w:tc>
        <w:tc>
          <w:tcPr>
            <w:tcW w:w="2693" w:type="dxa"/>
          </w:tcPr>
          <w:p w14:paraId="54CBA036" w14:textId="6D91C1C7" w:rsidR="00243A6A" w:rsidRPr="007C1077" w:rsidRDefault="007C1077" w:rsidP="00243A6A">
            <w:pPr>
              <w:numPr>
                <w:ilvl w:val="0"/>
                <w:numId w:val="0"/>
              </w:numPr>
              <w:spacing w:before="0" w:after="0"/>
              <w:rPr>
                <w:rFonts w:asciiTheme="majorHAnsi" w:hAnsiTheme="majorHAnsi" w:cstheme="majorHAnsi"/>
                <w:b/>
                <w:sz w:val="16"/>
                <w:szCs w:val="16"/>
              </w:rPr>
            </w:pPr>
            <w:r w:rsidRPr="007C1077">
              <w:rPr>
                <w:rFonts w:asciiTheme="majorHAnsi" w:hAnsiTheme="majorHAnsi" w:cstheme="majorHAnsi"/>
                <w:b/>
                <w:sz w:val="16"/>
                <w:szCs w:val="16"/>
              </w:rPr>
              <w:t>Intermediate product volume d</w:t>
            </w:r>
            <w:r w:rsidR="00243A6A" w:rsidRPr="007C1077">
              <w:rPr>
                <w:rFonts w:asciiTheme="majorHAnsi" w:hAnsiTheme="majorHAnsi" w:cstheme="majorHAnsi"/>
                <w:b/>
                <w:sz w:val="16"/>
                <w:szCs w:val="16"/>
              </w:rPr>
              <w:t>river</w:t>
            </w:r>
          </w:p>
        </w:tc>
        <w:tc>
          <w:tcPr>
            <w:tcW w:w="3402" w:type="dxa"/>
          </w:tcPr>
          <w:p w14:paraId="22CE0911" w14:textId="66389018" w:rsidR="00243A6A" w:rsidRPr="007C1077" w:rsidRDefault="00243A6A" w:rsidP="00243A6A">
            <w:pPr>
              <w:numPr>
                <w:ilvl w:val="0"/>
                <w:numId w:val="0"/>
              </w:numPr>
              <w:spacing w:before="0" w:after="0"/>
              <w:rPr>
                <w:rFonts w:asciiTheme="majorHAnsi" w:hAnsiTheme="majorHAnsi" w:cstheme="majorHAnsi"/>
                <w:b/>
                <w:sz w:val="16"/>
                <w:szCs w:val="16"/>
              </w:rPr>
            </w:pPr>
            <w:r w:rsidRPr="007C1077">
              <w:rPr>
                <w:rFonts w:asciiTheme="majorHAnsi" w:hAnsiTheme="majorHAnsi" w:cstheme="majorHAnsi"/>
                <w:b/>
                <w:sz w:val="16"/>
                <w:szCs w:val="16"/>
              </w:rPr>
              <w:t>RVU / Weighting</w:t>
            </w:r>
          </w:p>
        </w:tc>
      </w:tr>
      <w:tr w:rsidR="00243A6A" w:rsidRPr="00243A6A" w14:paraId="50BCC4E0" w14:textId="77777777" w:rsidTr="00AF16ED">
        <w:tc>
          <w:tcPr>
            <w:tcW w:w="1809" w:type="dxa"/>
          </w:tcPr>
          <w:p w14:paraId="5D004EFB" w14:textId="22FCE8D9" w:rsidR="00243A6A" w:rsidRPr="007C1077" w:rsidRDefault="00243A6A"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Allied Health</w:t>
            </w:r>
          </w:p>
        </w:tc>
        <w:tc>
          <w:tcPr>
            <w:tcW w:w="2693" w:type="dxa"/>
          </w:tcPr>
          <w:p w14:paraId="6FE2E42C" w14:textId="72ECE9FC" w:rsidR="00243A6A" w:rsidRPr="007C1077" w:rsidRDefault="00243A6A"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Service Minutes</w:t>
            </w:r>
          </w:p>
        </w:tc>
        <w:tc>
          <w:tcPr>
            <w:tcW w:w="3402" w:type="dxa"/>
          </w:tcPr>
          <w:p w14:paraId="6E5868E3" w14:textId="068DF363" w:rsidR="00243A6A" w:rsidRPr="007C1077" w:rsidRDefault="00AF16ED"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Equal weight of 1</w:t>
            </w:r>
          </w:p>
        </w:tc>
      </w:tr>
      <w:tr w:rsidR="00243A6A" w:rsidRPr="00243A6A" w14:paraId="45A50521" w14:textId="77777777" w:rsidTr="00AF16ED">
        <w:tc>
          <w:tcPr>
            <w:tcW w:w="1809" w:type="dxa"/>
          </w:tcPr>
          <w:p w14:paraId="74D99B51" w14:textId="5B7D9789" w:rsidR="00243A6A" w:rsidRPr="007C1077" w:rsidRDefault="00243A6A"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Blood Products</w:t>
            </w:r>
          </w:p>
        </w:tc>
        <w:tc>
          <w:tcPr>
            <w:tcW w:w="2693" w:type="dxa"/>
          </w:tcPr>
          <w:p w14:paraId="5B285960" w14:textId="05D95280" w:rsidR="00243A6A" w:rsidRPr="007C1077" w:rsidRDefault="00243A6A"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Number of Tests</w:t>
            </w:r>
          </w:p>
        </w:tc>
        <w:tc>
          <w:tcPr>
            <w:tcW w:w="3402" w:type="dxa"/>
          </w:tcPr>
          <w:p w14:paraId="35F9A7BE" w14:textId="0EBEC295" w:rsidR="00243A6A" w:rsidRPr="007C1077" w:rsidRDefault="00AF16ED"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Derived estimate of Blood Price</w:t>
            </w:r>
          </w:p>
        </w:tc>
      </w:tr>
      <w:tr w:rsidR="00243A6A" w:rsidRPr="00243A6A" w14:paraId="433D15EB" w14:textId="77777777" w:rsidTr="00AF16ED">
        <w:tc>
          <w:tcPr>
            <w:tcW w:w="1809" w:type="dxa"/>
          </w:tcPr>
          <w:p w14:paraId="66C2AC69" w14:textId="7C2B4047" w:rsidR="00243A6A" w:rsidRPr="007C1077" w:rsidRDefault="00243A6A"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Cardiology</w:t>
            </w:r>
          </w:p>
        </w:tc>
        <w:tc>
          <w:tcPr>
            <w:tcW w:w="2693" w:type="dxa"/>
          </w:tcPr>
          <w:p w14:paraId="555D27C9" w14:textId="7D3EA5D4" w:rsidR="00243A6A" w:rsidRPr="007C1077" w:rsidRDefault="00243A6A"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Number of Tests</w:t>
            </w:r>
          </w:p>
        </w:tc>
        <w:tc>
          <w:tcPr>
            <w:tcW w:w="3402" w:type="dxa"/>
          </w:tcPr>
          <w:p w14:paraId="71CC3C95" w14:textId="473B88A6" w:rsidR="00243A6A" w:rsidRPr="007C1077" w:rsidRDefault="00AF16ED"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CMBS code matched to test</w:t>
            </w:r>
          </w:p>
        </w:tc>
      </w:tr>
      <w:tr w:rsidR="00243A6A" w:rsidRPr="00243A6A" w14:paraId="3108F6CE" w14:textId="77777777" w:rsidTr="00AF16ED">
        <w:tc>
          <w:tcPr>
            <w:tcW w:w="1809" w:type="dxa"/>
          </w:tcPr>
          <w:p w14:paraId="197EA088" w14:textId="224DD802" w:rsidR="00243A6A" w:rsidRPr="007C1077" w:rsidRDefault="00243A6A"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Catherisation Laboratory</w:t>
            </w:r>
          </w:p>
        </w:tc>
        <w:tc>
          <w:tcPr>
            <w:tcW w:w="2693" w:type="dxa"/>
          </w:tcPr>
          <w:p w14:paraId="29E131D0" w14:textId="275E36DC" w:rsidR="00243A6A" w:rsidRPr="007C1077" w:rsidRDefault="00243A6A"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Number of consumables</w:t>
            </w:r>
          </w:p>
        </w:tc>
        <w:tc>
          <w:tcPr>
            <w:tcW w:w="3402" w:type="dxa"/>
          </w:tcPr>
          <w:p w14:paraId="3F40B913" w14:textId="51F61CD3" w:rsidR="00243A6A" w:rsidRPr="007C1077" w:rsidRDefault="00AF16ED"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Actual Charge from in house system</w:t>
            </w:r>
          </w:p>
        </w:tc>
      </w:tr>
      <w:tr w:rsidR="00AF16ED" w:rsidRPr="00243A6A" w14:paraId="1EC48EFD" w14:textId="77777777" w:rsidTr="00AF16ED">
        <w:tc>
          <w:tcPr>
            <w:tcW w:w="1809" w:type="dxa"/>
          </w:tcPr>
          <w:p w14:paraId="3ECCC01F" w14:textId="2541C713" w:rsidR="00AF16ED" w:rsidRPr="007C1077" w:rsidRDefault="00AF16ED"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Catherisation Laboratory</w:t>
            </w:r>
          </w:p>
        </w:tc>
        <w:tc>
          <w:tcPr>
            <w:tcW w:w="2693" w:type="dxa"/>
          </w:tcPr>
          <w:p w14:paraId="4FF3324A" w14:textId="646B4F8A" w:rsidR="00AF16ED" w:rsidRPr="007C1077" w:rsidRDefault="00AF16ED"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Number of prosthesis</w:t>
            </w:r>
          </w:p>
        </w:tc>
        <w:tc>
          <w:tcPr>
            <w:tcW w:w="3402" w:type="dxa"/>
          </w:tcPr>
          <w:p w14:paraId="3FDD103B" w14:textId="21DC5AB9" w:rsidR="00AF16ED" w:rsidRPr="007C1077" w:rsidRDefault="00AF16ED"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Actual Charge from in house system</w:t>
            </w:r>
          </w:p>
        </w:tc>
      </w:tr>
      <w:tr w:rsidR="00AF16ED" w:rsidRPr="00243A6A" w14:paraId="533662AC" w14:textId="77777777" w:rsidTr="00AF16ED">
        <w:tc>
          <w:tcPr>
            <w:tcW w:w="1809" w:type="dxa"/>
          </w:tcPr>
          <w:p w14:paraId="0527FF14" w14:textId="68743587" w:rsidR="00AF16ED" w:rsidRPr="007C1077" w:rsidRDefault="00AF16ED"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Chemotherapy</w:t>
            </w:r>
          </w:p>
        </w:tc>
        <w:tc>
          <w:tcPr>
            <w:tcW w:w="2693" w:type="dxa"/>
          </w:tcPr>
          <w:p w14:paraId="6A716673" w14:textId="03D75520" w:rsidR="00AF16ED" w:rsidRPr="007C1077" w:rsidRDefault="00AF16ED"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Number of drugs dispensed</w:t>
            </w:r>
          </w:p>
        </w:tc>
        <w:tc>
          <w:tcPr>
            <w:tcW w:w="3402" w:type="dxa"/>
          </w:tcPr>
          <w:p w14:paraId="1B742EDC" w14:textId="76BABB93" w:rsidR="00AF16ED" w:rsidRPr="007C1077" w:rsidRDefault="00AF16ED"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Actual Charge from in house system</w:t>
            </w:r>
          </w:p>
        </w:tc>
      </w:tr>
      <w:tr w:rsidR="00243A6A" w:rsidRPr="00243A6A" w14:paraId="7A0D5822" w14:textId="77777777" w:rsidTr="00AF16ED">
        <w:tc>
          <w:tcPr>
            <w:tcW w:w="1809" w:type="dxa"/>
          </w:tcPr>
          <w:p w14:paraId="3E5979D8" w14:textId="6CFB078F" w:rsidR="00243A6A" w:rsidRPr="007C1077" w:rsidRDefault="00243A6A"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Emergency</w:t>
            </w:r>
          </w:p>
        </w:tc>
        <w:tc>
          <w:tcPr>
            <w:tcW w:w="2693" w:type="dxa"/>
          </w:tcPr>
          <w:p w14:paraId="09A42DD6" w14:textId="39D7E242" w:rsidR="00243A6A" w:rsidRPr="007C1077" w:rsidRDefault="00243A6A" w:rsidP="00AF16ED">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 xml:space="preserve">Total Mins by ED Location </w:t>
            </w:r>
            <w:r w:rsidR="007C1077" w:rsidRPr="007C1077">
              <w:rPr>
                <w:rFonts w:asciiTheme="majorHAnsi" w:hAnsiTheme="majorHAnsi" w:cstheme="majorHAnsi"/>
                <w:sz w:val="16"/>
                <w:szCs w:val="16"/>
              </w:rPr>
              <w:t>and</w:t>
            </w:r>
            <w:r w:rsidRPr="007C1077">
              <w:rPr>
                <w:rFonts w:asciiTheme="majorHAnsi" w:hAnsiTheme="majorHAnsi" w:cstheme="majorHAnsi"/>
                <w:sz w:val="16"/>
                <w:szCs w:val="16"/>
              </w:rPr>
              <w:t xml:space="preserve"> Diagnosis</w:t>
            </w:r>
          </w:p>
        </w:tc>
        <w:tc>
          <w:tcPr>
            <w:tcW w:w="3402" w:type="dxa"/>
          </w:tcPr>
          <w:p w14:paraId="7A7F2076" w14:textId="73B76673" w:rsidR="00243A6A" w:rsidRPr="007C1077" w:rsidRDefault="00AF16ED" w:rsidP="00AF16ED">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ED Me</w:t>
            </w:r>
            <w:r w:rsidR="007C1077" w:rsidRPr="007C1077">
              <w:rPr>
                <w:rFonts w:asciiTheme="majorHAnsi" w:hAnsiTheme="majorHAnsi" w:cstheme="majorHAnsi"/>
                <w:sz w:val="16"/>
                <w:szCs w:val="16"/>
              </w:rPr>
              <w:t>dical Weight using ED Location and</w:t>
            </w:r>
            <w:r w:rsidRPr="007C1077">
              <w:rPr>
                <w:rFonts w:asciiTheme="majorHAnsi" w:hAnsiTheme="majorHAnsi" w:cstheme="majorHAnsi"/>
                <w:sz w:val="16"/>
                <w:szCs w:val="16"/>
              </w:rPr>
              <w:t xml:space="preserve"> Diagnosis</w:t>
            </w:r>
          </w:p>
        </w:tc>
      </w:tr>
      <w:tr w:rsidR="00243A6A" w:rsidRPr="00243A6A" w14:paraId="646726B6" w14:textId="77777777" w:rsidTr="00AF16ED">
        <w:tc>
          <w:tcPr>
            <w:tcW w:w="1809" w:type="dxa"/>
          </w:tcPr>
          <w:p w14:paraId="1BE69A51" w14:textId="6444F5F9" w:rsidR="00243A6A" w:rsidRPr="007C1077" w:rsidRDefault="00243A6A"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Emergency</w:t>
            </w:r>
          </w:p>
        </w:tc>
        <w:tc>
          <w:tcPr>
            <w:tcW w:w="2693" w:type="dxa"/>
          </w:tcPr>
          <w:p w14:paraId="78BAC527" w14:textId="3846F014" w:rsidR="00243A6A" w:rsidRPr="007C1077" w:rsidRDefault="00243A6A" w:rsidP="00AF16ED">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 xml:space="preserve">Total Mins by ED Location </w:t>
            </w:r>
            <w:r w:rsidR="007C1077" w:rsidRPr="007C1077">
              <w:rPr>
                <w:rFonts w:asciiTheme="majorHAnsi" w:hAnsiTheme="majorHAnsi" w:cstheme="majorHAnsi"/>
                <w:sz w:val="16"/>
                <w:szCs w:val="16"/>
              </w:rPr>
              <w:t>and</w:t>
            </w:r>
            <w:r w:rsidRPr="007C1077">
              <w:rPr>
                <w:rFonts w:asciiTheme="majorHAnsi" w:hAnsiTheme="majorHAnsi" w:cstheme="majorHAnsi"/>
                <w:sz w:val="16"/>
                <w:szCs w:val="16"/>
              </w:rPr>
              <w:t xml:space="preserve"> Diagnosis</w:t>
            </w:r>
          </w:p>
        </w:tc>
        <w:tc>
          <w:tcPr>
            <w:tcW w:w="3402" w:type="dxa"/>
          </w:tcPr>
          <w:p w14:paraId="302A5E0F" w14:textId="105D8E8E" w:rsidR="00243A6A" w:rsidRPr="007C1077" w:rsidRDefault="00AF16ED"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 xml:space="preserve">ED Medical Weight using ED </w:t>
            </w:r>
            <w:r w:rsidR="007C1077" w:rsidRPr="007C1077">
              <w:rPr>
                <w:rFonts w:asciiTheme="majorHAnsi" w:hAnsiTheme="majorHAnsi" w:cstheme="majorHAnsi"/>
                <w:sz w:val="16"/>
                <w:szCs w:val="16"/>
              </w:rPr>
              <w:t>Location and</w:t>
            </w:r>
            <w:r w:rsidRPr="007C1077">
              <w:rPr>
                <w:rFonts w:asciiTheme="majorHAnsi" w:hAnsiTheme="majorHAnsi" w:cstheme="majorHAnsi"/>
                <w:sz w:val="16"/>
                <w:szCs w:val="16"/>
              </w:rPr>
              <w:t xml:space="preserve"> Diagnosis</w:t>
            </w:r>
          </w:p>
        </w:tc>
      </w:tr>
      <w:tr w:rsidR="00243A6A" w:rsidRPr="00243A6A" w14:paraId="70139446" w14:textId="77777777" w:rsidTr="00AF16ED">
        <w:tc>
          <w:tcPr>
            <w:tcW w:w="1809" w:type="dxa"/>
          </w:tcPr>
          <w:p w14:paraId="2EB22B34" w14:textId="3A2C2FE0" w:rsidR="00243A6A" w:rsidRPr="007C1077" w:rsidRDefault="00243A6A"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ICU</w:t>
            </w:r>
          </w:p>
        </w:tc>
        <w:tc>
          <w:tcPr>
            <w:tcW w:w="2693" w:type="dxa"/>
          </w:tcPr>
          <w:p w14:paraId="043023D0" w14:textId="7C967FBD" w:rsidR="00243A6A" w:rsidRPr="007C1077" w:rsidRDefault="00243A6A"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Minutes</w:t>
            </w:r>
          </w:p>
        </w:tc>
        <w:tc>
          <w:tcPr>
            <w:tcW w:w="3402" w:type="dxa"/>
          </w:tcPr>
          <w:p w14:paraId="45DAA5B3" w14:textId="52676A36" w:rsidR="00243A6A" w:rsidRPr="007C1077" w:rsidRDefault="00AF16ED"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ICU Patient Classification</w:t>
            </w:r>
          </w:p>
        </w:tc>
      </w:tr>
      <w:tr w:rsidR="00243A6A" w:rsidRPr="00243A6A" w14:paraId="0D5256DE" w14:textId="77777777" w:rsidTr="00AF16ED">
        <w:tc>
          <w:tcPr>
            <w:tcW w:w="1809" w:type="dxa"/>
          </w:tcPr>
          <w:p w14:paraId="7F36AF80" w14:textId="2ADB46FC" w:rsidR="00243A6A" w:rsidRPr="007C1077" w:rsidRDefault="00243A6A"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Imaging</w:t>
            </w:r>
          </w:p>
        </w:tc>
        <w:tc>
          <w:tcPr>
            <w:tcW w:w="2693" w:type="dxa"/>
          </w:tcPr>
          <w:p w14:paraId="6FF7BF27" w14:textId="34AF7A5C" w:rsidR="00243A6A" w:rsidRPr="007C1077" w:rsidRDefault="00243A6A"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Number of Tests</w:t>
            </w:r>
          </w:p>
        </w:tc>
        <w:tc>
          <w:tcPr>
            <w:tcW w:w="3402" w:type="dxa"/>
          </w:tcPr>
          <w:p w14:paraId="0E6D2C8A" w14:textId="64627ACC" w:rsidR="00243A6A" w:rsidRPr="007C1077" w:rsidRDefault="00AF16ED"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CMBS code matched to test</w:t>
            </w:r>
          </w:p>
        </w:tc>
      </w:tr>
      <w:tr w:rsidR="00243A6A" w:rsidRPr="00243A6A" w14:paraId="2C69599A" w14:textId="77777777" w:rsidTr="00AF16ED">
        <w:tc>
          <w:tcPr>
            <w:tcW w:w="1809" w:type="dxa"/>
          </w:tcPr>
          <w:p w14:paraId="776FA8D8" w14:textId="609F30F3" w:rsidR="00243A6A" w:rsidRPr="007C1077" w:rsidRDefault="00243A6A"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Interpreters</w:t>
            </w:r>
          </w:p>
        </w:tc>
        <w:tc>
          <w:tcPr>
            <w:tcW w:w="2693" w:type="dxa"/>
          </w:tcPr>
          <w:p w14:paraId="11AD5E95" w14:textId="4AF5E946" w:rsidR="00243A6A" w:rsidRPr="007C1077" w:rsidRDefault="00243A6A"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Service Minutes</w:t>
            </w:r>
          </w:p>
        </w:tc>
        <w:tc>
          <w:tcPr>
            <w:tcW w:w="3402" w:type="dxa"/>
          </w:tcPr>
          <w:p w14:paraId="43123433" w14:textId="310DD481" w:rsidR="00243A6A" w:rsidRPr="007C1077" w:rsidRDefault="00AF16ED"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Actual Charge</w:t>
            </w:r>
          </w:p>
        </w:tc>
      </w:tr>
      <w:tr w:rsidR="00243A6A" w:rsidRPr="00243A6A" w14:paraId="6A323167" w14:textId="77777777" w:rsidTr="00AF16ED">
        <w:tc>
          <w:tcPr>
            <w:tcW w:w="1809" w:type="dxa"/>
          </w:tcPr>
          <w:p w14:paraId="025079FB" w14:textId="229E3188" w:rsidR="00243A6A" w:rsidRPr="007C1077" w:rsidRDefault="00243A6A"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Mental Health</w:t>
            </w:r>
          </w:p>
        </w:tc>
        <w:tc>
          <w:tcPr>
            <w:tcW w:w="2693" w:type="dxa"/>
          </w:tcPr>
          <w:p w14:paraId="64644858" w14:textId="2F1E3D78" w:rsidR="00243A6A" w:rsidRPr="007C1077" w:rsidRDefault="00243A6A"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Service Minutes</w:t>
            </w:r>
          </w:p>
        </w:tc>
        <w:tc>
          <w:tcPr>
            <w:tcW w:w="3402" w:type="dxa"/>
          </w:tcPr>
          <w:p w14:paraId="7638556D" w14:textId="7A9E1E05" w:rsidR="00243A6A" w:rsidRPr="007C1077" w:rsidRDefault="00AF16ED"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Equal Weight of 1</w:t>
            </w:r>
          </w:p>
        </w:tc>
      </w:tr>
      <w:tr w:rsidR="00243A6A" w:rsidRPr="00243A6A" w14:paraId="67103ED4" w14:textId="77777777" w:rsidTr="00AF16ED">
        <w:tc>
          <w:tcPr>
            <w:tcW w:w="1809" w:type="dxa"/>
          </w:tcPr>
          <w:p w14:paraId="044B42E6" w14:textId="47631FF4" w:rsidR="00243A6A" w:rsidRPr="007C1077" w:rsidRDefault="00243A6A"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Mental Health</w:t>
            </w:r>
          </w:p>
        </w:tc>
        <w:tc>
          <w:tcPr>
            <w:tcW w:w="2693" w:type="dxa"/>
          </w:tcPr>
          <w:p w14:paraId="56522A0D" w14:textId="3628E45C" w:rsidR="00243A6A" w:rsidRPr="007C1077" w:rsidRDefault="00243A6A"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Dependency by Shift</w:t>
            </w:r>
          </w:p>
        </w:tc>
        <w:tc>
          <w:tcPr>
            <w:tcW w:w="3402" w:type="dxa"/>
          </w:tcPr>
          <w:p w14:paraId="29240CEA" w14:textId="1EF298C2" w:rsidR="00243A6A" w:rsidRPr="007C1077" w:rsidRDefault="00AF16ED"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Dependency Weight</w:t>
            </w:r>
          </w:p>
        </w:tc>
      </w:tr>
      <w:tr w:rsidR="00243A6A" w:rsidRPr="00243A6A" w14:paraId="2D564DC4" w14:textId="77777777" w:rsidTr="00AF16ED">
        <w:tc>
          <w:tcPr>
            <w:tcW w:w="1809" w:type="dxa"/>
          </w:tcPr>
          <w:p w14:paraId="3F0AF2E9" w14:textId="62F2212E" w:rsidR="00243A6A" w:rsidRPr="007C1077" w:rsidRDefault="00243A6A"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Outpatients</w:t>
            </w:r>
          </w:p>
        </w:tc>
        <w:tc>
          <w:tcPr>
            <w:tcW w:w="2693" w:type="dxa"/>
          </w:tcPr>
          <w:p w14:paraId="2215AD70" w14:textId="59CD6700" w:rsidR="00243A6A" w:rsidRPr="007C1077" w:rsidRDefault="00243A6A"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Minutes</w:t>
            </w:r>
          </w:p>
        </w:tc>
        <w:tc>
          <w:tcPr>
            <w:tcW w:w="3402" w:type="dxa"/>
          </w:tcPr>
          <w:p w14:paraId="34AB5E88" w14:textId="5BDB1661" w:rsidR="00243A6A" w:rsidRPr="007C1077" w:rsidRDefault="00AF16ED"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Clinic Weight for New or Review</w:t>
            </w:r>
          </w:p>
        </w:tc>
      </w:tr>
      <w:tr w:rsidR="00243A6A" w:rsidRPr="00243A6A" w14:paraId="084501D1" w14:textId="77777777" w:rsidTr="00AF16ED">
        <w:tc>
          <w:tcPr>
            <w:tcW w:w="1809" w:type="dxa"/>
          </w:tcPr>
          <w:p w14:paraId="55B44CBA" w14:textId="5A636FB3" w:rsidR="00243A6A" w:rsidRPr="007C1077" w:rsidRDefault="00243A6A"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Pathology</w:t>
            </w:r>
          </w:p>
        </w:tc>
        <w:tc>
          <w:tcPr>
            <w:tcW w:w="2693" w:type="dxa"/>
          </w:tcPr>
          <w:p w14:paraId="00F06F1D" w14:textId="37F55314" w:rsidR="00243A6A" w:rsidRPr="007C1077" w:rsidRDefault="00243A6A"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Number of Tests</w:t>
            </w:r>
          </w:p>
        </w:tc>
        <w:tc>
          <w:tcPr>
            <w:tcW w:w="3402" w:type="dxa"/>
          </w:tcPr>
          <w:p w14:paraId="22E36276" w14:textId="2B24F38B" w:rsidR="00243A6A" w:rsidRPr="007C1077" w:rsidRDefault="00AF16ED"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CMBS code matched to test</w:t>
            </w:r>
          </w:p>
        </w:tc>
      </w:tr>
      <w:tr w:rsidR="00AF16ED" w:rsidRPr="00243A6A" w14:paraId="1186902A" w14:textId="77777777" w:rsidTr="00AF16ED">
        <w:tc>
          <w:tcPr>
            <w:tcW w:w="1809" w:type="dxa"/>
          </w:tcPr>
          <w:p w14:paraId="60179EBA" w14:textId="25593AC9" w:rsidR="00AF16ED" w:rsidRPr="007C1077" w:rsidRDefault="00AF16ED"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Pharmacy</w:t>
            </w:r>
          </w:p>
        </w:tc>
        <w:tc>
          <w:tcPr>
            <w:tcW w:w="2693" w:type="dxa"/>
          </w:tcPr>
          <w:p w14:paraId="05313E5C" w14:textId="45DF59EC" w:rsidR="00AF16ED" w:rsidRPr="007C1077" w:rsidRDefault="00AF16ED"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Number of drugs dispensed</w:t>
            </w:r>
          </w:p>
        </w:tc>
        <w:tc>
          <w:tcPr>
            <w:tcW w:w="3402" w:type="dxa"/>
          </w:tcPr>
          <w:p w14:paraId="4D31FB68" w14:textId="1D913FE1" w:rsidR="00AF16ED" w:rsidRPr="007C1077" w:rsidRDefault="00AF16ED"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Actual Charge from in house system</w:t>
            </w:r>
          </w:p>
        </w:tc>
      </w:tr>
      <w:tr w:rsidR="00AF16ED" w:rsidRPr="00243A6A" w14:paraId="11C86F71" w14:textId="77777777" w:rsidTr="00AF16ED">
        <w:tc>
          <w:tcPr>
            <w:tcW w:w="1809" w:type="dxa"/>
          </w:tcPr>
          <w:p w14:paraId="0D732144" w14:textId="6B30E47E" w:rsidR="00AF16ED" w:rsidRPr="007C1077" w:rsidRDefault="00AF16ED"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Prosthesis</w:t>
            </w:r>
          </w:p>
        </w:tc>
        <w:tc>
          <w:tcPr>
            <w:tcW w:w="2693" w:type="dxa"/>
          </w:tcPr>
          <w:p w14:paraId="14CFD7F7" w14:textId="0DAAB798" w:rsidR="00AF16ED" w:rsidRPr="007C1077" w:rsidRDefault="00AF16ED"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Number of prosthesis implanted</w:t>
            </w:r>
          </w:p>
        </w:tc>
        <w:tc>
          <w:tcPr>
            <w:tcW w:w="3402" w:type="dxa"/>
          </w:tcPr>
          <w:p w14:paraId="049CE34B" w14:textId="34DB7509" w:rsidR="00AF16ED" w:rsidRPr="007C1077" w:rsidRDefault="00AF16ED" w:rsidP="00AF16ED">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Actual price of Prosthesis from in house system</w:t>
            </w:r>
          </w:p>
        </w:tc>
      </w:tr>
      <w:tr w:rsidR="00AF16ED" w:rsidRPr="00243A6A" w14:paraId="7CCB406B" w14:textId="77777777" w:rsidTr="00AF16ED">
        <w:tc>
          <w:tcPr>
            <w:tcW w:w="1809" w:type="dxa"/>
          </w:tcPr>
          <w:p w14:paraId="583159A9" w14:textId="4DBAADCF" w:rsidR="00AF16ED" w:rsidRPr="007C1077" w:rsidRDefault="00AF16ED"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Theatre</w:t>
            </w:r>
          </w:p>
        </w:tc>
        <w:tc>
          <w:tcPr>
            <w:tcW w:w="2693" w:type="dxa"/>
          </w:tcPr>
          <w:p w14:paraId="78498CF2" w14:textId="6951EA14" w:rsidR="00AF16ED" w:rsidRPr="007C1077" w:rsidRDefault="00AF16ED"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Minutes</w:t>
            </w:r>
          </w:p>
        </w:tc>
        <w:tc>
          <w:tcPr>
            <w:tcW w:w="3402" w:type="dxa"/>
          </w:tcPr>
          <w:p w14:paraId="38B116FA" w14:textId="6225A891" w:rsidR="00AF16ED" w:rsidRPr="007C1077" w:rsidRDefault="00AF16ED" w:rsidP="00243A6A">
            <w:pPr>
              <w:numPr>
                <w:ilvl w:val="0"/>
                <w:numId w:val="0"/>
              </w:numPr>
              <w:spacing w:before="0" w:after="0"/>
              <w:rPr>
                <w:rFonts w:asciiTheme="majorHAnsi" w:hAnsiTheme="majorHAnsi" w:cstheme="majorHAnsi"/>
                <w:sz w:val="16"/>
                <w:szCs w:val="16"/>
              </w:rPr>
            </w:pPr>
            <w:r w:rsidRPr="007C1077">
              <w:rPr>
                <w:rFonts w:asciiTheme="majorHAnsi" w:hAnsiTheme="majorHAnsi" w:cstheme="majorHAnsi"/>
                <w:sz w:val="16"/>
                <w:szCs w:val="16"/>
              </w:rPr>
              <w:t>In Hours / After Hours Weighting</w:t>
            </w:r>
          </w:p>
        </w:tc>
      </w:tr>
    </w:tbl>
    <w:p w14:paraId="068B8602" w14:textId="78B93734" w:rsidR="00DB58FF" w:rsidRDefault="00DB58FF" w:rsidP="00554A66">
      <w:r w:rsidRPr="00D45B1A">
        <w:t xml:space="preserve">An example of a price list is the CMBS which lists a set of fees for health service provision and the fee is used to match each pathology intermediate product. This can be used with many pathology services where the extremely high volume (and combinations) of tests can make it impractical to measure or estimate the labour and non-labour contribution to the production of the tests, or combination of tests. </w:t>
      </w:r>
    </w:p>
    <w:p w14:paraId="31A09EFE" w14:textId="7487B5AE" w:rsidR="00DB58FF" w:rsidRDefault="00DB58FF" w:rsidP="00554A66">
      <w:r>
        <w:t xml:space="preserve">The costing practitioner should be aware that build of the intermediate product and the application of the appropriate RVU to that intermediate product should best reflect the setting by which the resource is created and/or applied, </w:t>
      </w:r>
      <w:r w:rsidR="0015774A">
        <w:t>f</w:t>
      </w:r>
      <w:r>
        <w:t>or example:</w:t>
      </w:r>
    </w:p>
    <w:p w14:paraId="7A004CD0" w14:textId="66750B94" w:rsidR="00DB58FF" w:rsidRDefault="00DB58FF" w:rsidP="00554A66">
      <w:r>
        <w:t>Ward based nursing intermediate products based on patient classification (or acuity scores) for patients within that ward with a corresponding patient classification RVU representing the nursing staff workflow for that ward will be representative of that ward setting only</w:t>
      </w:r>
      <w:r w:rsidR="00BD47FF">
        <w:t>.</w:t>
      </w:r>
    </w:p>
    <w:p w14:paraId="788FBFE5" w14:textId="77777777" w:rsidR="00DB58FF" w:rsidRDefault="00DB58FF" w:rsidP="00554A66">
      <w:r>
        <w:t xml:space="preserve">For intermediate products such as pathology tests, imaging tests or drugs dispensed from pharmacy, the intermediate product created and the RVU </w:t>
      </w:r>
      <w:r>
        <w:lastRenderedPageBreak/>
        <w:t xml:space="preserve">assigned to that intermediate product should not discriminate for the classification of that patient (such as acute inpatient wards or outpatient settings). </w:t>
      </w:r>
    </w:p>
    <w:p w14:paraId="3DC1A99B" w14:textId="77777777" w:rsidR="00DB58FF" w:rsidRDefault="00DB58FF" w:rsidP="00554A66">
      <w:r>
        <w:t xml:space="preserve">The effort to generate </w:t>
      </w:r>
      <w:r w:rsidR="004E363C">
        <w:t>these intermediate products</w:t>
      </w:r>
      <w:r>
        <w:t xml:space="preserve"> is the same irrespective of setting. For example, a full blood evaluation pathology test consumed by the patient will have the same relative cost irrespective of where the patient has consumed it (for example, as either an inpatient on an acute ward or as an outpatient), as the effort to create the test relative to other pathology tests sits within pathology (and not where the patient resides or is classified).</w:t>
      </w:r>
    </w:p>
    <w:p w14:paraId="49946B10" w14:textId="77777777" w:rsidR="00DB58FF" w:rsidRPr="00D45B1A" w:rsidRDefault="00DB58FF" w:rsidP="00554A66">
      <w:r w:rsidRPr="00D45B1A">
        <w:t>Costing practitioners should ensure that stakeholder service managers sign off on the application of the RVU for the allocation of intermediate product costs.</w:t>
      </w:r>
    </w:p>
    <w:p w14:paraId="5DDC10CA" w14:textId="334A093A" w:rsidR="00C5643B" w:rsidRPr="00C5643B" w:rsidRDefault="00DB58FF" w:rsidP="00554A66">
      <w:r w:rsidRPr="00C5643B">
        <w:t xml:space="preserve">Costing practitioners should review their approach to RVUs with their relevant </w:t>
      </w:r>
      <w:r w:rsidR="0014706B">
        <w:t>staff members</w:t>
      </w:r>
      <w:r w:rsidR="0014706B" w:rsidRPr="00C5643B">
        <w:t xml:space="preserve"> </w:t>
      </w:r>
      <w:r w:rsidRPr="00C5643B">
        <w:t>as per their costing cycle or on an annual basis for relevance and quality control.</w:t>
      </w:r>
      <w:bookmarkStart w:id="91" w:name="_Ref478650902"/>
      <w:bookmarkStart w:id="92" w:name="_Ref478652716"/>
      <w:bookmarkStart w:id="93" w:name="_Ref480492902"/>
      <w:bookmarkStart w:id="94" w:name="_Toc480492964"/>
      <w:r w:rsidR="00C5643B" w:rsidRPr="00C5643B">
        <w:br w:type="page"/>
      </w:r>
    </w:p>
    <w:p w14:paraId="7B006338" w14:textId="7F5A37BC" w:rsidR="00C5643B" w:rsidRPr="002F34F9" w:rsidRDefault="00C5643B" w:rsidP="004B0F3D">
      <w:pPr>
        <w:pStyle w:val="Heading2"/>
      </w:pPr>
      <w:bookmarkStart w:id="95" w:name="_Toc80348287"/>
      <w:r w:rsidRPr="002F34F9">
        <w:lastRenderedPageBreak/>
        <w:t xml:space="preserve">Order </w:t>
      </w:r>
      <w:r w:rsidR="00161CDB">
        <w:t>R</w:t>
      </w:r>
      <w:r w:rsidRPr="002F34F9">
        <w:t xml:space="preserve">equest </w:t>
      </w:r>
      <w:r w:rsidR="00161CDB">
        <w:t>P</w:t>
      </w:r>
      <w:r w:rsidRPr="002F34F9">
        <w:t>oint</w:t>
      </w:r>
      <w:bookmarkEnd w:id="95"/>
    </w:p>
    <w:p w14:paraId="58EB5759" w14:textId="77777777" w:rsidR="00C5643B" w:rsidRPr="00D45B1A" w:rsidRDefault="00C5643B" w:rsidP="00554A66">
      <w:pPr>
        <w:pStyle w:val="Heading3"/>
      </w:pPr>
      <w:r w:rsidRPr="00D45B1A">
        <w:t>Scope</w:t>
      </w:r>
    </w:p>
    <w:p w14:paraId="5782E2D9" w14:textId="44AECCA8" w:rsidR="00C5643B" w:rsidRPr="00D45B1A" w:rsidRDefault="00C5643B" w:rsidP="00554A66">
      <w:r w:rsidRPr="00D45B1A">
        <w:t xml:space="preserve">This </w:t>
      </w:r>
      <w:r w:rsidR="00F604EA">
        <w:t>B</w:t>
      </w:r>
      <w:r w:rsidR="001701AB">
        <w:t xml:space="preserve">usiness </w:t>
      </w:r>
      <w:r w:rsidR="00F604EA">
        <w:t>R</w:t>
      </w:r>
      <w:r w:rsidR="001701AB">
        <w:t>ule</w:t>
      </w:r>
      <w:r w:rsidRPr="00D45B1A">
        <w:t xml:space="preserve"> provides a</w:t>
      </w:r>
      <w:r w:rsidR="00BB52D3">
        <w:t xml:space="preserve"> costing</w:t>
      </w:r>
      <w:r w:rsidRPr="00D45B1A">
        <w:t xml:space="preserve"> guideline to ensure that all expenses accumulated in final cost centres are matched to products.</w:t>
      </w:r>
    </w:p>
    <w:p w14:paraId="53457FCA" w14:textId="4BCACA87" w:rsidR="00C5643B" w:rsidRPr="00D45B1A" w:rsidRDefault="00C5643B" w:rsidP="00554A66">
      <w:r w:rsidRPr="00D45B1A">
        <w:t xml:space="preserve">This </w:t>
      </w:r>
      <w:r w:rsidR="001701AB">
        <w:t>rule</w:t>
      </w:r>
      <w:r w:rsidRPr="00D45B1A">
        <w:t xml:space="preserve"> provides examples for identifying the order request point as a matching method for intermediate products or services. </w:t>
      </w:r>
    </w:p>
    <w:p w14:paraId="2C4443DF" w14:textId="77777777" w:rsidR="00C5643B" w:rsidRPr="00D45B1A" w:rsidRDefault="00C5643B" w:rsidP="00554A66">
      <w:pPr>
        <w:pStyle w:val="Heading3"/>
      </w:pPr>
      <w:r w:rsidRPr="00D45B1A">
        <w:t>Objective</w:t>
      </w:r>
    </w:p>
    <w:p w14:paraId="51EC9388" w14:textId="4DE4A07B" w:rsidR="00C5643B" w:rsidRPr="00D45B1A" w:rsidRDefault="00C5643B" w:rsidP="00554A66">
      <w:r w:rsidRPr="00D45B1A">
        <w:t xml:space="preserve">The objective of this </w:t>
      </w:r>
      <w:r w:rsidR="001701AB">
        <w:t>rule</w:t>
      </w:r>
      <w:r w:rsidRPr="00D45B1A">
        <w:t xml:space="preserve"> is to ensure that all intermediate products contributing to an organisation’s day to day production are appropriately matched in patient costing to final products to determine the full cost of production of that product. </w:t>
      </w:r>
    </w:p>
    <w:p w14:paraId="7BE4BA38" w14:textId="56ED60A7" w:rsidR="00C5643B" w:rsidRPr="00D45B1A" w:rsidRDefault="001701AB" w:rsidP="00554A66">
      <w:pPr>
        <w:pStyle w:val="Heading3"/>
      </w:pPr>
      <w:r>
        <w:t xml:space="preserve">Business </w:t>
      </w:r>
      <w:r w:rsidR="00F604EA">
        <w:t>R</w:t>
      </w:r>
      <w:r>
        <w:t>ule</w:t>
      </w:r>
    </w:p>
    <w:p w14:paraId="10C8F32D" w14:textId="77777777" w:rsidR="00C5643B" w:rsidRPr="00D45B1A" w:rsidRDefault="00C5643B" w:rsidP="00554A66">
      <w:r w:rsidRPr="00D45B1A">
        <w:t>The following examples describe how to identify the order request point. Identifying the order request point is contingent on the source data systems available in the hospital.</w:t>
      </w:r>
    </w:p>
    <w:p w14:paraId="0825D081" w14:textId="20FAE17F" w:rsidR="00C5643B" w:rsidRPr="00D45B1A" w:rsidRDefault="00C5643B" w:rsidP="00554A66">
      <w:r w:rsidRPr="00D45B1A">
        <w:t xml:space="preserve">Costing practitioners should </w:t>
      </w:r>
      <w:r w:rsidR="007C1077">
        <w:t>(where relevant) examine their electronic medical r</w:t>
      </w:r>
      <w:r w:rsidRPr="00D45B1A">
        <w:t>ecord (EMR). In some EMR’s the intermediate products will be listed and detail provided on where the product was ordered. This enables a direct match of intermediate products or services to patient encounters and final products. In these cases, the order request point will be known with a high degree of certainty.</w:t>
      </w:r>
    </w:p>
    <w:p w14:paraId="2DBC9F75" w14:textId="77777777" w:rsidR="00C5643B" w:rsidRPr="00D45B1A" w:rsidRDefault="00C5643B" w:rsidP="00554A66">
      <w:r w:rsidRPr="00D45B1A">
        <w:t>Where hospitals have disparate feeder and patient administration systems, costing practitioners should assess if source system feeder files include a field or fields that identify the order request point of the patient encounter (for example, wards, outpatients, emergency departments). Where this is the case, these fields can be used by the costing system to match to the correct patient service event.</w:t>
      </w:r>
    </w:p>
    <w:p w14:paraId="383E26FE" w14:textId="0B2017F7" w:rsidR="00C5643B" w:rsidRPr="00D45B1A" w:rsidRDefault="00C5643B" w:rsidP="00554A66">
      <w:r w:rsidRPr="00D45B1A">
        <w:t>Costing practitioners should assess if feeder systems include patient encounter</w:t>
      </w:r>
      <w:r w:rsidR="007C1077">
        <w:t xml:space="preserve"> or </w:t>
      </w:r>
      <w:r w:rsidRPr="00D45B1A">
        <w:t>episode numbers. These can be used to directly match to the patient episode numbers from the patient administration system. The patient administration system data will need to identify episodes by their episode type (</w:t>
      </w:r>
      <w:r w:rsidR="00D215F6">
        <w:t>that is</w:t>
      </w:r>
      <w:r w:rsidRPr="00D45B1A">
        <w:t>, admitted, non-admitted, emergency). Where episode numbers can be matched between the feeder system and the patient administration system, these matches should be used to identify the order request point.</w:t>
      </w:r>
    </w:p>
    <w:p w14:paraId="436AAFCC" w14:textId="7764858B" w:rsidR="00C5643B" w:rsidRPr="00D45B1A" w:rsidRDefault="00C5643B" w:rsidP="00554A66">
      <w:r w:rsidRPr="00D45B1A">
        <w:t>Where feeder systems do not include patient encounter numbers that match to the patient administration system, or include fields that map to patient service events, costing practition</w:t>
      </w:r>
      <w:r w:rsidR="00897037">
        <w:t xml:space="preserve">ers should seek to use the date and </w:t>
      </w:r>
      <w:r w:rsidRPr="00D45B1A">
        <w:t>time stamp from the source feeder file to identify th</w:t>
      </w:r>
      <w:r w:rsidR="00897037">
        <w:t xml:space="preserve">e order request point. The date and </w:t>
      </w:r>
      <w:r w:rsidRPr="00D45B1A">
        <w:t>time of the intermediate product or serv</w:t>
      </w:r>
      <w:r w:rsidR="00897037">
        <w:t xml:space="preserve">ice should fall within the date and </w:t>
      </w:r>
      <w:r w:rsidRPr="00D45B1A">
        <w:t>time range of the patient service event.</w:t>
      </w:r>
    </w:p>
    <w:p w14:paraId="6EE6F08F" w14:textId="77777777" w:rsidR="0097769A" w:rsidRPr="009D5892" w:rsidRDefault="0097769A" w:rsidP="00554A66">
      <w:pPr>
        <w:rPr>
          <w:szCs w:val="44"/>
          <w:lang w:eastAsia="ja-JP"/>
        </w:rPr>
      </w:pPr>
      <w:r w:rsidRPr="009D5892">
        <w:rPr>
          <w:lang w:eastAsia="ja-JP"/>
        </w:rPr>
        <w:br w:type="page"/>
      </w:r>
    </w:p>
    <w:p w14:paraId="2CA79AC8" w14:textId="3B7F1D91" w:rsidR="009D5892" w:rsidRDefault="001701AB" w:rsidP="00D760F4">
      <w:pPr>
        <w:pStyle w:val="Heading1"/>
        <w:spacing w:after="480"/>
        <w:rPr>
          <w:lang w:eastAsia="ja-JP"/>
        </w:rPr>
      </w:pPr>
      <w:bookmarkStart w:id="96" w:name="_Toc80348288"/>
      <w:r>
        <w:rPr>
          <w:lang w:eastAsia="ja-JP"/>
        </w:rPr>
        <w:lastRenderedPageBreak/>
        <w:t xml:space="preserve">Review and </w:t>
      </w:r>
      <w:r w:rsidR="00161CDB">
        <w:rPr>
          <w:lang w:eastAsia="ja-JP"/>
        </w:rPr>
        <w:t>R</w:t>
      </w:r>
      <w:r>
        <w:rPr>
          <w:lang w:eastAsia="ja-JP"/>
        </w:rPr>
        <w:t>econcile</w:t>
      </w:r>
      <w:bookmarkEnd w:id="96"/>
      <w:r w:rsidR="009D5892" w:rsidRPr="002F34F9">
        <w:rPr>
          <w:lang w:eastAsia="ja-JP"/>
        </w:rPr>
        <w:t xml:space="preserve"> </w:t>
      </w:r>
    </w:p>
    <w:p w14:paraId="76BEA7EC" w14:textId="77777777" w:rsidR="00594979" w:rsidRPr="007C1077" w:rsidRDefault="00594979" w:rsidP="00594979">
      <w:pPr>
        <w:pStyle w:val="Intro"/>
        <w:rPr>
          <w:rStyle w:val="LineNumber"/>
          <w:color w:val="auto"/>
        </w:rPr>
      </w:pPr>
      <w:r w:rsidRPr="007C1077">
        <w:rPr>
          <w:rStyle w:val="LineNumber"/>
          <w:color w:val="auto"/>
        </w:rPr>
        <w:t>A process of review is necessary to support and validate reported costs. Reconciliation of financial and non-financial information to source systems also helps to avoid errors and instil integrity and transparency in the results.</w:t>
      </w:r>
    </w:p>
    <w:p w14:paraId="04F0A729" w14:textId="77777777" w:rsidR="00CB7371" w:rsidRPr="00215955" w:rsidRDefault="00CB7371" w:rsidP="00CB7371">
      <w:pPr>
        <w:numPr>
          <w:ilvl w:val="0"/>
          <w:numId w:val="0"/>
        </w:numPr>
        <w:rPr>
          <w:rFonts w:eastAsia="Calibri"/>
          <w:b/>
        </w:rPr>
      </w:pPr>
      <w:r w:rsidRPr="00215955">
        <w:rPr>
          <w:rFonts w:eastAsia="Calibri"/>
          <w:b/>
        </w:rPr>
        <w:t>Application</w:t>
      </w:r>
    </w:p>
    <w:p w14:paraId="2EDB8E83" w14:textId="169E10EE" w:rsidR="00DB13AE" w:rsidRDefault="00DB13AE" w:rsidP="00DB13AE">
      <w:pPr>
        <w:numPr>
          <w:ilvl w:val="0"/>
          <w:numId w:val="0"/>
        </w:numPr>
        <w:rPr>
          <w:rFonts w:eastAsia="Calibri"/>
        </w:rPr>
      </w:pPr>
      <w:r>
        <w:rPr>
          <w:rFonts w:eastAsia="Calibri"/>
        </w:rPr>
        <w:t xml:space="preserve">These </w:t>
      </w:r>
      <w:r w:rsidR="001701AB">
        <w:rPr>
          <w:rFonts w:eastAsia="Calibri"/>
        </w:rPr>
        <w:t xml:space="preserve">Business </w:t>
      </w:r>
      <w:r w:rsidR="00EA3C32">
        <w:rPr>
          <w:rFonts w:eastAsia="Calibri"/>
        </w:rPr>
        <w:t>R</w:t>
      </w:r>
      <w:r w:rsidR="001701AB">
        <w:rPr>
          <w:rFonts w:eastAsia="Calibri"/>
        </w:rPr>
        <w:t>ules</w:t>
      </w:r>
      <w:r>
        <w:rPr>
          <w:rFonts w:eastAsia="Calibri"/>
        </w:rPr>
        <w:t xml:space="preserve"> </w:t>
      </w:r>
      <w:r w:rsidRPr="00215955">
        <w:rPr>
          <w:rFonts w:eastAsia="Calibri"/>
        </w:rPr>
        <w:t xml:space="preserve">shall be read in conjunction with the Standards </w:t>
      </w:r>
      <w:r>
        <w:rPr>
          <w:rFonts w:eastAsia="Calibri"/>
        </w:rPr>
        <w:t>associated with the following stages:</w:t>
      </w:r>
    </w:p>
    <w:p w14:paraId="45A5BC59" w14:textId="0F0AAFE3" w:rsidR="0007493D" w:rsidRDefault="0007493D" w:rsidP="0007493D">
      <w:pPr>
        <w:numPr>
          <w:ilvl w:val="0"/>
          <w:numId w:val="0"/>
        </w:numPr>
        <w:rPr>
          <w:rFonts w:eastAsia="Calibri"/>
        </w:rPr>
      </w:pPr>
      <w:r>
        <w:rPr>
          <w:rFonts w:eastAsia="Calibri"/>
        </w:rPr>
        <w:fldChar w:fldCharType="begin"/>
      </w:r>
      <w:r>
        <w:rPr>
          <w:rFonts w:eastAsia="Calibri"/>
        </w:rPr>
        <w:instrText xml:space="preserve"> REF _Ref498530776 \w \h </w:instrText>
      </w:r>
      <w:r>
        <w:rPr>
          <w:rFonts w:eastAsia="Calibri"/>
        </w:rPr>
      </w:r>
      <w:r>
        <w:rPr>
          <w:rFonts w:eastAsia="Calibri"/>
        </w:rPr>
        <w:fldChar w:fldCharType="separate"/>
      </w:r>
      <w:r w:rsidR="00EA6A78">
        <w:rPr>
          <w:rFonts w:eastAsia="Calibri"/>
        </w:rPr>
        <w:t>Stage 2</w:t>
      </w:r>
      <w:r>
        <w:rPr>
          <w:rFonts w:eastAsia="Calibri"/>
        </w:rPr>
        <w:fldChar w:fldCharType="end"/>
      </w:r>
      <w:r>
        <w:rPr>
          <w:rFonts w:eastAsia="Calibri"/>
        </w:rPr>
        <w:t xml:space="preserve">: </w:t>
      </w:r>
      <w:r>
        <w:rPr>
          <w:rFonts w:eastAsia="Calibri"/>
        </w:rPr>
        <w:fldChar w:fldCharType="begin"/>
      </w:r>
      <w:r>
        <w:rPr>
          <w:rFonts w:eastAsia="Calibri"/>
        </w:rPr>
        <w:instrText xml:space="preserve"> REF _Ref498530776 \h </w:instrText>
      </w:r>
      <w:r>
        <w:rPr>
          <w:rFonts w:eastAsia="Calibri"/>
        </w:rPr>
      </w:r>
      <w:r>
        <w:rPr>
          <w:rFonts w:eastAsia="Calibri"/>
        </w:rPr>
        <w:fldChar w:fldCharType="separate"/>
      </w:r>
      <w:r w:rsidR="00EA6A78">
        <w:rPr>
          <w:rFonts w:eastAsia="Calibri"/>
        </w:rPr>
        <w:t xml:space="preserve">Create the </w:t>
      </w:r>
      <w:r w:rsidR="00161CDB">
        <w:rPr>
          <w:rFonts w:eastAsia="Calibri"/>
        </w:rPr>
        <w:t>C</w:t>
      </w:r>
      <w:r w:rsidR="00EA6A78">
        <w:rPr>
          <w:rFonts w:eastAsia="Calibri"/>
        </w:rPr>
        <w:t xml:space="preserve">ost </w:t>
      </w:r>
      <w:r w:rsidR="00161CDB">
        <w:rPr>
          <w:rFonts w:eastAsia="Calibri"/>
        </w:rPr>
        <w:t>L</w:t>
      </w:r>
      <w:r w:rsidR="00EA6A78">
        <w:rPr>
          <w:rFonts w:eastAsia="Calibri"/>
        </w:rPr>
        <w:t>edger</w:t>
      </w:r>
      <w:r>
        <w:rPr>
          <w:rFonts w:eastAsia="Calibri"/>
        </w:rPr>
        <w:fldChar w:fldCharType="end"/>
      </w:r>
    </w:p>
    <w:p w14:paraId="02377834" w14:textId="1B999416" w:rsidR="0007493D" w:rsidRDefault="0007493D" w:rsidP="0007493D">
      <w:pPr>
        <w:numPr>
          <w:ilvl w:val="0"/>
          <w:numId w:val="0"/>
        </w:numPr>
        <w:rPr>
          <w:rFonts w:eastAsia="Calibri"/>
        </w:rPr>
      </w:pPr>
      <w:r>
        <w:rPr>
          <w:rFonts w:eastAsia="Calibri"/>
        </w:rPr>
        <w:fldChar w:fldCharType="begin"/>
      </w:r>
      <w:r>
        <w:rPr>
          <w:rFonts w:eastAsia="Calibri"/>
        </w:rPr>
        <w:instrText xml:space="preserve"> REF _Ref498530780 \w \h </w:instrText>
      </w:r>
      <w:r>
        <w:rPr>
          <w:rFonts w:eastAsia="Calibri"/>
        </w:rPr>
      </w:r>
      <w:r>
        <w:rPr>
          <w:rFonts w:eastAsia="Calibri"/>
        </w:rPr>
        <w:fldChar w:fldCharType="separate"/>
      </w:r>
      <w:r w:rsidR="00EA6A78">
        <w:rPr>
          <w:rFonts w:eastAsia="Calibri"/>
        </w:rPr>
        <w:t>Stage 6</w:t>
      </w:r>
      <w:r>
        <w:rPr>
          <w:rFonts w:eastAsia="Calibri"/>
        </w:rPr>
        <w:fldChar w:fldCharType="end"/>
      </w:r>
      <w:r>
        <w:rPr>
          <w:rFonts w:eastAsia="Calibri"/>
        </w:rPr>
        <w:t xml:space="preserve">: </w:t>
      </w:r>
      <w:r>
        <w:rPr>
          <w:rFonts w:eastAsia="Calibri"/>
        </w:rPr>
        <w:fldChar w:fldCharType="begin"/>
      </w:r>
      <w:r>
        <w:rPr>
          <w:rFonts w:eastAsia="Calibri"/>
        </w:rPr>
        <w:instrText xml:space="preserve"> REF _Ref498530780 \h </w:instrText>
      </w:r>
      <w:r>
        <w:rPr>
          <w:rFonts w:eastAsia="Calibri"/>
        </w:rPr>
      </w:r>
      <w:r>
        <w:rPr>
          <w:rFonts w:eastAsia="Calibri"/>
        </w:rPr>
        <w:fldChar w:fldCharType="separate"/>
      </w:r>
      <w:r w:rsidR="00EA6A78">
        <w:rPr>
          <w:rFonts w:eastAsia="Calibri"/>
        </w:rPr>
        <w:t xml:space="preserve">Review and </w:t>
      </w:r>
      <w:r w:rsidR="00161CDB">
        <w:rPr>
          <w:rFonts w:eastAsia="Calibri"/>
        </w:rPr>
        <w:t>R</w:t>
      </w:r>
      <w:r w:rsidR="00EA6A78">
        <w:rPr>
          <w:rFonts w:eastAsia="Calibri"/>
        </w:rPr>
        <w:t>econcile</w:t>
      </w:r>
      <w:r>
        <w:rPr>
          <w:rFonts w:eastAsia="Calibri"/>
        </w:rPr>
        <w:fldChar w:fldCharType="end"/>
      </w:r>
      <w:r w:rsidR="007C1077">
        <w:rPr>
          <w:rFonts w:eastAsia="Calibri"/>
        </w:rPr>
        <w:t>.</w:t>
      </w:r>
    </w:p>
    <w:p w14:paraId="65F3DDA2" w14:textId="77777777" w:rsidR="00CB7371" w:rsidRPr="00215955" w:rsidRDefault="00CB7371" w:rsidP="00CB7371">
      <w:pPr>
        <w:numPr>
          <w:ilvl w:val="0"/>
          <w:numId w:val="0"/>
        </w:numPr>
        <w:rPr>
          <w:rFonts w:eastAsia="Calibri"/>
          <w:b/>
        </w:rPr>
      </w:pPr>
      <w:r w:rsidRPr="00215955">
        <w:rPr>
          <w:rFonts w:eastAsia="Calibri"/>
          <w:b/>
        </w:rPr>
        <w:t>List of referenced documents</w:t>
      </w:r>
    </w:p>
    <w:p w14:paraId="0941F6F4" w14:textId="4AB1316E" w:rsidR="009D5892" w:rsidRDefault="00A04467" w:rsidP="00F64050">
      <w:pPr>
        <w:numPr>
          <w:ilvl w:val="0"/>
          <w:numId w:val="0"/>
        </w:numPr>
      </w:pPr>
      <w:r w:rsidRPr="00A04467">
        <w:rPr>
          <w:rFonts w:eastAsia="Calibri"/>
        </w:rPr>
        <w:t>There are no documents referred to in this stage.</w:t>
      </w:r>
    </w:p>
    <w:p w14:paraId="42ABA603" w14:textId="77777777" w:rsidR="009D5892" w:rsidRDefault="009D5892" w:rsidP="00554A66">
      <w:pPr>
        <w:rPr>
          <w:rFonts w:asciiTheme="majorHAnsi" w:hAnsiTheme="majorHAnsi"/>
          <w:sz w:val="28"/>
          <w:szCs w:val="44"/>
        </w:rPr>
      </w:pPr>
      <w:r>
        <w:br w:type="page"/>
      </w:r>
    </w:p>
    <w:p w14:paraId="4E0CA3D8" w14:textId="2E3D2D79" w:rsidR="004B0F3D" w:rsidRDefault="001701AB" w:rsidP="00631701">
      <w:pPr>
        <w:pStyle w:val="Heading2"/>
        <w:numPr>
          <w:ilvl w:val="1"/>
          <w:numId w:val="12"/>
        </w:numPr>
        <w:spacing w:after="240"/>
        <w:contextualSpacing w:val="0"/>
      </w:pPr>
      <w:bookmarkStart w:id="97" w:name="_Toc80348289"/>
      <w:r>
        <w:lastRenderedPageBreak/>
        <w:t xml:space="preserve">Review and </w:t>
      </w:r>
      <w:r w:rsidR="00161CDB">
        <w:t>R</w:t>
      </w:r>
      <w:r>
        <w:t>econcile</w:t>
      </w:r>
      <w:bookmarkEnd w:id="97"/>
    </w:p>
    <w:p w14:paraId="55F67EBE" w14:textId="7C064FEC" w:rsidR="00DB58FF" w:rsidRPr="009D5892" w:rsidRDefault="00DB58FF" w:rsidP="004B0F3D">
      <w:pPr>
        <w:pStyle w:val="Heading2"/>
      </w:pPr>
      <w:bookmarkStart w:id="98" w:name="_Toc80348290"/>
      <w:r w:rsidRPr="009D5892">
        <w:t xml:space="preserve">Negative </w:t>
      </w:r>
      <w:r w:rsidR="00161CDB">
        <w:t>C</w:t>
      </w:r>
      <w:r w:rsidRPr="009D5892">
        <w:t>ost</w:t>
      </w:r>
      <w:bookmarkEnd w:id="91"/>
      <w:bookmarkEnd w:id="92"/>
      <w:bookmarkEnd w:id="93"/>
      <w:bookmarkEnd w:id="94"/>
      <w:bookmarkEnd w:id="98"/>
    </w:p>
    <w:p w14:paraId="6C6920BA" w14:textId="77777777" w:rsidR="00DB58FF" w:rsidRPr="00D45B1A" w:rsidRDefault="00DB58FF" w:rsidP="00554A66">
      <w:pPr>
        <w:pStyle w:val="Heading3"/>
      </w:pPr>
      <w:r w:rsidRPr="00D45B1A">
        <w:t>Scope</w:t>
      </w:r>
    </w:p>
    <w:p w14:paraId="18197A61" w14:textId="268872E1" w:rsidR="00DB58FF" w:rsidRPr="00D45B1A" w:rsidRDefault="00DB58FF" w:rsidP="00554A66">
      <w:pPr>
        <w:rPr>
          <w:lang w:eastAsia="ja-JP"/>
        </w:rPr>
      </w:pPr>
      <w:r w:rsidRPr="00D45B1A">
        <w:rPr>
          <w:lang w:eastAsia="ja-JP"/>
        </w:rPr>
        <w:t xml:space="preserve">This </w:t>
      </w:r>
      <w:r w:rsidR="00897037">
        <w:rPr>
          <w:lang w:eastAsia="ja-JP"/>
        </w:rPr>
        <w:t>Business R</w:t>
      </w:r>
      <w:r w:rsidR="001701AB">
        <w:rPr>
          <w:lang w:eastAsia="ja-JP"/>
        </w:rPr>
        <w:t>ule</w:t>
      </w:r>
      <w:r w:rsidRPr="00D45B1A">
        <w:rPr>
          <w:lang w:eastAsia="ja-JP"/>
        </w:rPr>
        <w:t xml:space="preserve"> gives</w:t>
      </w:r>
      <w:r w:rsidR="00BB52D3">
        <w:rPr>
          <w:lang w:eastAsia="ja-JP"/>
        </w:rPr>
        <w:t xml:space="preserve"> costing</w:t>
      </w:r>
      <w:r w:rsidRPr="00D45B1A">
        <w:rPr>
          <w:lang w:eastAsia="ja-JP"/>
        </w:rPr>
        <w:t xml:space="preserve"> guidelines for identifying negative allocations to a cost object that is important for decision-making.</w:t>
      </w:r>
    </w:p>
    <w:p w14:paraId="2478A9FD" w14:textId="48C502F1" w:rsidR="00DB58FF" w:rsidRPr="00D45B1A" w:rsidRDefault="00DB58FF" w:rsidP="00554A66">
      <w:pPr>
        <w:rPr>
          <w:lang w:eastAsia="ja-JP"/>
        </w:rPr>
      </w:pPr>
      <w:r w:rsidRPr="00D45B1A">
        <w:rPr>
          <w:lang w:eastAsia="ja-JP"/>
        </w:rPr>
        <w:t xml:space="preserve">This </w:t>
      </w:r>
      <w:r w:rsidR="00897037">
        <w:rPr>
          <w:lang w:eastAsia="ja-JP"/>
        </w:rPr>
        <w:t>Business R</w:t>
      </w:r>
      <w:r w:rsidR="001701AB">
        <w:rPr>
          <w:lang w:eastAsia="ja-JP"/>
        </w:rPr>
        <w:t>ule</w:t>
      </w:r>
      <w:r w:rsidRPr="00D45B1A">
        <w:rPr>
          <w:lang w:eastAsia="ja-JP"/>
        </w:rPr>
        <w:t xml:space="preserve"> provides a</w:t>
      </w:r>
      <w:r w:rsidR="00BB52D3">
        <w:rPr>
          <w:lang w:eastAsia="ja-JP"/>
        </w:rPr>
        <w:t xml:space="preserve"> costing</w:t>
      </w:r>
      <w:r w:rsidRPr="00D45B1A">
        <w:rPr>
          <w:lang w:eastAsia="ja-JP"/>
        </w:rPr>
        <w:t xml:space="preserve"> guideline to address where negative expenses are allocated to products as negative costs. </w:t>
      </w:r>
    </w:p>
    <w:p w14:paraId="441E2514" w14:textId="77777777" w:rsidR="00DB58FF" w:rsidRPr="00D45B1A" w:rsidRDefault="00DB58FF" w:rsidP="00554A66">
      <w:pPr>
        <w:pStyle w:val="Heading3"/>
      </w:pPr>
      <w:r w:rsidRPr="00D45B1A">
        <w:t>Objective</w:t>
      </w:r>
    </w:p>
    <w:p w14:paraId="538145C2" w14:textId="5D0ACED0" w:rsidR="00DB58FF" w:rsidRPr="00D45B1A" w:rsidRDefault="00DB58FF" w:rsidP="00554A66">
      <w:r w:rsidRPr="00D45B1A">
        <w:t xml:space="preserve">To identify expenses that may relate to production, which occurred outside of the costing period and do not affect the period’s production </w:t>
      </w:r>
      <w:r w:rsidR="00702703" w:rsidRPr="00D45B1A">
        <w:t>cost but</w:t>
      </w:r>
      <w:r w:rsidRPr="00D45B1A">
        <w:t xml:space="preserve"> are reported in the current period.</w:t>
      </w:r>
    </w:p>
    <w:p w14:paraId="215E06FC" w14:textId="77777777" w:rsidR="00DB58FF" w:rsidRPr="00D45B1A" w:rsidRDefault="00DB58FF" w:rsidP="00554A66">
      <w:r w:rsidRPr="00D45B1A">
        <w:t>To ensure that where negative expenses have occurred within the period that they have been correctly offset and assigned to the corresponding final cost centre.</w:t>
      </w:r>
    </w:p>
    <w:p w14:paraId="2F3EAD6A" w14:textId="5A95455A" w:rsidR="00DB58FF" w:rsidRPr="00D45B1A" w:rsidRDefault="001701AB" w:rsidP="00554A66">
      <w:pPr>
        <w:pStyle w:val="Heading3"/>
      </w:pPr>
      <w:r>
        <w:t>Business rule</w:t>
      </w:r>
    </w:p>
    <w:p w14:paraId="128F9A5F" w14:textId="3BACCB76" w:rsidR="00DB58FF" w:rsidRPr="00D45B1A" w:rsidRDefault="00DB58FF" w:rsidP="00554A66">
      <w:r w:rsidRPr="00D45B1A">
        <w:t xml:space="preserve">Negative costs may prevent the costing practitioner from being able to comply with the </w:t>
      </w:r>
      <w:r w:rsidR="001701AB">
        <w:t>rules</w:t>
      </w:r>
      <w:r w:rsidRPr="00D45B1A">
        <w:t xml:space="preserve"> for submission of data (such as</w:t>
      </w:r>
      <w:r w:rsidR="007C1077">
        <w:t>,</w:t>
      </w:r>
      <w:r w:rsidRPr="00D45B1A">
        <w:t xml:space="preserve"> the annual cost data return), as cost collections deem that cost objects or final product costs cannot be negative.</w:t>
      </w:r>
    </w:p>
    <w:p w14:paraId="2A21E057" w14:textId="77777777" w:rsidR="00DB58FF" w:rsidRPr="00D45B1A" w:rsidRDefault="00DB58FF" w:rsidP="00554A66">
      <w:r w:rsidRPr="00D45B1A">
        <w:t>Negative costs are generally seen as an error in the costing process as it is generally accepted that there cannot be negative costs in the cost of production.</w:t>
      </w:r>
    </w:p>
    <w:p w14:paraId="70A83B6D" w14:textId="7BAC62C5" w:rsidR="00DB58FF" w:rsidRPr="00D45B1A" w:rsidRDefault="00CB6A8E" w:rsidP="00554A66">
      <w:r>
        <w:t>Some examples of common scenarios</w:t>
      </w:r>
      <w:r w:rsidR="00DB58FF" w:rsidRPr="00D45B1A">
        <w:t xml:space="preserve"> that are responsible for the appearance of negative costs in a costed output file:</w:t>
      </w:r>
    </w:p>
    <w:p w14:paraId="47645FB5" w14:textId="5B97A7A2" w:rsidR="007C1077" w:rsidRDefault="007C1077" w:rsidP="007C1077">
      <w:pPr>
        <w:pStyle w:val="ListBullet"/>
        <w:tabs>
          <w:tab w:val="clear" w:pos="360"/>
          <w:tab w:val="num" w:pos="2194"/>
        </w:tabs>
        <w:ind w:left="2194"/>
      </w:pPr>
      <w:r w:rsidRPr="00D45B1A">
        <w:t>internal or external transfers of staff may result in negative staff expense</w:t>
      </w:r>
      <w:r>
        <w:t>s in some cost departments</w:t>
      </w:r>
    </w:p>
    <w:p w14:paraId="00FCABEE" w14:textId="2327C2AE" w:rsidR="00DB58FF" w:rsidRPr="00D45B1A" w:rsidRDefault="00DB58FF" w:rsidP="003F3BEC">
      <w:pPr>
        <w:pStyle w:val="ListBullet"/>
        <w:tabs>
          <w:tab w:val="clear" w:pos="360"/>
          <w:tab w:val="num" w:pos="2194"/>
        </w:tabs>
        <w:ind w:left="2194"/>
      </w:pPr>
      <w:r w:rsidRPr="00D45B1A">
        <w:t>the sum of expenses for a particular line item in a cost centre may be negative. For example, a cost centre where the sum of all on</w:t>
      </w:r>
      <w:r w:rsidR="003F1910">
        <w:noBreakHyphen/>
      </w:r>
      <w:r w:rsidRPr="00D45B1A">
        <w:t>costs is negative due to a large amount of accrued annual leave</w:t>
      </w:r>
    </w:p>
    <w:p w14:paraId="0C3AF702" w14:textId="1F56240B" w:rsidR="00DB58FF" w:rsidRPr="00D45B1A" w:rsidRDefault="00DB58FF" w:rsidP="003F3BEC">
      <w:pPr>
        <w:pStyle w:val="ListBullet"/>
        <w:tabs>
          <w:tab w:val="clear" w:pos="360"/>
          <w:tab w:val="num" w:pos="2194"/>
        </w:tabs>
        <w:ind w:left="2194"/>
      </w:pPr>
      <w:r w:rsidRPr="00D45B1A">
        <w:t>there may be negative values associated with resources consumed by patients</w:t>
      </w:r>
      <w:r w:rsidR="00532EF8">
        <w:t xml:space="preserve"> (note: this </w:t>
      </w:r>
      <w:r w:rsidR="00CB6A8E">
        <w:t xml:space="preserve">may be </w:t>
      </w:r>
      <w:r w:rsidR="00532EF8">
        <w:t>an error)</w:t>
      </w:r>
      <w:r w:rsidRPr="00D45B1A">
        <w:t>.</w:t>
      </w:r>
    </w:p>
    <w:p w14:paraId="4D22ADB7" w14:textId="1149B516" w:rsidR="00DB58FF" w:rsidRPr="00D45B1A" w:rsidRDefault="00DB58FF" w:rsidP="00554A66">
      <w:r w:rsidRPr="00D45B1A">
        <w:t xml:space="preserve">Costing practitioners should </w:t>
      </w:r>
      <w:r w:rsidR="00E14E2E">
        <w:t xml:space="preserve">try to </w:t>
      </w:r>
      <w:r w:rsidRPr="00D45B1A">
        <w:t xml:space="preserve">identify the cause of </w:t>
      </w:r>
      <w:r w:rsidR="00E14E2E">
        <w:t xml:space="preserve">all </w:t>
      </w:r>
      <w:r w:rsidRPr="00D45B1A">
        <w:t>negative expense</w:t>
      </w:r>
      <w:r w:rsidR="00090663">
        <w:t xml:space="preserve"> component</w:t>
      </w:r>
      <w:r w:rsidR="00E87DF0">
        <w:t>s</w:t>
      </w:r>
      <w:r w:rsidR="00090663">
        <w:t xml:space="preserve"> of the cost ledger</w:t>
      </w:r>
      <w:r w:rsidRPr="00D45B1A">
        <w:t>.</w:t>
      </w:r>
      <w:r w:rsidR="009D5C24">
        <w:t xml:space="preserve"> </w:t>
      </w:r>
      <w:r w:rsidR="009D5C24" w:rsidRPr="009D5C24">
        <w:t>The components refer to expense items within a line item of a final cost centre.</w:t>
      </w:r>
      <w:r w:rsidRPr="00D45B1A">
        <w:t xml:space="preserve"> As the organisation’s general ledger is the primary source of expense information, negative expenses are most commonly identified by sorting the general ledger by the amount of expense by direct cost centre. </w:t>
      </w:r>
    </w:p>
    <w:p w14:paraId="466F22D7" w14:textId="30C4C1DF" w:rsidR="00DB58FF" w:rsidRPr="00D45B1A" w:rsidRDefault="00DB58FF" w:rsidP="00554A66">
      <w:r w:rsidRPr="00D45B1A">
        <w:t>Costing practitioners should also undertake preliminary data quality checks on their feeder system files. This can be achieved by sorting feeder system files (for example, pharmacy) by the fields associated with the cost calculation process (for example, quantity</w:t>
      </w:r>
      <w:r w:rsidR="00EA3C32">
        <w:t xml:space="preserve"> and</w:t>
      </w:r>
      <w:r w:rsidRPr="00D45B1A">
        <w:t xml:space="preserve"> price). This process can identify data issues such as negative values that are resulting in negative costs at cost object and product level.</w:t>
      </w:r>
    </w:p>
    <w:p w14:paraId="30987862" w14:textId="77777777" w:rsidR="00DB58FF" w:rsidRPr="00D45B1A" w:rsidRDefault="00DB58FF" w:rsidP="00554A66">
      <w:r w:rsidRPr="00D45B1A">
        <w:lastRenderedPageBreak/>
        <w:t>Alternatively, costing practitioners can address negative costs by completing a full cost allocation process to identify cost objects and activity and final products that have resulted in negative costs.</w:t>
      </w:r>
    </w:p>
    <w:p w14:paraId="644F1F1E" w14:textId="3EDCF831" w:rsidR="00DB58FF" w:rsidRPr="00D45B1A" w:rsidRDefault="00DB58FF" w:rsidP="00554A66">
      <w:r w:rsidRPr="00D45B1A">
        <w:t xml:space="preserve">Costing practitioners are advised to engage the </w:t>
      </w:r>
      <w:r w:rsidR="00BD47FF">
        <w:t>f</w:t>
      </w:r>
      <w:r w:rsidR="00BD47FF" w:rsidRPr="00D45B1A">
        <w:t xml:space="preserve">inance </w:t>
      </w:r>
      <w:r w:rsidR="00BD47FF">
        <w:t>d</w:t>
      </w:r>
      <w:r w:rsidR="00BD47FF" w:rsidRPr="00D45B1A">
        <w:t xml:space="preserve">epartment </w:t>
      </w:r>
      <w:r w:rsidRPr="00D45B1A">
        <w:t xml:space="preserve">to understand the nature of the negative expense and how it should be treated. </w:t>
      </w:r>
      <w:r w:rsidR="00702703">
        <w:t>N</w:t>
      </w:r>
      <w:r w:rsidR="00702703" w:rsidRPr="00D45B1A">
        <w:t>egative costs</w:t>
      </w:r>
      <w:r w:rsidRPr="00D45B1A">
        <w:t xml:space="preserve"> may be a legitimate facet of the accrual accounting process such as the accrual of annual leave liabilities. Where the sum of expenses for individual line items within cost centres is negative (for example, on</w:t>
      </w:r>
      <w:r w:rsidR="003F1910">
        <w:noBreakHyphen/>
      </w:r>
      <w:r w:rsidRPr="00D45B1A">
        <w:t xml:space="preserve">costs), the costing practitioner should discuss this issue with their </w:t>
      </w:r>
      <w:r w:rsidR="00BD47FF">
        <w:t>f</w:t>
      </w:r>
      <w:r w:rsidR="00BD47FF" w:rsidRPr="00D45B1A">
        <w:t xml:space="preserve">inance </w:t>
      </w:r>
      <w:r w:rsidRPr="00D45B1A">
        <w:t>stakeholder to obtain their advice on how and where to offset these expenses in the costing system for overhead or final cost centres.</w:t>
      </w:r>
    </w:p>
    <w:p w14:paraId="4A69A1BB" w14:textId="77777777" w:rsidR="00DB58FF" w:rsidRPr="00D45B1A" w:rsidRDefault="00DB58FF" w:rsidP="00554A66">
      <w:r w:rsidRPr="00D45B1A">
        <w:t xml:space="preserve">Where unusual values are found in feeder files that result in negatively costed outputs, these should be identified and discussed with the manager of the feeder system data. Ideally, the source feeder system manager should make any required changes to the feeder file, and resubmit the file cleansed of errors, to the costing practitioner. </w:t>
      </w:r>
    </w:p>
    <w:p w14:paraId="516E68FC" w14:textId="77777777" w:rsidR="00DB58FF" w:rsidRPr="00D45B1A" w:rsidRDefault="00DB58FF" w:rsidP="00554A66">
      <w:r w:rsidRPr="00D45B1A">
        <w:t>If this approach will cause unreasonable delays, the costing practitioner should seek the approval of the source feeder system manager before making any necessary changes to the file for costing purposes.</w:t>
      </w:r>
    </w:p>
    <w:p w14:paraId="13BE7486" w14:textId="3A3DE003" w:rsidR="00354B7E" w:rsidRPr="00DB0B85" w:rsidRDefault="00DB58FF" w:rsidP="00554A66">
      <w:r w:rsidRPr="00DB0B85">
        <w:t xml:space="preserve">Costing practitioners should ensure that any offsets are specified as per Standard </w:t>
      </w:r>
      <w:r w:rsidR="0018399B" w:rsidRPr="00DB0B85">
        <w:t>6.2</w:t>
      </w:r>
      <w:r w:rsidRPr="00DB0B85">
        <w:t xml:space="preserve"> Reconciliation to Source Data.</w:t>
      </w:r>
    </w:p>
    <w:p w14:paraId="0C88FE84" w14:textId="77777777" w:rsidR="00354B7E" w:rsidRDefault="00354B7E">
      <w:pPr>
        <w:spacing w:before="0" w:after="0" w:line="240" w:lineRule="auto"/>
        <w:rPr>
          <w:highlight w:val="yellow"/>
        </w:rPr>
      </w:pPr>
      <w:r>
        <w:rPr>
          <w:highlight w:val="yellow"/>
        </w:rPr>
        <w:br w:type="page"/>
      </w:r>
    </w:p>
    <w:p w14:paraId="7E98CC84" w14:textId="4F3E3F64" w:rsidR="00F031AC" w:rsidRDefault="00F031AC" w:rsidP="00F031AC">
      <w:pPr>
        <w:pStyle w:val="Heading1"/>
        <w:numPr>
          <w:ilvl w:val="0"/>
          <w:numId w:val="0"/>
        </w:numPr>
      </w:pPr>
      <w:bookmarkStart w:id="99" w:name="_Toc80348291"/>
      <w:r>
        <w:lastRenderedPageBreak/>
        <w:t>Glossary</w:t>
      </w:r>
      <w:bookmarkEnd w:id="99"/>
    </w:p>
    <w:tbl>
      <w:tblPr>
        <w:tblW w:w="9654" w:type="dxa"/>
        <w:tblInd w:w="93" w:type="dxa"/>
        <w:tblLook w:val="04A0" w:firstRow="1" w:lastRow="0" w:firstColumn="1" w:lastColumn="0" w:noHBand="0" w:noVBand="1"/>
      </w:tblPr>
      <w:tblGrid>
        <w:gridCol w:w="2709"/>
        <w:gridCol w:w="6945"/>
      </w:tblGrid>
      <w:tr w:rsidR="006411BA" w:rsidRPr="006411BA" w14:paraId="53FB0EF0" w14:textId="77777777" w:rsidTr="0064124E">
        <w:trPr>
          <w:trHeight w:val="397"/>
          <w:tblHeader/>
        </w:trPr>
        <w:tc>
          <w:tcPr>
            <w:tcW w:w="2709" w:type="dxa"/>
            <w:tcBorders>
              <w:top w:val="single" w:sz="8" w:space="0" w:color="000000"/>
              <w:left w:val="nil"/>
              <w:bottom w:val="single" w:sz="8" w:space="0" w:color="000000"/>
              <w:right w:val="nil"/>
            </w:tcBorders>
            <w:shd w:val="clear" w:color="auto" w:fill="auto"/>
            <w:hideMark/>
          </w:tcPr>
          <w:p w14:paraId="55AA9905" w14:textId="77777777"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Term</w:t>
            </w:r>
          </w:p>
        </w:tc>
        <w:tc>
          <w:tcPr>
            <w:tcW w:w="6945" w:type="dxa"/>
            <w:tcBorders>
              <w:top w:val="single" w:sz="8" w:space="0" w:color="000000"/>
              <w:left w:val="nil"/>
              <w:bottom w:val="single" w:sz="8" w:space="0" w:color="000000"/>
              <w:right w:val="nil"/>
            </w:tcBorders>
            <w:shd w:val="clear" w:color="auto" w:fill="auto"/>
            <w:hideMark/>
          </w:tcPr>
          <w:p w14:paraId="0CBD448A" w14:textId="77777777"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Description</w:t>
            </w:r>
          </w:p>
        </w:tc>
      </w:tr>
      <w:tr w:rsidR="006411BA" w:rsidRPr="006411BA" w14:paraId="1D02A59A" w14:textId="77777777" w:rsidTr="0064124E">
        <w:trPr>
          <w:trHeight w:val="397"/>
        </w:trPr>
        <w:tc>
          <w:tcPr>
            <w:tcW w:w="2709" w:type="dxa"/>
            <w:tcBorders>
              <w:top w:val="nil"/>
              <w:left w:val="nil"/>
              <w:bottom w:val="nil"/>
              <w:right w:val="nil"/>
            </w:tcBorders>
            <w:shd w:val="clear" w:color="auto" w:fill="auto"/>
            <w:hideMark/>
          </w:tcPr>
          <w:p w14:paraId="6178FEDA" w14:textId="6CC3972D"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 xml:space="preserve">Account </w:t>
            </w:r>
            <w:r w:rsidR="00DC1841">
              <w:rPr>
                <w:rFonts w:cs="Arial"/>
                <w:b/>
                <w:bCs/>
                <w:color w:val="000000"/>
                <w:sz w:val="20"/>
                <w:szCs w:val="20"/>
              </w:rPr>
              <w:t>c</w:t>
            </w:r>
            <w:r w:rsidRPr="006411BA">
              <w:rPr>
                <w:rFonts w:cs="Arial"/>
                <w:b/>
                <w:bCs/>
                <w:color w:val="000000"/>
                <w:sz w:val="20"/>
                <w:szCs w:val="20"/>
              </w:rPr>
              <w:t>ode</w:t>
            </w:r>
          </w:p>
        </w:tc>
        <w:tc>
          <w:tcPr>
            <w:tcW w:w="6945" w:type="dxa"/>
            <w:tcBorders>
              <w:top w:val="nil"/>
              <w:left w:val="nil"/>
              <w:bottom w:val="nil"/>
              <w:right w:val="nil"/>
            </w:tcBorders>
            <w:shd w:val="clear" w:color="auto" w:fill="auto"/>
            <w:hideMark/>
          </w:tcPr>
          <w:p w14:paraId="79D5E016" w14:textId="5D79AF0B" w:rsidR="006411BA" w:rsidRPr="006411BA" w:rsidRDefault="007C1077" w:rsidP="00F13D07">
            <w:pPr>
              <w:numPr>
                <w:ilvl w:val="0"/>
                <w:numId w:val="0"/>
              </w:numPr>
              <w:spacing w:before="0" w:after="160" w:line="240" w:lineRule="auto"/>
              <w:rPr>
                <w:rFonts w:cs="Arial"/>
                <w:color w:val="000000"/>
                <w:sz w:val="20"/>
                <w:szCs w:val="20"/>
              </w:rPr>
            </w:pPr>
            <w:r>
              <w:rPr>
                <w:rFonts w:cs="Arial"/>
                <w:color w:val="000000"/>
                <w:sz w:val="20"/>
                <w:szCs w:val="20"/>
              </w:rPr>
              <w:t>Account c</w:t>
            </w:r>
            <w:r w:rsidR="006411BA" w:rsidRPr="006411BA">
              <w:rPr>
                <w:rFonts w:cs="Arial"/>
                <w:color w:val="000000"/>
                <w:sz w:val="20"/>
                <w:szCs w:val="20"/>
              </w:rPr>
              <w:t>ode is a unique record for each type of asset, liability, equity, revenue and expense.</w:t>
            </w:r>
          </w:p>
        </w:tc>
      </w:tr>
      <w:tr w:rsidR="006411BA" w:rsidRPr="006411BA" w14:paraId="0F0280A1" w14:textId="77777777" w:rsidTr="0064124E">
        <w:trPr>
          <w:trHeight w:val="397"/>
        </w:trPr>
        <w:tc>
          <w:tcPr>
            <w:tcW w:w="2709" w:type="dxa"/>
            <w:tcBorders>
              <w:top w:val="nil"/>
              <w:left w:val="nil"/>
              <w:bottom w:val="nil"/>
              <w:right w:val="nil"/>
            </w:tcBorders>
            <w:shd w:val="clear" w:color="auto" w:fill="auto"/>
            <w:hideMark/>
          </w:tcPr>
          <w:p w14:paraId="0997D74C" w14:textId="77777777"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Admitted patient products</w:t>
            </w:r>
          </w:p>
        </w:tc>
        <w:tc>
          <w:tcPr>
            <w:tcW w:w="6945" w:type="dxa"/>
            <w:tcBorders>
              <w:top w:val="nil"/>
              <w:left w:val="nil"/>
              <w:bottom w:val="nil"/>
              <w:right w:val="nil"/>
            </w:tcBorders>
            <w:shd w:val="clear" w:color="auto" w:fill="auto"/>
            <w:hideMark/>
          </w:tcPr>
          <w:p w14:paraId="212B23A0" w14:textId="63439865" w:rsidR="006411BA" w:rsidRPr="006411BA" w:rsidRDefault="006411BA" w:rsidP="007C1077">
            <w:pPr>
              <w:numPr>
                <w:ilvl w:val="0"/>
                <w:numId w:val="0"/>
              </w:numPr>
              <w:spacing w:before="0" w:after="160" w:line="240" w:lineRule="auto"/>
              <w:rPr>
                <w:rFonts w:cs="Arial"/>
                <w:color w:val="000000"/>
                <w:sz w:val="20"/>
                <w:szCs w:val="20"/>
              </w:rPr>
            </w:pPr>
            <w:r w:rsidRPr="006411BA">
              <w:rPr>
                <w:rFonts w:cs="Arial"/>
                <w:color w:val="000000"/>
                <w:sz w:val="20"/>
                <w:szCs w:val="20"/>
              </w:rPr>
              <w:t>Admitted patient products are the services provided to patients who undergo an admission process, where the process of admission is defined in (METeOR ID: 327206);</w:t>
            </w:r>
          </w:p>
        </w:tc>
      </w:tr>
      <w:tr w:rsidR="006411BA" w:rsidRPr="006411BA" w14:paraId="743CAE84" w14:textId="77777777" w:rsidTr="0064124E">
        <w:trPr>
          <w:trHeight w:val="397"/>
        </w:trPr>
        <w:tc>
          <w:tcPr>
            <w:tcW w:w="2709" w:type="dxa"/>
            <w:tcBorders>
              <w:top w:val="nil"/>
              <w:left w:val="nil"/>
              <w:bottom w:val="nil"/>
              <w:right w:val="nil"/>
            </w:tcBorders>
            <w:shd w:val="clear" w:color="auto" w:fill="auto"/>
            <w:hideMark/>
          </w:tcPr>
          <w:p w14:paraId="6E0D493F" w14:textId="268B8E2A"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 xml:space="preserve">Allocation </w:t>
            </w:r>
            <w:r w:rsidR="00DC1841">
              <w:rPr>
                <w:rFonts w:cs="Arial"/>
                <w:b/>
                <w:bCs/>
                <w:color w:val="000000"/>
                <w:sz w:val="20"/>
                <w:szCs w:val="20"/>
              </w:rPr>
              <w:t>m</w:t>
            </w:r>
            <w:r w:rsidRPr="006411BA">
              <w:rPr>
                <w:rFonts w:cs="Arial"/>
                <w:b/>
                <w:bCs/>
                <w:color w:val="000000"/>
                <w:sz w:val="20"/>
                <w:szCs w:val="20"/>
              </w:rPr>
              <w:t>ethodology</w:t>
            </w:r>
          </w:p>
        </w:tc>
        <w:tc>
          <w:tcPr>
            <w:tcW w:w="6945" w:type="dxa"/>
            <w:tcBorders>
              <w:top w:val="nil"/>
              <w:left w:val="nil"/>
              <w:bottom w:val="nil"/>
              <w:right w:val="nil"/>
            </w:tcBorders>
            <w:shd w:val="clear" w:color="auto" w:fill="auto"/>
            <w:hideMark/>
          </w:tcPr>
          <w:p w14:paraId="0EBFEEE6" w14:textId="77777777"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Allocation methodology is the process selected to allocate the identified cost to the cost objects.</w:t>
            </w:r>
          </w:p>
        </w:tc>
      </w:tr>
      <w:tr w:rsidR="006411BA" w:rsidRPr="006411BA" w14:paraId="646B0541" w14:textId="77777777" w:rsidTr="0064124E">
        <w:trPr>
          <w:trHeight w:val="397"/>
        </w:trPr>
        <w:tc>
          <w:tcPr>
            <w:tcW w:w="2709" w:type="dxa"/>
            <w:vMerge w:val="restart"/>
            <w:tcBorders>
              <w:top w:val="nil"/>
              <w:left w:val="nil"/>
              <w:bottom w:val="nil"/>
              <w:right w:val="nil"/>
            </w:tcBorders>
            <w:shd w:val="clear" w:color="auto" w:fill="auto"/>
            <w:hideMark/>
          </w:tcPr>
          <w:p w14:paraId="56FFEA4C" w14:textId="52D99BA0"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 xml:space="preserve">Allocation </w:t>
            </w:r>
            <w:r w:rsidR="00DC1841">
              <w:rPr>
                <w:rFonts w:cs="Arial"/>
                <w:b/>
                <w:bCs/>
                <w:color w:val="000000"/>
                <w:sz w:val="20"/>
                <w:szCs w:val="20"/>
              </w:rPr>
              <w:t>s</w:t>
            </w:r>
            <w:r w:rsidRPr="006411BA">
              <w:rPr>
                <w:rFonts w:cs="Arial"/>
                <w:b/>
                <w:bCs/>
                <w:color w:val="000000"/>
                <w:sz w:val="20"/>
                <w:szCs w:val="20"/>
              </w:rPr>
              <w:t>tatistics</w:t>
            </w:r>
          </w:p>
        </w:tc>
        <w:tc>
          <w:tcPr>
            <w:tcW w:w="6945" w:type="dxa"/>
            <w:tcBorders>
              <w:top w:val="nil"/>
              <w:left w:val="nil"/>
              <w:bottom w:val="nil"/>
              <w:right w:val="nil"/>
            </w:tcBorders>
            <w:shd w:val="clear" w:color="auto" w:fill="auto"/>
            <w:hideMark/>
          </w:tcPr>
          <w:p w14:paraId="32CC587A" w14:textId="77777777"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Types of cost allocation bases that use financial or non-financial data to allocate costs aggregated in an overhead cost centre to relevant production cost centres.</w:t>
            </w:r>
          </w:p>
        </w:tc>
      </w:tr>
      <w:tr w:rsidR="006411BA" w:rsidRPr="006411BA" w14:paraId="5C545DD4" w14:textId="77777777" w:rsidTr="0064124E">
        <w:trPr>
          <w:trHeight w:val="397"/>
        </w:trPr>
        <w:tc>
          <w:tcPr>
            <w:tcW w:w="2709" w:type="dxa"/>
            <w:vMerge/>
            <w:tcBorders>
              <w:top w:val="nil"/>
              <w:left w:val="nil"/>
              <w:bottom w:val="nil"/>
              <w:right w:val="nil"/>
            </w:tcBorders>
            <w:vAlign w:val="center"/>
            <w:hideMark/>
          </w:tcPr>
          <w:p w14:paraId="78B56CA5"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6315F492" w14:textId="5F2D79FC"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These values measure the relat</w:t>
            </w:r>
            <w:r w:rsidR="007C1077">
              <w:rPr>
                <w:rFonts w:cs="Arial"/>
                <w:color w:val="000000"/>
                <w:sz w:val="20"/>
                <w:szCs w:val="20"/>
              </w:rPr>
              <w:t xml:space="preserve">ive consumption of products </w:t>
            </w:r>
            <w:r w:rsidRPr="006411BA">
              <w:rPr>
                <w:rFonts w:cs="Arial"/>
                <w:color w:val="000000"/>
                <w:sz w:val="20"/>
                <w:szCs w:val="20"/>
              </w:rPr>
              <w:t xml:space="preserve">or services produced by those organisational units that are not directly involved in patient care. </w:t>
            </w:r>
          </w:p>
        </w:tc>
      </w:tr>
      <w:tr w:rsidR="006411BA" w:rsidRPr="006411BA" w14:paraId="1F397B29" w14:textId="77777777" w:rsidTr="0064124E">
        <w:trPr>
          <w:trHeight w:val="397"/>
        </w:trPr>
        <w:tc>
          <w:tcPr>
            <w:tcW w:w="2709" w:type="dxa"/>
            <w:tcBorders>
              <w:top w:val="nil"/>
              <w:left w:val="nil"/>
              <w:bottom w:val="nil"/>
              <w:right w:val="nil"/>
            </w:tcBorders>
            <w:shd w:val="clear" w:color="auto" w:fill="auto"/>
            <w:hideMark/>
          </w:tcPr>
          <w:p w14:paraId="2BA07139" w14:textId="01343613"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 xml:space="preserve">Ambulance </w:t>
            </w:r>
            <w:r w:rsidR="00DC1841">
              <w:rPr>
                <w:rFonts w:cs="Arial"/>
                <w:b/>
                <w:bCs/>
                <w:color w:val="000000"/>
                <w:sz w:val="20"/>
                <w:szCs w:val="20"/>
              </w:rPr>
              <w:t>s</w:t>
            </w:r>
            <w:r w:rsidRPr="006411BA">
              <w:rPr>
                <w:rFonts w:cs="Arial"/>
                <w:b/>
                <w:bCs/>
                <w:color w:val="000000"/>
                <w:sz w:val="20"/>
                <w:szCs w:val="20"/>
              </w:rPr>
              <w:t>ervices</w:t>
            </w:r>
          </w:p>
        </w:tc>
        <w:tc>
          <w:tcPr>
            <w:tcW w:w="6945" w:type="dxa"/>
            <w:tcBorders>
              <w:top w:val="nil"/>
              <w:left w:val="nil"/>
              <w:bottom w:val="nil"/>
              <w:right w:val="nil"/>
            </w:tcBorders>
            <w:shd w:val="clear" w:color="auto" w:fill="auto"/>
            <w:hideMark/>
          </w:tcPr>
          <w:p w14:paraId="45245E11" w14:textId="36F6BF81" w:rsidR="006411BA" w:rsidRPr="006411BA" w:rsidRDefault="007C1077" w:rsidP="00F13D07">
            <w:pPr>
              <w:numPr>
                <w:ilvl w:val="0"/>
                <w:numId w:val="0"/>
              </w:numPr>
              <w:spacing w:before="0" w:after="160" w:line="240" w:lineRule="auto"/>
              <w:rPr>
                <w:rFonts w:cs="Arial"/>
                <w:color w:val="000000"/>
                <w:sz w:val="20"/>
                <w:szCs w:val="20"/>
              </w:rPr>
            </w:pPr>
            <w:r>
              <w:rPr>
                <w:rFonts w:cs="Arial"/>
                <w:color w:val="000000"/>
                <w:sz w:val="20"/>
                <w:szCs w:val="20"/>
              </w:rPr>
              <w:t>Ambulance s</w:t>
            </w:r>
            <w:r w:rsidR="006411BA" w:rsidRPr="006411BA">
              <w:rPr>
                <w:rFonts w:cs="Arial"/>
                <w:color w:val="000000"/>
                <w:sz w:val="20"/>
                <w:szCs w:val="20"/>
              </w:rPr>
              <w:t>ervices refer to organisations primarily engaged in providing transportation of patients by ground or air, along with health (or medical) care. These services are often provided during a medical emergency but are not restricted to emergencies. The vehicles are equipped with lifesaving equipment and are operated by medically trained personnel. It includes organisations providing public ambulance services or flying doctor services such as Royal Flying Doctor Service and Care Flight, and support programs to assist isolated patients with travel to obtain specialised health care.</w:t>
            </w:r>
          </w:p>
        </w:tc>
      </w:tr>
      <w:tr w:rsidR="006411BA" w:rsidRPr="006411BA" w14:paraId="18E99A0F" w14:textId="77777777" w:rsidTr="0064124E">
        <w:trPr>
          <w:trHeight w:val="397"/>
        </w:trPr>
        <w:tc>
          <w:tcPr>
            <w:tcW w:w="2709" w:type="dxa"/>
            <w:tcBorders>
              <w:top w:val="nil"/>
              <w:left w:val="nil"/>
              <w:bottom w:val="nil"/>
              <w:right w:val="nil"/>
            </w:tcBorders>
            <w:shd w:val="clear" w:color="auto" w:fill="auto"/>
            <w:hideMark/>
          </w:tcPr>
          <w:p w14:paraId="7B368438" w14:textId="0700D5EE"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 xml:space="preserve">Asset </w:t>
            </w:r>
            <w:r w:rsidR="00DC1841">
              <w:rPr>
                <w:rFonts w:cs="Arial"/>
                <w:b/>
                <w:bCs/>
                <w:color w:val="000000"/>
                <w:sz w:val="20"/>
                <w:szCs w:val="20"/>
              </w:rPr>
              <w:t>r</w:t>
            </w:r>
            <w:r w:rsidR="00DC1841" w:rsidRPr="006411BA">
              <w:rPr>
                <w:rFonts w:cs="Arial"/>
                <w:b/>
                <w:bCs/>
                <w:color w:val="000000"/>
                <w:sz w:val="20"/>
                <w:szCs w:val="20"/>
              </w:rPr>
              <w:t xml:space="preserve">ecognition </w:t>
            </w:r>
            <w:r w:rsidR="00DC1841">
              <w:rPr>
                <w:rFonts w:cs="Arial"/>
                <w:b/>
                <w:bCs/>
                <w:color w:val="000000"/>
                <w:sz w:val="20"/>
                <w:szCs w:val="20"/>
              </w:rPr>
              <w:t>t</w:t>
            </w:r>
            <w:r w:rsidRPr="006411BA">
              <w:rPr>
                <w:rFonts w:cs="Arial"/>
                <w:b/>
                <w:bCs/>
                <w:color w:val="000000"/>
                <w:sz w:val="20"/>
                <w:szCs w:val="20"/>
              </w:rPr>
              <w:t>hreshold</w:t>
            </w:r>
          </w:p>
        </w:tc>
        <w:tc>
          <w:tcPr>
            <w:tcW w:w="6945" w:type="dxa"/>
            <w:tcBorders>
              <w:top w:val="nil"/>
              <w:left w:val="nil"/>
              <w:bottom w:val="nil"/>
              <w:right w:val="nil"/>
            </w:tcBorders>
            <w:shd w:val="clear" w:color="auto" w:fill="auto"/>
            <w:hideMark/>
          </w:tcPr>
          <w:p w14:paraId="757B5E9D" w14:textId="2818FDF4" w:rsidR="006411BA" w:rsidRPr="006411BA" w:rsidRDefault="007C1077" w:rsidP="00F13D07">
            <w:pPr>
              <w:numPr>
                <w:ilvl w:val="0"/>
                <w:numId w:val="0"/>
              </w:numPr>
              <w:spacing w:before="0" w:after="160" w:line="240" w:lineRule="auto"/>
              <w:rPr>
                <w:rFonts w:cs="Arial"/>
                <w:color w:val="000000"/>
                <w:sz w:val="20"/>
                <w:szCs w:val="20"/>
              </w:rPr>
            </w:pPr>
            <w:r>
              <w:rPr>
                <w:rFonts w:cs="Arial"/>
                <w:color w:val="000000"/>
                <w:sz w:val="20"/>
                <w:szCs w:val="20"/>
              </w:rPr>
              <w:t>Asset recognition t</w:t>
            </w:r>
            <w:r w:rsidR="006411BA" w:rsidRPr="006411BA">
              <w:rPr>
                <w:rFonts w:cs="Arial"/>
                <w:color w:val="000000"/>
                <w:sz w:val="20"/>
                <w:szCs w:val="20"/>
              </w:rPr>
              <w:t>hreshold is the amount selected as appropriate for recognising assets, taking into consideration materiality and practicalities of maintaining the asset on an asset register. Amounts below this threshold are expensed at the time of purchase, those above must be capitalised.</w:t>
            </w:r>
          </w:p>
        </w:tc>
      </w:tr>
      <w:tr w:rsidR="006411BA" w:rsidRPr="006411BA" w14:paraId="29527BC7" w14:textId="77777777" w:rsidTr="0064124E">
        <w:trPr>
          <w:trHeight w:val="397"/>
        </w:trPr>
        <w:tc>
          <w:tcPr>
            <w:tcW w:w="2709" w:type="dxa"/>
            <w:tcBorders>
              <w:top w:val="nil"/>
              <w:left w:val="nil"/>
              <w:bottom w:val="nil"/>
              <w:right w:val="nil"/>
            </w:tcBorders>
            <w:shd w:val="clear" w:color="auto" w:fill="auto"/>
            <w:hideMark/>
          </w:tcPr>
          <w:p w14:paraId="54C7F003" w14:textId="36ED78C7"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 xml:space="preserve">Australian </w:t>
            </w:r>
            <w:r w:rsidR="00DC1841">
              <w:rPr>
                <w:rFonts w:cs="Arial"/>
                <w:b/>
                <w:bCs/>
                <w:color w:val="000000"/>
                <w:sz w:val="20"/>
                <w:szCs w:val="20"/>
              </w:rPr>
              <w:t>a</w:t>
            </w:r>
            <w:r w:rsidR="00DC1841" w:rsidRPr="006411BA">
              <w:rPr>
                <w:rFonts w:cs="Arial"/>
                <w:b/>
                <w:bCs/>
                <w:color w:val="000000"/>
                <w:sz w:val="20"/>
                <w:szCs w:val="20"/>
              </w:rPr>
              <w:t xml:space="preserve">sset </w:t>
            </w:r>
            <w:r w:rsidR="00DC1841">
              <w:rPr>
                <w:rFonts w:cs="Arial"/>
                <w:b/>
                <w:bCs/>
                <w:color w:val="000000"/>
                <w:sz w:val="20"/>
                <w:szCs w:val="20"/>
              </w:rPr>
              <w:t>r</w:t>
            </w:r>
            <w:r w:rsidR="00DC1841" w:rsidRPr="006411BA">
              <w:rPr>
                <w:rFonts w:cs="Arial"/>
                <w:b/>
                <w:bCs/>
                <w:color w:val="000000"/>
                <w:sz w:val="20"/>
                <w:szCs w:val="20"/>
              </w:rPr>
              <w:t xml:space="preserve">ecognition </w:t>
            </w:r>
            <w:r w:rsidR="00DC1841">
              <w:rPr>
                <w:rFonts w:cs="Arial"/>
                <w:b/>
                <w:bCs/>
                <w:color w:val="000000"/>
                <w:sz w:val="20"/>
                <w:szCs w:val="20"/>
              </w:rPr>
              <w:t>t</w:t>
            </w:r>
            <w:r w:rsidR="00DC1841" w:rsidRPr="006411BA">
              <w:rPr>
                <w:rFonts w:cs="Arial"/>
                <w:b/>
                <w:bCs/>
                <w:color w:val="000000"/>
                <w:sz w:val="20"/>
                <w:szCs w:val="20"/>
              </w:rPr>
              <w:t>hreshold</w:t>
            </w:r>
          </w:p>
        </w:tc>
        <w:tc>
          <w:tcPr>
            <w:tcW w:w="6945" w:type="dxa"/>
            <w:tcBorders>
              <w:top w:val="nil"/>
              <w:left w:val="nil"/>
              <w:bottom w:val="nil"/>
              <w:right w:val="nil"/>
            </w:tcBorders>
            <w:shd w:val="clear" w:color="auto" w:fill="auto"/>
            <w:hideMark/>
          </w:tcPr>
          <w:p w14:paraId="154F96A2" w14:textId="2469B6BB" w:rsidR="006411BA" w:rsidRPr="006411BA" w:rsidRDefault="007C1077" w:rsidP="00F13D07">
            <w:pPr>
              <w:numPr>
                <w:ilvl w:val="0"/>
                <w:numId w:val="0"/>
              </w:numPr>
              <w:spacing w:before="0" w:after="160" w:line="240" w:lineRule="auto"/>
              <w:rPr>
                <w:rFonts w:cs="Arial"/>
                <w:color w:val="000000"/>
                <w:sz w:val="20"/>
                <w:szCs w:val="20"/>
              </w:rPr>
            </w:pPr>
            <w:r>
              <w:rPr>
                <w:rFonts w:cs="Arial"/>
                <w:color w:val="000000"/>
                <w:sz w:val="20"/>
                <w:szCs w:val="20"/>
              </w:rPr>
              <w:t>Australian asset recognition t</w:t>
            </w:r>
            <w:r w:rsidR="006411BA" w:rsidRPr="006411BA">
              <w:rPr>
                <w:rFonts w:cs="Arial"/>
                <w:color w:val="000000"/>
                <w:sz w:val="20"/>
                <w:szCs w:val="20"/>
              </w:rPr>
              <w:t>hreshold: for all hospital property, plant and equipment the amount should be no greater than $10,000. (AASB 1</w:t>
            </w:r>
            <w:r w:rsidR="001D1C4F">
              <w:rPr>
                <w:rFonts w:cs="Arial"/>
                <w:color w:val="000000"/>
                <w:sz w:val="20"/>
                <w:szCs w:val="20"/>
              </w:rPr>
              <w:t>1</w:t>
            </w:r>
            <w:r w:rsidR="006411BA" w:rsidRPr="006411BA">
              <w:rPr>
                <w:rFonts w:cs="Arial"/>
                <w:color w:val="000000"/>
                <w:sz w:val="20"/>
                <w:szCs w:val="20"/>
              </w:rPr>
              <w:t>6 Property, Plant and Equipment).</w:t>
            </w:r>
          </w:p>
        </w:tc>
      </w:tr>
      <w:tr w:rsidR="006411BA" w:rsidRPr="006411BA" w14:paraId="47BD9E91" w14:textId="77777777" w:rsidTr="0064124E">
        <w:trPr>
          <w:trHeight w:val="397"/>
        </w:trPr>
        <w:tc>
          <w:tcPr>
            <w:tcW w:w="2709" w:type="dxa"/>
            <w:tcBorders>
              <w:top w:val="nil"/>
              <w:left w:val="nil"/>
              <w:bottom w:val="nil"/>
              <w:right w:val="nil"/>
            </w:tcBorders>
            <w:shd w:val="clear" w:color="auto" w:fill="auto"/>
            <w:hideMark/>
          </w:tcPr>
          <w:p w14:paraId="5C633A3D" w14:textId="4F3F3B84"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 xml:space="preserve">Building </w:t>
            </w:r>
            <w:r w:rsidR="00DC1841">
              <w:rPr>
                <w:rFonts w:cs="Arial"/>
                <w:b/>
                <w:bCs/>
                <w:color w:val="000000"/>
                <w:sz w:val="20"/>
                <w:szCs w:val="20"/>
              </w:rPr>
              <w:t>d</w:t>
            </w:r>
            <w:r w:rsidRPr="006411BA">
              <w:rPr>
                <w:rFonts w:cs="Arial"/>
                <w:b/>
                <w:bCs/>
                <w:color w:val="000000"/>
                <w:sz w:val="20"/>
                <w:szCs w:val="20"/>
              </w:rPr>
              <w:t>epreciation</w:t>
            </w:r>
          </w:p>
        </w:tc>
        <w:tc>
          <w:tcPr>
            <w:tcW w:w="6945" w:type="dxa"/>
            <w:tcBorders>
              <w:top w:val="nil"/>
              <w:left w:val="nil"/>
              <w:bottom w:val="nil"/>
              <w:right w:val="nil"/>
            </w:tcBorders>
            <w:shd w:val="clear" w:color="auto" w:fill="auto"/>
            <w:hideMark/>
          </w:tcPr>
          <w:p w14:paraId="65BE11CC" w14:textId="5B84DB3A" w:rsidR="006411BA" w:rsidRPr="006411BA" w:rsidRDefault="007C1077" w:rsidP="00F13D07">
            <w:pPr>
              <w:numPr>
                <w:ilvl w:val="0"/>
                <w:numId w:val="0"/>
              </w:numPr>
              <w:spacing w:before="0" w:after="160" w:line="240" w:lineRule="auto"/>
              <w:rPr>
                <w:rFonts w:cs="Arial"/>
                <w:color w:val="000000"/>
                <w:sz w:val="20"/>
                <w:szCs w:val="20"/>
              </w:rPr>
            </w:pPr>
            <w:r>
              <w:rPr>
                <w:rFonts w:cs="Arial"/>
                <w:color w:val="000000"/>
                <w:sz w:val="20"/>
                <w:szCs w:val="20"/>
              </w:rPr>
              <w:t>Building d</w:t>
            </w:r>
            <w:r w:rsidR="006411BA" w:rsidRPr="006411BA">
              <w:rPr>
                <w:rFonts w:cs="Arial"/>
                <w:color w:val="000000"/>
                <w:sz w:val="20"/>
                <w:szCs w:val="20"/>
              </w:rPr>
              <w:t>epreciation includes fixtures such as items fitted to the building such as lights.</w:t>
            </w:r>
          </w:p>
        </w:tc>
      </w:tr>
      <w:tr w:rsidR="006411BA" w:rsidRPr="006411BA" w14:paraId="48038F8E" w14:textId="77777777" w:rsidTr="0064124E">
        <w:trPr>
          <w:trHeight w:val="397"/>
        </w:trPr>
        <w:tc>
          <w:tcPr>
            <w:tcW w:w="2709" w:type="dxa"/>
            <w:vMerge w:val="restart"/>
            <w:tcBorders>
              <w:top w:val="nil"/>
              <w:left w:val="nil"/>
              <w:bottom w:val="nil"/>
              <w:right w:val="nil"/>
            </w:tcBorders>
            <w:shd w:val="clear" w:color="auto" w:fill="auto"/>
            <w:hideMark/>
          </w:tcPr>
          <w:p w14:paraId="50790A40" w14:textId="1FDEE6F7"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 xml:space="preserve">Causal </w:t>
            </w:r>
            <w:r w:rsidR="00DC1841">
              <w:rPr>
                <w:rFonts w:cs="Arial"/>
                <w:b/>
                <w:bCs/>
                <w:color w:val="000000"/>
                <w:sz w:val="20"/>
                <w:szCs w:val="20"/>
              </w:rPr>
              <w:t>r</w:t>
            </w:r>
            <w:r w:rsidR="00DC1841" w:rsidRPr="006411BA">
              <w:rPr>
                <w:rFonts w:cs="Arial"/>
                <w:b/>
                <w:bCs/>
                <w:color w:val="000000"/>
                <w:sz w:val="20"/>
                <w:szCs w:val="20"/>
              </w:rPr>
              <w:t xml:space="preserve">elationship </w:t>
            </w:r>
            <w:r w:rsidR="007C1077">
              <w:rPr>
                <w:rFonts w:cs="Arial"/>
                <w:b/>
                <w:bCs/>
                <w:color w:val="000000"/>
                <w:sz w:val="20"/>
                <w:szCs w:val="20"/>
              </w:rPr>
              <w:t>(c</w:t>
            </w:r>
            <w:r w:rsidRPr="006411BA">
              <w:rPr>
                <w:rFonts w:cs="Arial"/>
                <w:b/>
                <w:bCs/>
                <w:color w:val="000000"/>
                <w:sz w:val="20"/>
                <w:szCs w:val="20"/>
              </w:rPr>
              <w:t>ausality)</w:t>
            </w:r>
          </w:p>
        </w:tc>
        <w:tc>
          <w:tcPr>
            <w:tcW w:w="6945" w:type="dxa"/>
            <w:tcBorders>
              <w:top w:val="nil"/>
              <w:left w:val="nil"/>
              <w:bottom w:val="nil"/>
              <w:right w:val="nil"/>
            </w:tcBorders>
            <w:shd w:val="clear" w:color="auto" w:fill="auto"/>
            <w:hideMark/>
          </w:tcPr>
          <w:p w14:paraId="4E8B1077" w14:textId="398A9425"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Causal relationship (causality) implies that costs matched to a cost object have originated as a direct result of the production of that cost object.</w:t>
            </w:r>
            <w:r w:rsidR="001701AB">
              <w:rPr>
                <w:rFonts w:cs="Arial"/>
                <w:color w:val="000000"/>
                <w:sz w:val="20"/>
                <w:szCs w:val="20"/>
              </w:rPr>
              <w:t xml:space="preserve"> </w:t>
            </w:r>
            <w:r w:rsidRPr="006411BA">
              <w:rPr>
                <w:rFonts w:cs="Arial"/>
                <w:color w:val="000000"/>
                <w:sz w:val="20"/>
                <w:szCs w:val="20"/>
              </w:rPr>
              <w:t>This may arise via:</w:t>
            </w:r>
          </w:p>
        </w:tc>
      </w:tr>
      <w:tr w:rsidR="006411BA" w:rsidRPr="006411BA" w14:paraId="62EFB38F" w14:textId="77777777" w:rsidTr="0064124E">
        <w:trPr>
          <w:trHeight w:val="397"/>
        </w:trPr>
        <w:tc>
          <w:tcPr>
            <w:tcW w:w="2709" w:type="dxa"/>
            <w:vMerge/>
            <w:tcBorders>
              <w:top w:val="nil"/>
              <w:left w:val="nil"/>
              <w:bottom w:val="nil"/>
              <w:right w:val="nil"/>
            </w:tcBorders>
            <w:vAlign w:val="center"/>
            <w:hideMark/>
          </w:tcPr>
          <w:p w14:paraId="4BA70AC2"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62549BF3" w14:textId="0F3BB82D"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 xml:space="preserve">A physical relationship between expenses and products; for </w:t>
            </w:r>
            <w:r w:rsidR="00702703" w:rsidRPr="006411BA">
              <w:rPr>
                <w:rFonts w:cs="Arial"/>
                <w:color w:val="000000"/>
                <w:sz w:val="20"/>
                <w:szCs w:val="20"/>
              </w:rPr>
              <w:t>example,</w:t>
            </w:r>
            <w:r w:rsidRPr="006411BA">
              <w:rPr>
                <w:rFonts w:cs="Arial"/>
                <w:color w:val="000000"/>
                <w:sz w:val="20"/>
                <w:szCs w:val="20"/>
              </w:rPr>
              <w:t xml:space="preserve"> the price paid by the organisation for a given pharmaceutical that is dispensed to a patient.</w:t>
            </w:r>
            <w:r w:rsidR="001701AB">
              <w:rPr>
                <w:rFonts w:cs="Arial"/>
                <w:color w:val="000000"/>
                <w:sz w:val="20"/>
                <w:szCs w:val="20"/>
              </w:rPr>
              <w:t xml:space="preserve"> </w:t>
            </w:r>
            <w:r w:rsidRPr="006411BA">
              <w:rPr>
                <w:rFonts w:cs="Arial"/>
                <w:color w:val="000000"/>
                <w:sz w:val="20"/>
                <w:szCs w:val="20"/>
              </w:rPr>
              <w:t xml:space="preserve">In this instance, producing more units requires more resources, thus results in a </w:t>
            </w:r>
            <w:r w:rsidR="00702703" w:rsidRPr="006411BA">
              <w:rPr>
                <w:rFonts w:cs="Arial"/>
                <w:color w:val="000000"/>
                <w:sz w:val="20"/>
                <w:szCs w:val="20"/>
              </w:rPr>
              <w:t>higher total cost</w:t>
            </w:r>
            <w:r w:rsidRPr="006411BA">
              <w:rPr>
                <w:rFonts w:cs="Arial"/>
                <w:color w:val="000000"/>
                <w:sz w:val="20"/>
                <w:szCs w:val="20"/>
              </w:rPr>
              <w:t>.</w:t>
            </w:r>
          </w:p>
        </w:tc>
      </w:tr>
      <w:tr w:rsidR="006411BA" w:rsidRPr="006411BA" w14:paraId="2D9832FC" w14:textId="77777777" w:rsidTr="0064124E">
        <w:trPr>
          <w:trHeight w:val="397"/>
        </w:trPr>
        <w:tc>
          <w:tcPr>
            <w:tcW w:w="2709" w:type="dxa"/>
            <w:vMerge/>
            <w:tcBorders>
              <w:top w:val="nil"/>
              <w:left w:val="nil"/>
              <w:bottom w:val="nil"/>
              <w:right w:val="nil"/>
            </w:tcBorders>
            <w:vAlign w:val="center"/>
            <w:hideMark/>
          </w:tcPr>
          <w:p w14:paraId="20C85F93"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42075016" w14:textId="23613FE1"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 xml:space="preserve">A contractual arrangement of a department with an external provider; for </w:t>
            </w:r>
            <w:r w:rsidR="00702703" w:rsidRPr="006411BA">
              <w:rPr>
                <w:rFonts w:cs="Arial"/>
                <w:color w:val="000000"/>
                <w:sz w:val="20"/>
                <w:szCs w:val="20"/>
              </w:rPr>
              <w:t>example,</w:t>
            </w:r>
            <w:r w:rsidRPr="006411BA">
              <w:rPr>
                <w:rFonts w:cs="Arial"/>
                <w:color w:val="000000"/>
                <w:sz w:val="20"/>
                <w:szCs w:val="20"/>
              </w:rPr>
              <w:t xml:space="preserve"> the amount charged by an external pathology provider to undertake a requested test. A contractual arrangement is an enforceable agreement between two or more parties that requires something to be done by one or both.</w:t>
            </w:r>
          </w:p>
        </w:tc>
      </w:tr>
      <w:tr w:rsidR="006411BA" w:rsidRPr="006411BA" w14:paraId="016FC90F" w14:textId="77777777" w:rsidTr="0064124E">
        <w:trPr>
          <w:trHeight w:val="397"/>
        </w:trPr>
        <w:tc>
          <w:tcPr>
            <w:tcW w:w="2709" w:type="dxa"/>
            <w:vMerge/>
            <w:tcBorders>
              <w:top w:val="nil"/>
              <w:left w:val="nil"/>
              <w:bottom w:val="nil"/>
              <w:right w:val="nil"/>
            </w:tcBorders>
            <w:vAlign w:val="center"/>
            <w:hideMark/>
          </w:tcPr>
          <w:p w14:paraId="42E8C2F7"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768C5A44" w14:textId="77777777"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Knowledge of operations, for example, the total cost of nursing staff on a given ward may be allocated proportionally to the patients receiving treatment on that ward. Knowledge of operations is both explicit and tacit knowledge held by staff in an organisation that allows them to undertake activities, implement process or manage resources to produce that organisation’s products effectively.</w:t>
            </w:r>
          </w:p>
        </w:tc>
      </w:tr>
      <w:tr w:rsidR="006411BA" w:rsidRPr="006411BA" w14:paraId="3A01DFA4" w14:textId="77777777" w:rsidTr="0064124E">
        <w:trPr>
          <w:trHeight w:val="397"/>
        </w:trPr>
        <w:tc>
          <w:tcPr>
            <w:tcW w:w="2709" w:type="dxa"/>
            <w:tcBorders>
              <w:top w:val="nil"/>
              <w:left w:val="nil"/>
              <w:bottom w:val="nil"/>
              <w:right w:val="nil"/>
            </w:tcBorders>
            <w:shd w:val="clear" w:color="auto" w:fill="auto"/>
            <w:hideMark/>
          </w:tcPr>
          <w:p w14:paraId="3880FC92" w14:textId="77777777"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Chart of Accounts</w:t>
            </w:r>
          </w:p>
        </w:tc>
        <w:tc>
          <w:tcPr>
            <w:tcW w:w="6945" w:type="dxa"/>
            <w:tcBorders>
              <w:top w:val="nil"/>
              <w:left w:val="nil"/>
              <w:bottom w:val="nil"/>
              <w:right w:val="nil"/>
            </w:tcBorders>
            <w:shd w:val="clear" w:color="auto" w:fill="auto"/>
            <w:hideMark/>
          </w:tcPr>
          <w:p w14:paraId="476648C1" w14:textId="77777777"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Chart of Accounts refers to a numbered list of all the accounts in the hospital’s general ledger.</w:t>
            </w:r>
          </w:p>
        </w:tc>
      </w:tr>
      <w:tr w:rsidR="006411BA" w:rsidRPr="006411BA" w14:paraId="1449AAA4" w14:textId="77777777" w:rsidTr="0064124E">
        <w:trPr>
          <w:trHeight w:val="397"/>
        </w:trPr>
        <w:tc>
          <w:tcPr>
            <w:tcW w:w="2709" w:type="dxa"/>
            <w:tcBorders>
              <w:top w:val="nil"/>
              <w:left w:val="nil"/>
              <w:bottom w:val="nil"/>
              <w:right w:val="nil"/>
            </w:tcBorders>
            <w:shd w:val="clear" w:color="auto" w:fill="auto"/>
            <w:hideMark/>
          </w:tcPr>
          <w:p w14:paraId="74ED7403" w14:textId="77777777"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Commercial business units</w:t>
            </w:r>
          </w:p>
        </w:tc>
        <w:tc>
          <w:tcPr>
            <w:tcW w:w="6945" w:type="dxa"/>
            <w:tcBorders>
              <w:top w:val="nil"/>
              <w:left w:val="nil"/>
              <w:bottom w:val="nil"/>
              <w:right w:val="nil"/>
            </w:tcBorders>
            <w:shd w:val="clear" w:color="auto" w:fill="auto"/>
            <w:hideMark/>
          </w:tcPr>
          <w:p w14:paraId="54888456" w14:textId="77777777"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Commercial business units – are organisational units within a hospital that generate non-patient products for which revenue is obtained from third parties, including but not limited to hospital patients and staff.</w:t>
            </w:r>
          </w:p>
        </w:tc>
      </w:tr>
      <w:tr w:rsidR="006411BA" w:rsidRPr="006411BA" w14:paraId="22A22793" w14:textId="77777777" w:rsidTr="0064124E">
        <w:trPr>
          <w:trHeight w:val="397"/>
        </w:trPr>
        <w:tc>
          <w:tcPr>
            <w:tcW w:w="2709" w:type="dxa"/>
            <w:vMerge w:val="restart"/>
            <w:tcBorders>
              <w:top w:val="nil"/>
              <w:left w:val="nil"/>
              <w:bottom w:val="nil"/>
              <w:right w:val="nil"/>
            </w:tcBorders>
            <w:shd w:val="clear" w:color="auto" w:fill="auto"/>
            <w:hideMark/>
          </w:tcPr>
          <w:p w14:paraId="69240F6C" w14:textId="77777777"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Consultation (or clinical) Liaison</w:t>
            </w:r>
          </w:p>
        </w:tc>
        <w:tc>
          <w:tcPr>
            <w:tcW w:w="6945" w:type="dxa"/>
            <w:tcBorders>
              <w:top w:val="nil"/>
              <w:left w:val="nil"/>
              <w:bottom w:val="nil"/>
              <w:right w:val="nil"/>
            </w:tcBorders>
            <w:shd w:val="clear" w:color="auto" w:fill="auto"/>
            <w:hideMark/>
          </w:tcPr>
          <w:p w14:paraId="277084C4" w14:textId="40D1D3BE" w:rsidR="006411BA" w:rsidRPr="006411BA" w:rsidRDefault="007C1077" w:rsidP="00F13D07">
            <w:pPr>
              <w:numPr>
                <w:ilvl w:val="0"/>
                <w:numId w:val="0"/>
              </w:numPr>
              <w:spacing w:before="0" w:after="160" w:line="240" w:lineRule="auto"/>
              <w:rPr>
                <w:rFonts w:cs="Arial"/>
                <w:color w:val="000000"/>
                <w:sz w:val="20"/>
                <w:szCs w:val="20"/>
              </w:rPr>
            </w:pPr>
            <w:r>
              <w:rPr>
                <w:rFonts w:cs="Arial"/>
                <w:color w:val="000000"/>
                <w:sz w:val="20"/>
                <w:szCs w:val="20"/>
              </w:rPr>
              <w:t>Consultation (or clinical) l</w:t>
            </w:r>
            <w:r w:rsidR="006411BA" w:rsidRPr="006411BA">
              <w:rPr>
                <w:rFonts w:cs="Arial"/>
                <w:color w:val="000000"/>
                <w:sz w:val="20"/>
                <w:szCs w:val="20"/>
              </w:rPr>
              <w:t>iaison refers to the process where a patient who is under the care of one clinician (who holds the medical governance</w:t>
            </w:r>
            <w:r>
              <w:rPr>
                <w:rFonts w:cs="Arial"/>
                <w:color w:val="000000"/>
                <w:sz w:val="20"/>
                <w:szCs w:val="20"/>
              </w:rPr>
              <w:t xml:space="preserve"> or </w:t>
            </w:r>
            <w:r w:rsidR="006411BA" w:rsidRPr="006411BA">
              <w:rPr>
                <w:rFonts w:cs="Arial"/>
                <w:color w:val="000000"/>
                <w:sz w:val="20"/>
                <w:szCs w:val="20"/>
              </w:rPr>
              <w:t xml:space="preserve">bed card) is consulted by (another) clinician or team or is provided a liaison (or advisory) service to that treating clinician or team providing care to the patient. </w:t>
            </w:r>
          </w:p>
        </w:tc>
      </w:tr>
      <w:tr w:rsidR="006411BA" w:rsidRPr="006411BA" w14:paraId="69D6D603" w14:textId="77777777" w:rsidTr="0064124E">
        <w:trPr>
          <w:trHeight w:val="397"/>
        </w:trPr>
        <w:tc>
          <w:tcPr>
            <w:tcW w:w="2709" w:type="dxa"/>
            <w:vMerge/>
            <w:tcBorders>
              <w:top w:val="nil"/>
              <w:left w:val="nil"/>
              <w:bottom w:val="nil"/>
              <w:right w:val="nil"/>
            </w:tcBorders>
            <w:vAlign w:val="center"/>
            <w:hideMark/>
          </w:tcPr>
          <w:p w14:paraId="41D4FA1C"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228BD77F" w14:textId="77777777"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Examples include a ‘second opinion’, advice on a particular problem, a case review, a one-off assessment or therapy session.</w:t>
            </w:r>
          </w:p>
        </w:tc>
      </w:tr>
      <w:tr w:rsidR="006411BA" w:rsidRPr="006411BA" w14:paraId="640E931E" w14:textId="77777777" w:rsidTr="0064124E">
        <w:trPr>
          <w:trHeight w:val="397"/>
        </w:trPr>
        <w:tc>
          <w:tcPr>
            <w:tcW w:w="2709" w:type="dxa"/>
            <w:tcBorders>
              <w:top w:val="nil"/>
              <w:left w:val="nil"/>
              <w:bottom w:val="nil"/>
              <w:right w:val="nil"/>
            </w:tcBorders>
            <w:shd w:val="clear" w:color="auto" w:fill="auto"/>
            <w:hideMark/>
          </w:tcPr>
          <w:p w14:paraId="71DD17BD" w14:textId="77777777"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Corporate overheads</w:t>
            </w:r>
          </w:p>
        </w:tc>
        <w:tc>
          <w:tcPr>
            <w:tcW w:w="6945" w:type="dxa"/>
            <w:tcBorders>
              <w:top w:val="nil"/>
              <w:left w:val="nil"/>
              <w:bottom w:val="nil"/>
              <w:right w:val="nil"/>
            </w:tcBorders>
            <w:shd w:val="clear" w:color="auto" w:fill="auto"/>
            <w:hideMark/>
          </w:tcPr>
          <w:p w14:paraId="49E4A805" w14:textId="32C11B96" w:rsidR="006411BA" w:rsidRPr="006411BA" w:rsidRDefault="006411BA" w:rsidP="007C1077">
            <w:pPr>
              <w:numPr>
                <w:ilvl w:val="0"/>
                <w:numId w:val="0"/>
              </w:numPr>
              <w:spacing w:before="0" w:after="160" w:line="240" w:lineRule="auto"/>
              <w:rPr>
                <w:rFonts w:cs="Arial"/>
                <w:color w:val="000000"/>
                <w:sz w:val="20"/>
                <w:szCs w:val="20"/>
              </w:rPr>
            </w:pPr>
            <w:r w:rsidRPr="006411BA">
              <w:rPr>
                <w:rFonts w:cs="Arial"/>
                <w:color w:val="000000"/>
                <w:sz w:val="20"/>
                <w:szCs w:val="20"/>
              </w:rPr>
              <w:t>Corporate overheads refer to expenses related to the management of hospital bodies where expenses are reported outside of the hospital cost centre structure. In some instances, these expenses relate to management bodies of a body of hospitals such as Boa</w:t>
            </w:r>
            <w:r w:rsidR="00196EE7">
              <w:rPr>
                <w:rFonts w:cs="Arial"/>
                <w:color w:val="000000"/>
                <w:sz w:val="20"/>
                <w:szCs w:val="20"/>
              </w:rPr>
              <w:t>rds at the l</w:t>
            </w:r>
            <w:r w:rsidRPr="006411BA">
              <w:rPr>
                <w:rFonts w:cs="Arial"/>
                <w:color w:val="000000"/>
                <w:sz w:val="20"/>
                <w:szCs w:val="20"/>
              </w:rPr>
              <w:t xml:space="preserve">ocal </w:t>
            </w:r>
            <w:r w:rsidR="00196EE7">
              <w:rPr>
                <w:rFonts w:cs="Arial"/>
                <w:color w:val="000000"/>
                <w:sz w:val="20"/>
                <w:szCs w:val="20"/>
              </w:rPr>
              <w:t>h</w:t>
            </w:r>
            <w:r w:rsidRPr="006411BA">
              <w:rPr>
                <w:rFonts w:cs="Arial"/>
                <w:color w:val="000000"/>
                <w:sz w:val="20"/>
                <w:szCs w:val="20"/>
              </w:rPr>
              <w:t xml:space="preserve">ealth </w:t>
            </w:r>
            <w:r w:rsidR="00196EE7">
              <w:rPr>
                <w:rFonts w:cs="Arial"/>
                <w:color w:val="000000"/>
                <w:sz w:val="20"/>
                <w:szCs w:val="20"/>
              </w:rPr>
              <w:t>n</w:t>
            </w:r>
            <w:r w:rsidRPr="006411BA">
              <w:rPr>
                <w:rFonts w:cs="Arial"/>
                <w:color w:val="000000"/>
                <w:sz w:val="20"/>
                <w:szCs w:val="20"/>
              </w:rPr>
              <w:t>etwork level in the public sector or head office (or organisational body) expenses of bodies operating multiple hospitals in the private sector.</w:t>
            </w:r>
          </w:p>
        </w:tc>
      </w:tr>
      <w:tr w:rsidR="006411BA" w:rsidRPr="006411BA" w14:paraId="5664DC8B" w14:textId="77777777" w:rsidTr="0064124E">
        <w:trPr>
          <w:trHeight w:val="397"/>
        </w:trPr>
        <w:tc>
          <w:tcPr>
            <w:tcW w:w="2709" w:type="dxa"/>
            <w:tcBorders>
              <w:top w:val="nil"/>
              <w:left w:val="nil"/>
              <w:bottom w:val="nil"/>
              <w:right w:val="nil"/>
            </w:tcBorders>
            <w:shd w:val="clear" w:color="auto" w:fill="auto"/>
            <w:hideMark/>
          </w:tcPr>
          <w:p w14:paraId="1E2ED4CB" w14:textId="1C22F23E"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 xml:space="preserve">Cost </w:t>
            </w:r>
            <w:r w:rsidR="00DC1841">
              <w:rPr>
                <w:rFonts w:cs="Arial"/>
                <w:b/>
                <w:bCs/>
                <w:color w:val="000000"/>
                <w:sz w:val="20"/>
                <w:szCs w:val="20"/>
              </w:rPr>
              <w:t>l</w:t>
            </w:r>
            <w:r w:rsidRPr="006411BA">
              <w:rPr>
                <w:rFonts w:cs="Arial"/>
                <w:b/>
                <w:bCs/>
                <w:color w:val="000000"/>
                <w:sz w:val="20"/>
                <w:szCs w:val="20"/>
              </w:rPr>
              <w:t>edger</w:t>
            </w:r>
          </w:p>
        </w:tc>
        <w:tc>
          <w:tcPr>
            <w:tcW w:w="6945" w:type="dxa"/>
            <w:tcBorders>
              <w:top w:val="nil"/>
              <w:left w:val="nil"/>
              <w:bottom w:val="nil"/>
              <w:right w:val="nil"/>
            </w:tcBorders>
            <w:shd w:val="clear" w:color="auto" w:fill="auto"/>
            <w:hideMark/>
          </w:tcPr>
          <w:p w14:paraId="05A642FF" w14:textId="1D2D8995"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 xml:space="preserve">The cost ledger provides the framework to be used in product costing. It generally follows the hospital general </w:t>
            </w:r>
            <w:r w:rsidR="00702703" w:rsidRPr="006411BA">
              <w:rPr>
                <w:rFonts w:cs="Arial"/>
                <w:color w:val="000000"/>
                <w:sz w:val="20"/>
                <w:szCs w:val="20"/>
              </w:rPr>
              <w:t>ledger but</w:t>
            </w:r>
            <w:r w:rsidRPr="006411BA">
              <w:rPr>
                <w:rFonts w:cs="Arial"/>
                <w:color w:val="000000"/>
                <w:sz w:val="20"/>
                <w:szCs w:val="20"/>
              </w:rPr>
              <w:t xml:space="preserve"> is arranged according to a series of cost centres and account codes for costing purposes. </w:t>
            </w:r>
          </w:p>
        </w:tc>
      </w:tr>
      <w:tr w:rsidR="006411BA" w:rsidRPr="006411BA" w14:paraId="6B27B3AF" w14:textId="77777777" w:rsidTr="0064124E">
        <w:trPr>
          <w:trHeight w:val="397"/>
        </w:trPr>
        <w:tc>
          <w:tcPr>
            <w:tcW w:w="2709" w:type="dxa"/>
            <w:vMerge w:val="restart"/>
            <w:tcBorders>
              <w:top w:val="nil"/>
              <w:left w:val="nil"/>
              <w:bottom w:val="nil"/>
              <w:right w:val="nil"/>
            </w:tcBorders>
            <w:shd w:val="clear" w:color="auto" w:fill="auto"/>
            <w:hideMark/>
          </w:tcPr>
          <w:p w14:paraId="766DAB44" w14:textId="77777777"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Cost object</w:t>
            </w:r>
          </w:p>
        </w:tc>
        <w:tc>
          <w:tcPr>
            <w:tcW w:w="6945" w:type="dxa"/>
            <w:tcBorders>
              <w:top w:val="nil"/>
              <w:left w:val="nil"/>
              <w:bottom w:val="nil"/>
              <w:right w:val="nil"/>
            </w:tcBorders>
            <w:shd w:val="clear" w:color="auto" w:fill="auto"/>
            <w:hideMark/>
          </w:tcPr>
          <w:p w14:paraId="685049AF" w14:textId="104CCD90"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In general terms, cost accounting requires an organisation to measure the cost of its outputs. In this context, the output that is being measured is important and will vary depending on an organisation</w:t>
            </w:r>
            <w:r w:rsidR="00702703">
              <w:rPr>
                <w:rFonts w:cs="Arial"/>
                <w:color w:val="000000"/>
                <w:sz w:val="20"/>
                <w:szCs w:val="20"/>
              </w:rPr>
              <w:t>’</w:t>
            </w:r>
            <w:r w:rsidRPr="006411BA">
              <w:rPr>
                <w:rFonts w:cs="Arial"/>
                <w:color w:val="000000"/>
                <w:sz w:val="20"/>
                <w:szCs w:val="20"/>
              </w:rPr>
              <w:t>s business decision-making needs.</w:t>
            </w:r>
          </w:p>
        </w:tc>
      </w:tr>
      <w:tr w:rsidR="00F13D07" w:rsidRPr="006411BA" w14:paraId="24E60F8E" w14:textId="77777777" w:rsidTr="00F13D07">
        <w:trPr>
          <w:trHeight w:val="357"/>
        </w:trPr>
        <w:tc>
          <w:tcPr>
            <w:tcW w:w="2709" w:type="dxa"/>
            <w:vMerge/>
            <w:tcBorders>
              <w:top w:val="nil"/>
              <w:left w:val="nil"/>
              <w:bottom w:val="nil"/>
              <w:right w:val="nil"/>
            </w:tcBorders>
            <w:vAlign w:val="center"/>
            <w:hideMark/>
          </w:tcPr>
          <w:p w14:paraId="6D253D1A" w14:textId="77777777" w:rsidR="00F13D07" w:rsidRPr="006411BA" w:rsidRDefault="00F13D07" w:rsidP="00F13D07">
            <w:pPr>
              <w:numPr>
                <w:ilvl w:val="0"/>
                <w:numId w:val="0"/>
              </w:numPr>
              <w:spacing w:before="0" w:after="160" w:line="240" w:lineRule="auto"/>
              <w:rPr>
                <w:rFonts w:cs="Arial"/>
                <w:b/>
                <w:bCs/>
                <w:color w:val="000000"/>
                <w:sz w:val="20"/>
                <w:szCs w:val="20"/>
              </w:rPr>
            </w:pPr>
          </w:p>
        </w:tc>
        <w:tc>
          <w:tcPr>
            <w:tcW w:w="6945" w:type="dxa"/>
            <w:tcBorders>
              <w:top w:val="nil"/>
              <w:left w:val="nil"/>
              <w:right w:val="nil"/>
            </w:tcBorders>
            <w:shd w:val="clear" w:color="auto" w:fill="auto"/>
            <w:hideMark/>
          </w:tcPr>
          <w:p w14:paraId="48A60A4D" w14:textId="6CF98715" w:rsidR="00F13D07" w:rsidRPr="006411BA" w:rsidRDefault="00F13D07" w:rsidP="00F13D07">
            <w:pPr>
              <w:spacing w:before="0" w:after="160" w:line="240" w:lineRule="auto"/>
              <w:ind w:left="0"/>
              <w:rPr>
                <w:rFonts w:ascii="Calibri" w:hAnsi="Calibri"/>
                <w:color w:val="000000"/>
                <w:szCs w:val="22"/>
              </w:rPr>
            </w:pPr>
            <w:r w:rsidRPr="006411BA">
              <w:rPr>
                <w:rFonts w:cs="Arial"/>
                <w:color w:val="000000"/>
                <w:sz w:val="20"/>
                <w:szCs w:val="20"/>
              </w:rPr>
              <w:t>Cost outputs are the items that the organisation has identified important to measure for its own business decision-making needs. As an example, it can vary from measurements of expense for such things as the hospital, a department, unit, service, program, activity, task, tangible good, patient, patient event or a patient day. This may be either in intermediate product (for example a pathology test) or a final product (for example an admitted episode)</w:t>
            </w:r>
          </w:p>
        </w:tc>
      </w:tr>
      <w:tr w:rsidR="006411BA" w:rsidRPr="006411BA" w14:paraId="709F0D81" w14:textId="77777777" w:rsidTr="0064124E">
        <w:trPr>
          <w:trHeight w:val="397"/>
        </w:trPr>
        <w:tc>
          <w:tcPr>
            <w:tcW w:w="2709" w:type="dxa"/>
            <w:tcBorders>
              <w:top w:val="nil"/>
              <w:left w:val="nil"/>
              <w:bottom w:val="nil"/>
              <w:right w:val="nil"/>
            </w:tcBorders>
            <w:shd w:val="clear" w:color="auto" w:fill="auto"/>
            <w:hideMark/>
          </w:tcPr>
          <w:p w14:paraId="4C231B7B" w14:textId="2B1C940A"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 xml:space="preserve">Critical </w:t>
            </w:r>
            <w:r w:rsidR="00DC1841">
              <w:rPr>
                <w:rFonts w:cs="Arial"/>
                <w:b/>
                <w:bCs/>
                <w:color w:val="000000"/>
                <w:sz w:val="20"/>
                <w:szCs w:val="20"/>
              </w:rPr>
              <w:t>c</w:t>
            </w:r>
            <w:r w:rsidRPr="006411BA">
              <w:rPr>
                <w:rFonts w:cs="Arial"/>
                <w:b/>
                <w:bCs/>
                <w:color w:val="000000"/>
                <w:sz w:val="20"/>
                <w:szCs w:val="20"/>
              </w:rPr>
              <w:t xml:space="preserve">are </w:t>
            </w:r>
            <w:r w:rsidR="00DC1841">
              <w:rPr>
                <w:rFonts w:cs="Arial"/>
                <w:b/>
                <w:bCs/>
                <w:color w:val="000000"/>
                <w:sz w:val="20"/>
                <w:szCs w:val="20"/>
              </w:rPr>
              <w:t>u</w:t>
            </w:r>
            <w:r w:rsidRPr="006411BA">
              <w:rPr>
                <w:rFonts w:cs="Arial"/>
                <w:b/>
                <w:bCs/>
                <w:color w:val="000000"/>
                <w:sz w:val="20"/>
                <w:szCs w:val="20"/>
              </w:rPr>
              <w:t>nit</w:t>
            </w:r>
          </w:p>
        </w:tc>
        <w:tc>
          <w:tcPr>
            <w:tcW w:w="6945" w:type="dxa"/>
            <w:tcBorders>
              <w:top w:val="nil"/>
              <w:left w:val="nil"/>
              <w:bottom w:val="nil"/>
              <w:right w:val="nil"/>
            </w:tcBorders>
            <w:shd w:val="clear" w:color="auto" w:fill="auto"/>
            <w:hideMark/>
          </w:tcPr>
          <w:p w14:paraId="79E2107A" w14:textId="230DD4D9" w:rsidR="006411BA" w:rsidRPr="006411BA" w:rsidRDefault="006411BA" w:rsidP="002506CD">
            <w:pPr>
              <w:numPr>
                <w:ilvl w:val="0"/>
                <w:numId w:val="0"/>
              </w:numPr>
              <w:spacing w:before="0" w:after="160" w:line="240" w:lineRule="auto"/>
              <w:rPr>
                <w:rFonts w:cs="Arial"/>
                <w:color w:val="000000"/>
                <w:sz w:val="20"/>
                <w:szCs w:val="20"/>
              </w:rPr>
            </w:pPr>
            <w:r w:rsidRPr="006411BA">
              <w:rPr>
                <w:rFonts w:cs="Arial"/>
                <w:color w:val="000000"/>
                <w:sz w:val="20"/>
                <w:szCs w:val="20"/>
              </w:rPr>
              <w:t xml:space="preserve">Critical </w:t>
            </w:r>
            <w:r w:rsidR="002506CD">
              <w:rPr>
                <w:rFonts w:cs="Arial"/>
                <w:color w:val="000000"/>
                <w:sz w:val="20"/>
                <w:szCs w:val="20"/>
              </w:rPr>
              <w:t>c</w:t>
            </w:r>
            <w:r w:rsidRPr="006411BA">
              <w:rPr>
                <w:rFonts w:cs="Arial"/>
                <w:color w:val="000000"/>
                <w:sz w:val="20"/>
                <w:szCs w:val="20"/>
              </w:rPr>
              <w:t xml:space="preserve">are </w:t>
            </w:r>
            <w:r w:rsidR="002506CD">
              <w:rPr>
                <w:rFonts w:cs="Arial"/>
                <w:color w:val="000000"/>
                <w:sz w:val="20"/>
                <w:szCs w:val="20"/>
              </w:rPr>
              <w:t>u</w:t>
            </w:r>
            <w:r w:rsidRPr="006411BA">
              <w:rPr>
                <w:rFonts w:cs="Arial"/>
                <w:color w:val="000000"/>
                <w:sz w:val="20"/>
                <w:szCs w:val="20"/>
              </w:rPr>
              <w:t>nit refers to a separate and self-contained area of a hospital dedicated to the management of patients with life-threatening illnesses, injuries and complications, and monitoring of potentially life-threatening conditions. It provides special expertise and facilities for support of vital functions and uses the skills of medical, nursing and other personnel experienced in the management of these problems. (</w:t>
            </w:r>
            <w:r w:rsidR="00342B27">
              <w:rPr>
                <w:rFonts w:cs="Arial"/>
                <w:color w:val="000000"/>
                <w:sz w:val="20"/>
                <w:szCs w:val="20"/>
              </w:rPr>
              <w:t xml:space="preserve">Source: </w:t>
            </w:r>
            <w:r w:rsidRPr="006411BA">
              <w:rPr>
                <w:rFonts w:cs="Arial"/>
                <w:color w:val="000000"/>
                <w:sz w:val="20"/>
                <w:szCs w:val="20"/>
              </w:rPr>
              <w:t>College of Intensive Care Medicine).</w:t>
            </w:r>
          </w:p>
        </w:tc>
      </w:tr>
      <w:tr w:rsidR="006411BA" w:rsidRPr="006411BA" w14:paraId="6E143847" w14:textId="77777777" w:rsidTr="0064124E">
        <w:trPr>
          <w:trHeight w:val="397"/>
        </w:trPr>
        <w:tc>
          <w:tcPr>
            <w:tcW w:w="2709" w:type="dxa"/>
            <w:tcBorders>
              <w:top w:val="nil"/>
              <w:left w:val="nil"/>
              <w:bottom w:val="nil"/>
              <w:right w:val="nil"/>
            </w:tcBorders>
            <w:shd w:val="clear" w:color="auto" w:fill="auto"/>
            <w:hideMark/>
          </w:tcPr>
          <w:p w14:paraId="20D6115D" w14:textId="77777777"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Depreciation</w:t>
            </w:r>
          </w:p>
        </w:tc>
        <w:tc>
          <w:tcPr>
            <w:tcW w:w="6945" w:type="dxa"/>
            <w:tcBorders>
              <w:top w:val="nil"/>
              <w:left w:val="nil"/>
              <w:bottom w:val="nil"/>
              <w:right w:val="nil"/>
            </w:tcBorders>
            <w:shd w:val="clear" w:color="auto" w:fill="auto"/>
            <w:hideMark/>
          </w:tcPr>
          <w:p w14:paraId="4F64EE3B" w14:textId="3866062C"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 xml:space="preserve">Depreciation refers to the reduction in value of an asset over its useful life. This reduction in value occurs for example due to age and wear and tear. </w:t>
            </w:r>
            <w:r w:rsidR="00A713E1">
              <w:rPr>
                <w:rFonts w:cs="Arial"/>
                <w:color w:val="000000"/>
                <w:sz w:val="20"/>
                <w:szCs w:val="20"/>
              </w:rPr>
              <w:t>Depreciation include</w:t>
            </w:r>
            <w:r w:rsidR="0015159C">
              <w:rPr>
                <w:rFonts w:cs="Arial"/>
                <w:color w:val="000000"/>
                <w:sz w:val="20"/>
                <w:szCs w:val="20"/>
              </w:rPr>
              <w:t>s</w:t>
            </w:r>
            <w:r w:rsidR="00A713E1">
              <w:rPr>
                <w:rFonts w:cs="Arial"/>
                <w:color w:val="000000"/>
                <w:sz w:val="20"/>
                <w:szCs w:val="20"/>
              </w:rPr>
              <w:t xml:space="preserve"> </w:t>
            </w:r>
            <w:r w:rsidR="006D7BDA">
              <w:rPr>
                <w:rFonts w:cs="Arial"/>
                <w:color w:val="000000"/>
                <w:sz w:val="20"/>
                <w:szCs w:val="20"/>
              </w:rPr>
              <w:t>b</w:t>
            </w:r>
            <w:r w:rsidR="00A713E1">
              <w:rPr>
                <w:rFonts w:cs="Arial"/>
                <w:color w:val="000000"/>
                <w:sz w:val="20"/>
                <w:szCs w:val="20"/>
              </w:rPr>
              <w:t xml:space="preserve">uilding depreciation, </w:t>
            </w:r>
            <w:r w:rsidR="006D7BDA">
              <w:rPr>
                <w:rFonts w:cs="Arial"/>
                <w:color w:val="000000"/>
                <w:sz w:val="20"/>
                <w:szCs w:val="20"/>
              </w:rPr>
              <w:t>e</w:t>
            </w:r>
            <w:r w:rsidR="00A713E1">
              <w:rPr>
                <w:rFonts w:cs="Arial"/>
                <w:color w:val="000000"/>
                <w:sz w:val="20"/>
                <w:szCs w:val="20"/>
              </w:rPr>
              <w:t xml:space="preserve">quipment depreciation and </w:t>
            </w:r>
            <w:r w:rsidR="006D7BDA">
              <w:rPr>
                <w:rFonts w:cs="Arial"/>
                <w:color w:val="000000"/>
                <w:sz w:val="20"/>
                <w:szCs w:val="20"/>
              </w:rPr>
              <w:t>r</w:t>
            </w:r>
            <w:r w:rsidR="00A713E1">
              <w:rPr>
                <w:rFonts w:cs="Arial"/>
                <w:color w:val="000000"/>
                <w:sz w:val="20"/>
                <w:szCs w:val="20"/>
              </w:rPr>
              <w:t xml:space="preserve">ight-of-use </w:t>
            </w:r>
            <w:r w:rsidR="006D7BDA">
              <w:rPr>
                <w:rFonts w:cs="Arial"/>
                <w:color w:val="000000"/>
                <w:sz w:val="20"/>
                <w:szCs w:val="20"/>
              </w:rPr>
              <w:t xml:space="preserve">asset </w:t>
            </w:r>
            <w:r w:rsidR="00A713E1">
              <w:rPr>
                <w:rFonts w:cs="Arial"/>
                <w:color w:val="000000"/>
                <w:sz w:val="20"/>
                <w:szCs w:val="20"/>
              </w:rPr>
              <w:t>depreciation</w:t>
            </w:r>
            <w:r w:rsidR="0015159C">
              <w:rPr>
                <w:rFonts w:cs="Arial"/>
                <w:color w:val="000000"/>
                <w:sz w:val="20"/>
                <w:szCs w:val="20"/>
              </w:rPr>
              <w:t xml:space="preserve"> for leased assets</w:t>
            </w:r>
            <w:r w:rsidR="00A713E1">
              <w:rPr>
                <w:rFonts w:cs="Arial"/>
                <w:color w:val="000000"/>
                <w:sz w:val="20"/>
                <w:szCs w:val="20"/>
              </w:rPr>
              <w:t>.</w:t>
            </w:r>
          </w:p>
        </w:tc>
      </w:tr>
      <w:tr w:rsidR="006411BA" w:rsidRPr="006411BA" w14:paraId="4EA0ADDE" w14:textId="77777777" w:rsidTr="0064124E">
        <w:trPr>
          <w:trHeight w:val="397"/>
        </w:trPr>
        <w:tc>
          <w:tcPr>
            <w:tcW w:w="2709" w:type="dxa"/>
            <w:vMerge w:val="restart"/>
            <w:tcBorders>
              <w:top w:val="nil"/>
              <w:left w:val="nil"/>
              <w:bottom w:val="nil"/>
              <w:right w:val="nil"/>
            </w:tcBorders>
            <w:shd w:val="clear" w:color="auto" w:fill="auto"/>
            <w:hideMark/>
          </w:tcPr>
          <w:p w14:paraId="18BFFCBF" w14:textId="77777777"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 xml:space="preserve">Economically feasible </w:t>
            </w:r>
          </w:p>
        </w:tc>
        <w:tc>
          <w:tcPr>
            <w:tcW w:w="6945" w:type="dxa"/>
            <w:tcBorders>
              <w:top w:val="nil"/>
              <w:left w:val="nil"/>
              <w:bottom w:val="nil"/>
              <w:right w:val="nil"/>
            </w:tcBorders>
            <w:shd w:val="clear" w:color="auto" w:fill="auto"/>
            <w:hideMark/>
          </w:tcPr>
          <w:p w14:paraId="184FF618" w14:textId="02681310"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 xml:space="preserve">Economic feasibility refers to acting with reasonableness when determining the effort required to directly allocate costs to cost objects with accuracy </w:t>
            </w:r>
            <w:r w:rsidRPr="006411BA">
              <w:rPr>
                <w:rFonts w:cs="Arial"/>
                <w:color w:val="000000"/>
                <w:sz w:val="20"/>
                <w:szCs w:val="20"/>
              </w:rPr>
              <w:lastRenderedPageBreak/>
              <w:t>against the additional resource cost and effort required to do so.</w:t>
            </w:r>
            <w:r w:rsidR="001701AB">
              <w:rPr>
                <w:rFonts w:cs="Arial"/>
                <w:color w:val="000000"/>
                <w:sz w:val="20"/>
                <w:szCs w:val="20"/>
              </w:rPr>
              <w:t xml:space="preserve"> </w:t>
            </w:r>
            <w:r w:rsidRPr="006411BA">
              <w:rPr>
                <w:rFonts w:cs="Arial"/>
                <w:color w:val="000000"/>
                <w:sz w:val="20"/>
                <w:szCs w:val="20"/>
              </w:rPr>
              <w:t xml:space="preserve">Economic feasibility will be influenced by a number of factors, such as: </w:t>
            </w:r>
          </w:p>
        </w:tc>
      </w:tr>
      <w:tr w:rsidR="006411BA" w:rsidRPr="006411BA" w14:paraId="2518F884" w14:textId="77777777" w:rsidTr="0064124E">
        <w:trPr>
          <w:trHeight w:val="397"/>
        </w:trPr>
        <w:tc>
          <w:tcPr>
            <w:tcW w:w="2709" w:type="dxa"/>
            <w:vMerge/>
            <w:tcBorders>
              <w:top w:val="nil"/>
              <w:left w:val="nil"/>
              <w:bottom w:val="nil"/>
              <w:right w:val="nil"/>
            </w:tcBorders>
            <w:vAlign w:val="center"/>
            <w:hideMark/>
          </w:tcPr>
          <w:p w14:paraId="053AEB81"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40695CC6" w14:textId="14F13781" w:rsidR="006411BA" w:rsidRPr="00342B27" w:rsidRDefault="00342B27" w:rsidP="00342B27">
            <w:pPr>
              <w:pStyle w:val="ListParagraph"/>
              <w:numPr>
                <w:ilvl w:val="0"/>
                <w:numId w:val="34"/>
              </w:numPr>
              <w:spacing w:before="0" w:after="160" w:line="240" w:lineRule="auto"/>
              <w:rPr>
                <w:rFonts w:cs="Arial"/>
                <w:color w:val="000000"/>
                <w:sz w:val="20"/>
                <w:szCs w:val="20"/>
              </w:rPr>
            </w:pPr>
            <w:r>
              <w:rPr>
                <w:rFonts w:cs="Arial"/>
                <w:color w:val="000000"/>
                <w:sz w:val="20"/>
                <w:szCs w:val="20"/>
              </w:rPr>
              <w:t>a</w:t>
            </w:r>
            <w:r w:rsidR="006411BA" w:rsidRPr="00342B27">
              <w:rPr>
                <w:rFonts w:cs="Arial"/>
                <w:color w:val="000000"/>
                <w:sz w:val="20"/>
                <w:szCs w:val="20"/>
              </w:rPr>
              <w:t>vailability of (costing) information o</w:t>
            </w:r>
            <w:r>
              <w:rPr>
                <w:rFonts w:cs="Arial"/>
                <w:color w:val="000000"/>
                <w:sz w:val="20"/>
                <w:szCs w:val="20"/>
              </w:rPr>
              <w:t>r (costing) information systems</w:t>
            </w:r>
          </w:p>
        </w:tc>
      </w:tr>
      <w:tr w:rsidR="006411BA" w:rsidRPr="006411BA" w14:paraId="36BF0EB3" w14:textId="77777777" w:rsidTr="0064124E">
        <w:trPr>
          <w:trHeight w:val="397"/>
        </w:trPr>
        <w:tc>
          <w:tcPr>
            <w:tcW w:w="2709" w:type="dxa"/>
            <w:vMerge/>
            <w:tcBorders>
              <w:top w:val="nil"/>
              <w:left w:val="nil"/>
              <w:bottom w:val="nil"/>
              <w:right w:val="nil"/>
            </w:tcBorders>
            <w:vAlign w:val="center"/>
            <w:hideMark/>
          </w:tcPr>
          <w:p w14:paraId="4A029899"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60A50BB5" w14:textId="1257E92E" w:rsidR="006411BA" w:rsidRPr="00342B27" w:rsidRDefault="00342B27" w:rsidP="00342B27">
            <w:pPr>
              <w:pStyle w:val="ListParagraph"/>
              <w:numPr>
                <w:ilvl w:val="0"/>
                <w:numId w:val="34"/>
              </w:numPr>
              <w:spacing w:before="0" w:after="160" w:line="240" w:lineRule="auto"/>
              <w:rPr>
                <w:rFonts w:cs="Arial"/>
                <w:color w:val="000000"/>
                <w:sz w:val="20"/>
                <w:szCs w:val="20"/>
              </w:rPr>
            </w:pPr>
            <w:r>
              <w:rPr>
                <w:rFonts w:cs="Arial"/>
                <w:color w:val="000000"/>
                <w:sz w:val="20"/>
                <w:szCs w:val="20"/>
              </w:rPr>
              <w:t>d</w:t>
            </w:r>
            <w:r w:rsidR="006411BA" w:rsidRPr="00342B27">
              <w:rPr>
                <w:rFonts w:cs="Arial"/>
                <w:color w:val="000000"/>
                <w:sz w:val="20"/>
                <w:szCs w:val="20"/>
              </w:rPr>
              <w:t>esign of operation that allows for exclusive use of a particular expense by a particular cost object.</w:t>
            </w:r>
          </w:p>
        </w:tc>
      </w:tr>
      <w:tr w:rsidR="006411BA" w:rsidRPr="006411BA" w14:paraId="6C574262" w14:textId="77777777" w:rsidTr="0064124E">
        <w:trPr>
          <w:trHeight w:val="397"/>
        </w:trPr>
        <w:tc>
          <w:tcPr>
            <w:tcW w:w="2709" w:type="dxa"/>
            <w:tcBorders>
              <w:top w:val="nil"/>
              <w:left w:val="nil"/>
              <w:bottom w:val="nil"/>
              <w:right w:val="nil"/>
            </w:tcBorders>
            <w:shd w:val="clear" w:color="auto" w:fill="auto"/>
            <w:hideMark/>
          </w:tcPr>
          <w:p w14:paraId="5AA3AABD" w14:textId="6DAFEE9A"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 xml:space="preserve">Emergency </w:t>
            </w:r>
            <w:r w:rsidR="00DC1841">
              <w:rPr>
                <w:rFonts w:cs="Arial"/>
                <w:b/>
                <w:bCs/>
                <w:color w:val="000000"/>
                <w:sz w:val="20"/>
                <w:szCs w:val="20"/>
              </w:rPr>
              <w:t>d</w:t>
            </w:r>
            <w:r w:rsidRPr="006411BA">
              <w:rPr>
                <w:rFonts w:cs="Arial"/>
                <w:b/>
                <w:bCs/>
                <w:color w:val="000000"/>
                <w:sz w:val="20"/>
                <w:szCs w:val="20"/>
              </w:rPr>
              <w:t>epartment</w:t>
            </w:r>
          </w:p>
        </w:tc>
        <w:tc>
          <w:tcPr>
            <w:tcW w:w="6945" w:type="dxa"/>
            <w:tcBorders>
              <w:top w:val="nil"/>
              <w:left w:val="nil"/>
              <w:bottom w:val="nil"/>
              <w:right w:val="nil"/>
            </w:tcBorders>
            <w:shd w:val="clear" w:color="auto" w:fill="auto"/>
            <w:hideMark/>
          </w:tcPr>
          <w:p w14:paraId="53D9F9F6" w14:textId="53A4D5E3" w:rsidR="006411BA" w:rsidRPr="006411BA" w:rsidRDefault="006411BA" w:rsidP="007C1077">
            <w:pPr>
              <w:numPr>
                <w:ilvl w:val="0"/>
                <w:numId w:val="0"/>
              </w:numPr>
              <w:spacing w:before="0" w:after="160" w:line="240" w:lineRule="auto"/>
              <w:rPr>
                <w:rFonts w:cs="Arial"/>
                <w:color w:val="000000"/>
                <w:sz w:val="20"/>
                <w:szCs w:val="20"/>
              </w:rPr>
            </w:pPr>
            <w:r w:rsidRPr="006411BA">
              <w:rPr>
                <w:rFonts w:cs="Arial"/>
                <w:color w:val="000000"/>
                <w:sz w:val="20"/>
                <w:szCs w:val="20"/>
              </w:rPr>
              <w:t xml:space="preserve">Emergency </w:t>
            </w:r>
            <w:r w:rsidR="002506CD">
              <w:rPr>
                <w:rFonts w:cs="Arial"/>
                <w:color w:val="000000"/>
                <w:sz w:val="20"/>
                <w:szCs w:val="20"/>
              </w:rPr>
              <w:t>d</w:t>
            </w:r>
            <w:r w:rsidR="00342B27">
              <w:rPr>
                <w:rFonts w:cs="Arial"/>
                <w:color w:val="000000"/>
                <w:sz w:val="20"/>
                <w:szCs w:val="20"/>
              </w:rPr>
              <w:t xml:space="preserve">epartment (ED) </w:t>
            </w:r>
            <w:r w:rsidRPr="006411BA">
              <w:rPr>
                <w:rFonts w:cs="Arial"/>
                <w:color w:val="000000"/>
                <w:sz w:val="20"/>
                <w:szCs w:val="20"/>
              </w:rPr>
              <w:t>is a dedicated department responsible for triage, assessment, treatment, observation and disposition of eme</w:t>
            </w:r>
            <w:r w:rsidR="007C1077">
              <w:rPr>
                <w:rFonts w:cs="Arial"/>
                <w:color w:val="000000"/>
                <w:sz w:val="20"/>
                <w:szCs w:val="20"/>
              </w:rPr>
              <w:t>rgency patient presentations (ME</w:t>
            </w:r>
            <w:r w:rsidR="00C11AC6">
              <w:rPr>
                <w:rFonts w:cs="Arial"/>
                <w:color w:val="000000"/>
                <w:sz w:val="20"/>
                <w:szCs w:val="20"/>
              </w:rPr>
              <w:t>T</w:t>
            </w:r>
            <w:r w:rsidR="007C1077">
              <w:rPr>
                <w:rFonts w:cs="Arial"/>
                <w:color w:val="000000"/>
                <w:sz w:val="20"/>
                <w:szCs w:val="20"/>
              </w:rPr>
              <w:t>eOR</w:t>
            </w:r>
            <w:r w:rsidR="00C11AC6">
              <w:rPr>
                <w:rFonts w:cs="Arial"/>
                <w:color w:val="000000"/>
                <w:sz w:val="20"/>
                <w:szCs w:val="20"/>
              </w:rPr>
              <w:t xml:space="preserve"> ID: 327158 and d</w:t>
            </w:r>
            <w:r w:rsidRPr="006411BA">
              <w:rPr>
                <w:rFonts w:cs="Arial"/>
                <w:color w:val="000000"/>
                <w:sz w:val="20"/>
                <w:szCs w:val="20"/>
              </w:rPr>
              <w:t>efinition of ED services, IHPA). These include both urgent and non-urgent conditions for a broad spectrum of diseases and illnesses, some of which may be life threatening and require immediate attention. It also includes provision for resuscitation.</w:t>
            </w:r>
          </w:p>
        </w:tc>
      </w:tr>
      <w:tr w:rsidR="006411BA" w:rsidRPr="006411BA" w14:paraId="4A563CA7" w14:textId="77777777" w:rsidTr="0064124E">
        <w:trPr>
          <w:trHeight w:val="397"/>
        </w:trPr>
        <w:tc>
          <w:tcPr>
            <w:tcW w:w="2709" w:type="dxa"/>
            <w:tcBorders>
              <w:top w:val="nil"/>
              <w:left w:val="nil"/>
              <w:bottom w:val="nil"/>
              <w:right w:val="nil"/>
            </w:tcBorders>
            <w:shd w:val="clear" w:color="auto" w:fill="auto"/>
            <w:hideMark/>
          </w:tcPr>
          <w:p w14:paraId="6A9A98A5" w14:textId="77777777"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Emergency department products</w:t>
            </w:r>
          </w:p>
        </w:tc>
        <w:tc>
          <w:tcPr>
            <w:tcW w:w="6945" w:type="dxa"/>
            <w:tcBorders>
              <w:top w:val="nil"/>
              <w:left w:val="nil"/>
              <w:bottom w:val="nil"/>
              <w:right w:val="nil"/>
            </w:tcBorders>
            <w:shd w:val="clear" w:color="auto" w:fill="auto"/>
            <w:hideMark/>
          </w:tcPr>
          <w:p w14:paraId="47DED320" w14:textId="0F8CA2E0"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 xml:space="preserve">Emergency </w:t>
            </w:r>
            <w:r w:rsidR="002506CD">
              <w:rPr>
                <w:rFonts w:cs="Arial"/>
                <w:color w:val="000000"/>
                <w:sz w:val="20"/>
                <w:szCs w:val="20"/>
              </w:rPr>
              <w:t>d</w:t>
            </w:r>
            <w:r w:rsidRPr="006411BA">
              <w:rPr>
                <w:rFonts w:cs="Arial"/>
                <w:color w:val="000000"/>
                <w:sz w:val="20"/>
                <w:szCs w:val="20"/>
              </w:rPr>
              <w:t>epartment patient products are emergency services provided in an organisation, as defined in (METeOR ID: 652825).</w:t>
            </w:r>
          </w:p>
        </w:tc>
      </w:tr>
      <w:tr w:rsidR="006411BA" w:rsidRPr="006411BA" w14:paraId="17C89725" w14:textId="77777777" w:rsidTr="0064124E">
        <w:trPr>
          <w:trHeight w:val="397"/>
        </w:trPr>
        <w:tc>
          <w:tcPr>
            <w:tcW w:w="2709" w:type="dxa"/>
            <w:tcBorders>
              <w:top w:val="nil"/>
              <w:left w:val="nil"/>
              <w:bottom w:val="nil"/>
              <w:right w:val="nil"/>
            </w:tcBorders>
            <w:shd w:val="clear" w:color="auto" w:fill="auto"/>
            <w:hideMark/>
          </w:tcPr>
          <w:p w14:paraId="6961BE30" w14:textId="11618715"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 xml:space="preserve">Equipment </w:t>
            </w:r>
            <w:r w:rsidR="00DC1841">
              <w:rPr>
                <w:rFonts w:cs="Arial"/>
                <w:b/>
                <w:bCs/>
                <w:color w:val="000000"/>
                <w:sz w:val="20"/>
                <w:szCs w:val="20"/>
              </w:rPr>
              <w:t>d</w:t>
            </w:r>
            <w:r w:rsidRPr="006411BA">
              <w:rPr>
                <w:rFonts w:cs="Arial"/>
                <w:b/>
                <w:bCs/>
                <w:color w:val="000000"/>
                <w:sz w:val="20"/>
                <w:szCs w:val="20"/>
              </w:rPr>
              <w:t>epreciation</w:t>
            </w:r>
          </w:p>
        </w:tc>
        <w:tc>
          <w:tcPr>
            <w:tcW w:w="6945" w:type="dxa"/>
            <w:tcBorders>
              <w:top w:val="nil"/>
              <w:left w:val="nil"/>
              <w:bottom w:val="nil"/>
              <w:right w:val="nil"/>
            </w:tcBorders>
            <w:shd w:val="clear" w:color="auto" w:fill="auto"/>
            <w:hideMark/>
          </w:tcPr>
          <w:p w14:paraId="65CA2A60" w14:textId="3A8AF9C8" w:rsidR="006411BA" w:rsidRPr="006411BA" w:rsidRDefault="00C11AC6" w:rsidP="00F13D07">
            <w:pPr>
              <w:numPr>
                <w:ilvl w:val="0"/>
                <w:numId w:val="0"/>
              </w:numPr>
              <w:spacing w:before="0" w:after="160" w:line="240" w:lineRule="auto"/>
              <w:rPr>
                <w:rFonts w:cs="Arial"/>
                <w:color w:val="000000"/>
                <w:sz w:val="20"/>
                <w:szCs w:val="20"/>
              </w:rPr>
            </w:pPr>
            <w:r>
              <w:rPr>
                <w:rFonts w:cs="Arial"/>
                <w:color w:val="000000"/>
                <w:sz w:val="20"/>
                <w:szCs w:val="20"/>
              </w:rPr>
              <w:t>Equipment d</w:t>
            </w:r>
            <w:r w:rsidR="006411BA" w:rsidRPr="006411BA">
              <w:rPr>
                <w:rFonts w:cs="Arial"/>
                <w:color w:val="000000"/>
                <w:sz w:val="20"/>
                <w:szCs w:val="20"/>
              </w:rPr>
              <w:t>epreciation includes non-fixed building fit-out such as theatre tables, moveable furniture and chemotherapy chairs.</w:t>
            </w:r>
          </w:p>
        </w:tc>
      </w:tr>
      <w:tr w:rsidR="00DB32B9" w:rsidRPr="006411BA" w14:paraId="2819CF47" w14:textId="77777777" w:rsidTr="0064124E">
        <w:trPr>
          <w:trHeight w:val="397"/>
        </w:trPr>
        <w:tc>
          <w:tcPr>
            <w:tcW w:w="2709" w:type="dxa"/>
            <w:vMerge w:val="restart"/>
            <w:tcBorders>
              <w:top w:val="nil"/>
              <w:left w:val="nil"/>
              <w:bottom w:val="nil"/>
              <w:right w:val="nil"/>
            </w:tcBorders>
            <w:shd w:val="clear" w:color="auto" w:fill="auto"/>
            <w:hideMark/>
          </w:tcPr>
          <w:p w14:paraId="055B19FF" w14:textId="77777777" w:rsidR="00DB32B9" w:rsidRPr="006411BA" w:rsidRDefault="00DB32B9"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Expenses</w:t>
            </w:r>
          </w:p>
        </w:tc>
        <w:tc>
          <w:tcPr>
            <w:tcW w:w="6945" w:type="dxa"/>
            <w:tcBorders>
              <w:top w:val="nil"/>
              <w:left w:val="nil"/>
              <w:right w:val="nil"/>
            </w:tcBorders>
            <w:shd w:val="clear" w:color="auto" w:fill="auto"/>
            <w:hideMark/>
          </w:tcPr>
          <w:p w14:paraId="1300FDEB" w14:textId="77777777" w:rsidR="00DB32B9" w:rsidRPr="006411BA" w:rsidRDefault="00DB32B9" w:rsidP="00F13D07">
            <w:pPr>
              <w:numPr>
                <w:ilvl w:val="0"/>
                <w:numId w:val="0"/>
              </w:numPr>
              <w:spacing w:before="0" w:after="160" w:line="240" w:lineRule="auto"/>
              <w:rPr>
                <w:rFonts w:cs="Arial"/>
                <w:color w:val="000000"/>
                <w:sz w:val="20"/>
                <w:szCs w:val="20"/>
              </w:rPr>
            </w:pPr>
            <w:r w:rsidRPr="006411BA">
              <w:rPr>
                <w:rFonts w:cs="Arial"/>
                <w:color w:val="000000"/>
                <w:sz w:val="20"/>
                <w:szCs w:val="20"/>
              </w:rPr>
              <w:t>Expenses are decreases in economic benefits during the accounting period in the form of outflows or depletions of assets or incurrences of liabilities that result in decreases in equity, other than those relating to distributions to equity participants (AASB CF, 70 (b)).</w:t>
            </w:r>
          </w:p>
        </w:tc>
      </w:tr>
      <w:tr w:rsidR="006411BA" w:rsidRPr="006411BA" w14:paraId="2259884A" w14:textId="77777777" w:rsidTr="0064124E">
        <w:trPr>
          <w:trHeight w:val="397"/>
        </w:trPr>
        <w:tc>
          <w:tcPr>
            <w:tcW w:w="2709" w:type="dxa"/>
            <w:vMerge/>
            <w:tcBorders>
              <w:top w:val="nil"/>
              <w:left w:val="nil"/>
              <w:bottom w:val="nil"/>
              <w:right w:val="nil"/>
            </w:tcBorders>
            <w:vAlign w:val="center"/>
            <w:hideMark/>
          </w:tcPr>
          <w:p w14:paraId="6CF34BD0"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4CB04BD2" w14:textId="77777777"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The definition of expenses encompasses those expenses that arise in the course of the ordinary activities of the organisation including losses. Expenses that arise in the course of the ordinary activities of the organisation include, for example, wages and depreciation. They usually take the form of an outflow or depletion of assets such as cash and cash equivalents, inventory, property, plant and equipment (AASB CF, 78).</w:t>
            </w:r>
          </w:p>
        </w:tc>
      </w:tr>
      <w:tr w:rsidR="006411BA" w:rsidRPr="006411BA" w14:paraId="2054E152" w14:textId="77777777" w:rsidTr="0064124E">
        <w:trPr>
          <w:trHeight w:val="397"/>
        </w:trPr>
        <w:tc>
          <w:tcPr>
            <w:tcW w:w="2709" w:type="dxa"/>
            <w:tcBorders>
              <w:top w:val="nil"/>
              <w:left w:val="nil"/>
              <w:bottom w:val="nil"/>
              <w:right w:val="nil"/>
            </w:tcBorders>
            <w:shd w:val="clear" w:color="auto" w:fill="auto"/>
            <w:hideMark/>
          </w:tcPr>
          <w:p w14:paraId="5FCE3FEB" w14:textId="6587E1B4"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 xml:space="preserve">Feeder </w:t>
            </w:r>
            <w:r w:rsidR="00DC1841">
              <w:rPr>
                <w:rFonts w:cs="Arial"/>
                <w:b/>
                <w:bCs/>
                <w:color w:val="000000"/>
                <w:sz w:val="20"/>
                <w:szCs w:val="20"/>
              </w:rPr>
              <w:t>d</w:t>
            </w:r>
            <w:r w:rsidRPr="006411BA">
              <w:rPr>
                <w:rFonts w:cs="Arial"/>
                <w:b/>
                <w:bCs/>
                <w:color w:val="000000"/>
                <w:sz w:val="20"/>
                <w:szCs w:val="20"/>
              </w:rPr>
              <w:t>ata</w:t>
            </w:r>
          </w:p>
        </w:tc>
        <w:tc>
          <w:tcPr>
            <w:tcW w:w="6945" w:type="dxa"/>
            <w:tcBorders>
              <w:top w:val="nil"/>
              <w:left w:val="nil"/>
              <w:bottom w:val="nil"/>
              <w:right w:val="nil"/>
            </w:tcBorders>
            <w:shd w:val="clear" w:color="auto" w:fill="auto"/>
            <w:hideMark/>
          </w:tcPr>
          <w:p w14:paraId="06770DB1" w14:textId="21513256"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 xml:space="preserve">Feeder </w:t>
            </w:r>
            <w:r w:rsidR="002506CD">
              <w:rPr>
                <w:rFonts w:cs="Arial"/>
                <w:color w:val="000000"/>
                <w:sz w:val="20"/>
                <w:szCs w:val="20"/>
              </w:rPr>
              <w:t>d</w:t>
            </w:r>
            <w:r w:rsidRPr="006411BA">
              <w:rPr>
                <w:rFonts w:cs="Arial"/>
                <w:color w:val="000000"/>
                <w:sz w:val="20"/>
                <w:szCs w:val="20"/>
              </w:rPr>
              <w:t>ata refers to the collection of information from various hospital departmental systems used in the day to day operations of a hospital, generally for patient care purposes. These systems are used by hospital staff to record patient level information or the resources required by patients from those hospital service areas as part of the care process. The term “feeder’ is generally used to describe the extract taken from these systems which is, after review, “fed into the costing system” for costing purposes.</w:t>
            </w:r>
          </w:p>
        </w:tc>
      </w:tr>
      <w:tr w:rsidR="006411BA" w:rsidRPr="006411BA" w14:paraId="4311723E" w14:textId="77777777" w:rsidTr="0064124E">
        <w:trPr>
          <w:trHeight w:val="397"/>
        </w:trPr>
        <w:tc>
          <w:tcPr>
            <w:tcW w:w="2709" w:type="dxa"/>
            <w:tcBorders>
              <w:top w:val="nil"/>
              <w:left w:val="nil"/>
              <w:bottom w:val="nil"/>
              <w:right w:val="nil"/>
            </w:tcBorders>
            <w:shd w:val="clear" w:color="auto" w:fill="auto"/>
            <w:hideMark/>
          </w:tcPr>
          <w:p w14:paraId="7354CC18" w14:textId="77777777"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Final cost centre</w:t>
            </w:r>
          </w:p>
        </w:tc>
        <w:tc>
          <w:tcPr>
            <w:tcW w:w="6945" w:type="dxa"/>
            <w:tcBorders>
              <w:top w:val="nil"/>
              <w:left w:val="nil"/>
              <w:bottom w:val="nil"/>
              <w:right w:val="nil"/>
            </w:tcBorders>
            <w:shd w:val="clear" w:color="auto" w:fill="auto"/>
            <w:hideMark/>
          </w:tcPr>
          <w:p w14:paraId="1726B599" w14:textId="6C9761D1"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A final cost centre is a collection</w:t>
            </w:r>
            <w:r w:rsidR="00C11AC6">
              <w:rPr>
                <w:rFonts w:cs="Arial"/>
                <w:color w:val="000000"/>
                <w:sz w:val="20"/>
                <w:szCs w:val="20"/>
              </w:rPr>
              <w:t xml:space="preserve"> of costs, allocated from both production and o</w:t>
            </w:r>
            <w:r w:rsidRPr="006411BA">
              <w:rPr>
                <w:rFonts w:cs="Arial"/>
                <w:color w:val="000000"/>
                <w:sz w:val="20"/>
                <w:szCs w:val="20"/>
              </w:rPr>
              <w:t>verhead cost centres which are applica</w:t>
            </w:r>
            <w:r w:rsidR="00C11AC6">
              <w:rPr>
                <w:rFonts w:cs="Arial"/>
                <w:color w:val="000000"/>
                <w:sz w:val="20"/>
                <w:szCs w:val="20"/>
              </w:rPr>
              <w:t>ble to delivery of the Final p</w:t>
            </w:r>
            <w:r w:rsidRPr="006411BA">
              <w:rPr>
                <w:rFonts w:cs="Arial"/>
                <w:color w:val="000000"/>
                <w:sz w:val="20"/>
                <w:szCs w:val="20"/>
              </w:rPr>
              <w:t>roduct.</w:t>
            </w:r>
          </w:p>
        </w:tc>
      </w:tr>
      <w:tr w:rsidR="006411BA" w:rsidRPr="006411BA" w14:paraId="08E089B2" w14:textId="77777777" w:rsidTr="0064124E">
        <w:trPr>
          <w:trHeight w:val="397"/>
        </w:trPr>
        <w:tc>
          <w:tcPr>
            <w:tcW w:w="2709" w:type="dxa"/>
            <w:tcBorders>
              <w:top w:val="nil"/>
              <w:left w:val="nil"/>
              <w:bottom w:val="nil"/>
              <w:right w:val="nil"/>
            </w:tcBorders>
            <w:shd w:val="clear" w:color="auto" w:fill="auto"/>
            <w:hideMark/>
          </w:tcPr>
          <w:p w14:paraId="0F588F31" w14:textId="4F465892"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 xml:space="preserve">Final </w:t>
            </w:r>
            <w:r w:rsidR="00DC1841">
              <w:rPr>
                <w:rFonts w:cs="Arial"/>
                <w:b/>
                <w:bCs/>
                <w:color w:val="000000"/>
                <w:sz w:val="20"/>
                <w:szCs w:val="20"/>
              </w:rPr>
              <w:t>c</w:t>
            </w:r>
            <w:r w:rsidRPr="006411BA">
              <w:rPr>
                <w:rFonts w:cs="Arial"/>
                <w:b/>
                <w:bCs/>
                <w:color w:val="000000"/>
                <w:sz w:val="20"/>
                <w:szCs w:val="20"/>
              </w:rPr>
              <w:t xml:space="preserve">ost </w:t>
            </w:r>
            <w:r w:rsidR="00DC1841">
              <w:rPr>
                <w:rFonts w:cs="Arial"/>
                <w:b/>
                <w:bCs/>
                <w:color w:val="000000"/>
                <w:sz w:val="20"/>
                <w:szCs w:val="20"/>
              </w:rPr>
              <w:t>o</w:t>
            </w:r>
            <w:r w:rsidRPr="006411BA">
              <w:rPr>
                <w:rFonts w:cs="Arial"/>
                <w:b/>
                <w:bCs/>
                <w:color w:val="000000"/>
                <w:sz w:val="20"/>
                <w:szCs w:val="20"/>
              </w:rPr>
              <w:t>bject</w:t>
            </w:r>
          </w:p>
        </w:tc>
        <w:tc>
          <w:tcPr>
            <w:tcW w:w="6945" w:type="dxa"/>
            <w:tcBorders>
              <w:top w:val="nil"/>
              <w:left w:val="nil"/>
              <w:bottom w:val="nil"/>
              <w:right w:val="nil"/>
            </w:tcBorders>
            <w:shd w:val="clear" w:color="auto" w:fill="auto"/>
            <w:hideMark/>
          </w:tcPr>
          <w:p w14:paraId="5379F609" w14:textId="00C252D3"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 xml:space="preserve">Final </w:t>
            </w:r>
            <w:r w:rsidR="002506CD">
              <w:rPr>
                <w:rFonts w:cs="Arial"/>
                <w:color w:val="000000"/>
                <w:sz w:val="20"/>
                <w:szCs w:val="20"/>
              </w:rPr>
              <w:t>c</w:t>
            </w:r>
            <w:r w:rsidR="00C11AC6">
              <w:rPr>
                <w:rFonts w:cs="Arial"/>
                <w:color w:val="000000"/>
                <w:sz w:val="20"/>
                <w:szCs w:val="20"/>
              </w:rPr>
              <w:t>ost o</w:t>
            </w:r>
            <w:r w:rsidRPr="006411BA">
              <w:rPr>
                <w:rFonts w:cs="Arial"/>
                <w:color w:val="000000"/>
                <w:sz w:val="20"/>
                <w:szCs w:val="20"/>
              </w:rPr>
              <w:t>bjects are outputs of a production cost centre that are not consumed by another production cost centre and are not intermediate products.</w:t>
            </w:r>
          </w:p>
        </w:tc>
      </w:tr>
      <w:tr w:rsidR="006411BA" w:rsidRPr="006411BA" w14:paraId="177EED13" w14:textId="77777777" w:rsidTr="0064124E">
        <w:trPr>
          <w:trHeight w:val="397"/>
        </w:trPr>
        <w:tc>
          <w:tcPr>
            <w:tcW w:w="2709" w:type="dxa"/>
            <w:tcBorders>
              <w:top w:val="nil"/>
              <w:left w:val="nil"/>
              <w:bottom w:val="nil"/>
              <w:right w:val="nil"/>
            </w:tcBorders>
            <w:shd w:val="clear" w:color="auto" w:fill="auto"/>
            <w:hideMark/>
          </w:tcPr>
          <w:p w14:paraId="290F1DA6" w14:textId="77777777"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Financial or non-financial allocation</w:t>
            </w:r>
          </w:p>
        </w:tc>
        <w:tc>
          <w:tcPr>
            <w:tcW w:w="6945" w:type="dxa"/>
            <w:tcBorders>
              <w:top w:val="nil"/>
              <w:left w:val="nil"/>
              <w:bottom w:val="nil"/>
              <w:right w:val="nil"/>
            </w:tcBorders>
            <w:shd w:val="clear" w:color="auto" w:fill="auto"/>
            <w:hideMark/>
          </w:tcPr>
          <w:p w14:paraId="43F134AF" w14:textId="77777777"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Financial or non-financial allocation statistics are types of cost allocation bases that use financial or non-financial data respectively to allocate expenses aggregated in an overhead cost centre to relevant production cost centres.</w:t>
            </w:r>
          </w:p>
        </w:tc>
      </w:tr>
      <w:tr w:rsidR="006411BA" w:rsidRPr="006411BA" w14:paraId="1A2DA4C4" w14:textId="77777777" w:rsidTr="0064124E">
        <w:trPr>
          <w:trHeight w:val="397"/>
        </w:trPr>
        <w:tc>
          <w:tcPr>
            <w:tcW w:w="2709" w:type="dxa"/>
            <w:tcBorders>
              <w:top w:val="nil"/>
              <w:left w:val="nil"/>
              <w:bottom w:val="nil"/>
              <w:right w:val="nil"/>
            </w:tcBorders>
            <w:shd w:val="clear" w:color="auto" w:fill="auto"/>
            <w:hideMark/>
          </w:tcPr>
          <w:p w14:paraId="7B59C106" w14:textId="77777777"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Full cost</w:t>
            </w:r>
          </w:p>
        </w:tc>
        <w:tc>
          <w:tcPr>
            <w:tcW w:w="6945" w:type="dxa"/>
            <w:tcBorders>
              <w:top w:val="nil"/>
              <w:left w:val="nil"/>
              <w:bottom w:val="nil"/>
              <w:right w:val="nil"/>
            </w:tcBorders>
            <w:shd w:val="clear" w:color="auto" w:fill="auto"/>
            <w:hideMark/>
          </w:tcPr>
          <w:p w14:paraId="3D4EFC30" w14:textId="77777777"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Full cost includes the costs of goods and services consumed by an organisation, including those provided by a third party that are consumed to produce the organisation’s outputs.</w:t>
            </w:r>
          </w:p>
        </w:tc>
      </w:tr>
      <w:tr w:rsidR="006411BA" w:rsidRPr="006411BA" w14:paraId="4C6E0C7C" w14:textId="77777777" w:rsidTr="0064124E">
        <w:trPr>
          <w:trHeight w:val="397"/>
        </w:trPr>
        <w:tc>
          <w:tcPr>
            <w:tcW w:w="2709" w:type="dxa"/>
            <w:tcBorders>
              <w:top w:val="nil"/>
              <w:left w:val="nil"/>
              <w:bottom w:val="nil"/>
              <w:right w:val="nil"/>
            </w:tcBorders>
            <w:shd w:val="clear" w:color="auto" w:fill="auto"/>
            <w:hideMark/>
          </w:tcPr>
          <w:p w14:paraId="6416B92F" w14:textId="77777777"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General ledger</w:t>
            </w:r>
          </w:p>
        </w:tc>
        <w:tc>
          <w:tcPr>
            <w:tcW w:w="6945" w:type="dxa"/>
            <w:tcBorders>
              <w:top w:val="nil"/>
              <w:left w:val="nil"/>
              <w:bottom w:val="nil"/>
              <w:right w:val="nil"/>
            </w:tcBorders>
            <w:shd w:val="clear" w:color="auto" w:fill="auto"/>
            <w:hideMark/>
          </w:tcPr>
          <w:p w14:paraId="56CB32F0" w14:textId="77777777"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The general ledger holds a set of accounts that summarise all transactions occurring within an organisation and is used to create its financial statements.</w:t>
            </w:r>
          </w:p>
        </w:tc>
      </w:tr>
      <w:tr w:rsidR="006411BA" w:rsidRPr="006411BA" w14:paraId="7BAA99FA" w14:textId="77777777" w:rsidTr="0064124E">
        <w:trPr>
          <w:trHeight w:val="397"/>
        </w:trPr>
        <w:tc>
          <w:tcPr>
            <w:tcW w:w="2709" w:type="dxa"/>
            <w:tcBorders>
              <w:top w:val="nil"/>
              <w:left w:val="nil"/>
              <w:bottom w:val="nil"/>
              <w:right w:val="nil"/>
            </w:tcBorders>
            <w:shd w:val="clear" w:color="auto" w:fill="auto"/>
            <w:hideMark/>
          </w:tcPr>
          <w:p w14:paraId="34E1CF15" w14:textId="77777777"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lastRenderedPageBreak/>
              <w:t>High Dependency Unit</w:t>
            </w:r>
          </w:p>
        </w:tc>
        <w:tc>
          <w:tcPr>
            <w:tcW w:w="6945" w:type="dxa"/>
            <w:tcBorders>
              <w:top w:val="nil"/>
              <w:left w:val="nil"/>
              <w:bottom w:val="nil"/>
              <w:right w:val="nil"/>
            </w:tcBorders>
            <w:shd w:val="clear" w:color="auto" w:fill="auto"/>
            <w:hideMark/>
          </w:tcPr>
          <w:p w14:paraId="55D230E5" w14:textId="092580BB" w:rsidR="006411BA" w:rsidRPr="006411BA" w:rsidRDefault="006411BA" w:rsidP="002506CD">
            <w:pPr>
              <w:numPr>
                <w:ilvl w:val="0"/>
                <w:numId w:val="0"/>
              </w:numPr>
              <w:spacing w:before="0" w:after="160" w:line="240" w:lineRule="auto"/>
              <w:rPr>
                <w:rFonts w:cs="Arial"/>
                <w:color w:val="000000"/>
                <w:sz w:val="20"/>
                <w:szCs w:val="20"/>
              </w:rPr>
            </w:pPr>
            <w:r w:rsidRPr="006411BA">
              <w:rPr>
                <w:rFonts w:cs="Arial"/>
                <w:color w:val="000000"/>
                <w:sz w:val="20"/>
                <w:szCs w:val="20"/>
              </w:rPr>
              <w:t xml:space="preserve">HDU is </w:t>
            </w:r>
            <w:r w:rsidR="002506CD">
              <w:rPr>
                <w:rFonts w:cs="Arial"/>
                <w:color w:val="000000"/>
                <w:sz w:val="20"/>
                <w:szCs w:val="20"/>
              </w:rPr>
              <w:t>h</w:t>
            </w:r>
            <w:r w:rsidRPr="006411BA">
              <w:rPr>
                <w:rFonts w:cs="Arial"/>
                <w:color w:val="000000"/>
                <w:sz w:val="20"/>
                <w:szCs w:val="20"/>
              </w:rPr>
              <w:t xml:space="preserve">igh </w:t>
            </w:r>
            <w:r w:rsidR="002506CD">
              <w:rPr>
                <w:rFonts w:cs="Arial"/>
                <w:color w:val="000000"/>
                <w:sz w:val="20"/>
                <w:szCs w:val="20"/>
              </w:rPr>
              <w:t>d</w:t>
            </w:r>
            <w:r w:rsidRPr="006411BA">
              <w:rPr>
                <w:rFonts w:cs="Arial"/>
                <w:color w:val="000000"/>
                <w:sz w:val="20"/>
                <w:szCs w:val="20"/>
              </w:rPr>
              <w:t xml:space="preserve">ependency </w:t>
            </w:r>
            <w:r w:rsidR="002506CD">
              <w:rPr>
                <w:rFonts w:cs="Arial"/>
                <w:color w:val="000000"/>
                <w:sz w:val="20"/>
                <w:szCs w:val="20"/>
              </w:rPr>
              <w:t>u</w:t>
            </w:r>
            <w:r w:rsidRPr="006411BA">
              <w:rPr>
                <w:rFonts w:cs="Arial"/>
                <w:color w:val="000000"/>
                <w:sz w:val="20"/>
                <w:szCs w:val="20"/>
              </w:rPr>
              <w:t xml:space="preserve">nit (HDU) is a dedicated area that provides high dependency nursing care and is an area of observation for patients of higher needs than general. A HDU may be specialty specific under critical care, for example, </w:t>
            </w:r>
            <w:r w:rsidR="002506CD">
              <w:rPr>
                <w:rFonts w:cs="Arial"/>
                <w:color w:val="000000"/>
                <w:sz w:val="20"/>
                <w:szCs w:val="20"/>
              </w:rPr>
              <w:t>c</w:t>
            </w:r>
            <w:r w:rsidRPr="006411BA">
              <w:rPr>
                <w:rFonts w:cs="Arial"/>
                <w:color w:val="000000"/>
                <w:sz w:val="20"/>
                <w:szCs w:val="20"/>
              </w:rPr>
              <w:t xml:space="preserve">ardiac </w:t>
            </w:r>
            <w:r w:rsidR="002506CD">
              <w:rPr>
                <w:rFonts w:cs="Arial"/>
                <w:color w:val="000000"/>
                <w:sz w:val="20"/>
                <w:szCs w:val="20"/>
              </w:rPr>
              <w:t>s</w:t>
            </w:r>
            <w:r w:rsidRPr="006411BA">
              <w:rPr>
                <w:rFonts w:cs="Arial"/>
                <w:color w:val="000000"/>
                <w:sz w:val="20"/>
                <w:szCs w:val="20"/>
              </w:rPr>
              <w:t xml:space="preserve">urgery HDU and may exist as an attachment to or step down from either ICU or </w:t>
            </w:r>
            <w:r w:rsidR="002506CD">
              <w:rPr>
                <w:rFonts w:cs="Arial"/>
                <w:color w:val="000000"/>
                <w:sz w:val="20"/>
                <w:szCs w:val="20"/>
              </w:rPr>
              <w:t>c</w:t>
            </w:r>
            <w:r w:rsidRPr="006411BA">
              <w:rPr>
                <w:rFonts w:cs="Arial"/>
                <w:color w:val="000000"/>
                <w:sz w:val="20"/>
                <w:szCs w:val="20"/>
              </w:rPr>
              <w:t xml:space="preserve">oronary </w:t>
            </w:r>
            <w:r w:rsidR="002506CD">
              <w:rPr>
                <w:rFonts w:cs="Arial"/>
                <w:color w:val="000000"/>
                <w:sz w:val="20"/>
                <w:szCs w:val="20"/>
              </w:rPr>
              <w:t>c</w:t>
            </w:r>
            <w:r w:rsidRPr="006411BA">
              <w:rPr>
                <w:rFonts w:cs="Arial"/>
                <w:color w:val="000000"/>
                <w:sz w:val="20"/>
                <w:szCs w:val="20"/>
              </w:rPr>
              <w:t xml:space="preserve">are </w:t>
            </w:r>
            <w:r w:rsidR="002506CD">
              <w:rPr>
                <w:rFonts w:cs="Arial"/>
                <w:color w:val="000000"/>
                <w:sz w:val="20"/>
                <w:szCs w:val="20"/>
              </w:rPr>
              <w:t>u</w:t>
            </w:r>
            <w:r w:rsidRPr="006411BA">
              <w:rPr>
                <w:rFonts w:cs="Arial"/>
                <w:color w:val="000000"/>
                <w:sz w:val="20"/>
                <w:szCs w:val="20"/>
              </w:rPr>
              <w:t>nit (CCU). A HDU may be non-critical in nature and may reside within a medical or a surgical clinical ward for the purposes of close observation and provision of high levels of nursing care.</w:t>
            </w:r>
          </w:p>
        </w:tc>
      </w:tr>
      <w:tr w:rsidR="006411BA" w:rsidRPr="006411BA" w14:paraId="030C1FEC" w14:textId="77777777" w:rsidTr="0064124E">
        <w:trPr>
          <w:trHeight w:val="397"/>
        </w:trPr>
        <w:tc>
          <w:tcPr>
            <w:tcW w:w="2709" w:type="dxa"/>
            <w:vMerge w:val="restart"/>
            <w:tcBorders>
              <w:top w:val="nil"/>
              <w:left w:val="nil"/>
              <w:bottom w:val="nil"/>
              <w:right w:val="nil"/>
            </w:tcBorders>
            <w:shd w:val="clear" w:color="auto" w:fill="auto"/>
            <w:hideMark/>
          </w:tcPr>
          <w:p w14:paraId="5AE21563" w14:textId="58C0C1A3"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 xml:space="preserve">Hotel </w:t>
            </w:r>
            <w:r w:rsidR="00631701">
              <w:rPr>
                <w:rFonts w:cs="Arial"/>
                <w:b/>
                <w:bCs/>
                <w:color w:val="000000"/>
                <w:sz w:val="20"/>
                <w:szCs w:val="20"/>
              </w:rPr>
              <w:t>s</w:t>
            </w:r>
            <w:r w:rsidRPr="006411BA">
              <w:rPr>
                <w:rFonts w:cs="Arial"/>
                <w:b/>
                <w:bCs/>
                <w:color w:val="000000"/>
                <w:sz w:val="20"/>
                <w:szCs w:val="20"/>
              </w:rPr>
              <w:t>ervices</w:t>
            </w:r>
          </w:p>
        </w:tc>
        <w:tc>
          <w:tcPr>
            <w:tcW w:w="6945" w:type="dxa"/>
            <w:tcBorders>
              <w:top w:val="nil"/>
              <w:left w:val="nil"/>
              <w:bottom w:val="nil"/>
              <w:right w:val="nil"/>
            </w:tcBorders>
            <w:shd w:val="clear" w:color="auto" w:fill="auto"/>
            <w:hideMark/>
          </w:tcPr>
          <w:p w14:paraId="2E5B63B0" w14:textId="2F011156" w:rsidR="006411BA" w:rsidRPr="006411BA" w:rsidRDefault="00C11AC6" w:rsidP="00F13D07">
            <w:pPr>
              <w:numPr>
                <w:ilvl w:val="0"/>
                <w:numId w:val="0"/>
              </w:numPr>
              <w:spacing w:before="0" w:after="160" w:line="240" w:lineRule="auto"/>
              <w:rPr>
                <w:rFonts w:cs="Arial"/>
                <w:color w:val="000000"/>
                <w:sz w:val="20"/>
                <w:szCs w:val="20"/>
              </w:rPr>
            </w:pPr>
            <w:r>
              <w:rPr>
                <w:rFonts w:cs="Arial"/>
                <w:color w:val="000000"/>
                <w:sz w:val="20"/>
                <w:szCs w:val="20"/>
              </w:rPr>
              <w:t>Hotel s</w:t>
            </w:r>
            <w:r w:rsidR="006411BA" w:rsidRPr="006411BA">
              <w:rPr>
                <w:rFonts w:cs="Arial"/>
                <w:color w:val="000000"/>
                <w:sz w:val="20"/>
                <w:szCs w:val="20"/>
              </w:rPr>
              <w:t>ervices -refer to services that provide domestic services within the hospital and are not directly related to patient care and include:</w:t>
            </w:r>
          </w:p>
        </w:tc>
      </w:tr>
      <w:tr w:rsidR="006411BA" w:rsidRPr="006411BA" w14:paraId="0D7840DE" w14:textId="77777777" w:rsidTr="0064124E">
        <w:trPr>
          <w:trHeight w:val="397"/>
        </w:trPr>
        <w:tc>
          <w:tcPr>
            <w:tcW w:w="2709" w:type="dxa"/>
            <w:vMerge/>
            <w:tcBorders>
              <w:top w:val="nil"/>
              <w:left w:val="nil"/>
              <w:bottom w:val="nil"/>
              <w:right w:val="nil"/>
            </w:tcBorders>
            <w:vAlign w:val="center"/>
            <w:hideMark/>
          </w:tcPr>
          <w:p w14:paraId="03315111"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15FFB2BA" w14:textId="076DB1E5" w:rsidR="006411BA" w:rsidRPr="0064124E" w:rsidRDefault="006411BA" w:rsidP="00F13D07">
            <w:pPr>
              <w:pStyle w:val="ListParagraph"/>
              <w:numPr>
                <w:ilvl w:val="0"/>
                <w:numId w:val="17"/>
              </w:numPr>
              <w:spacing w:before="0" w:after="160" w:line="240" w:lineRule="auto"/>
              <w:ind w:left="317" w:hanging="317"/>
              <w:rPr>
                <w:rFonts w:ascii="Symbol" w:hAnsi="Symbol"/>
                <w:color w:val="000000"/>
                <w:sz w:val="20"/>
                <w:szCs w:val="20"/>
              </w:rPr>
            </w:pPr>
            <w:r w:rsidRPr="0064124E">
              <w:rPr>
                <w:rFonts w:cs="Arial"/>
                <w:color w:val="000000"/>
                <w:sz w:val="20"/>
                <w:szCs w:val="20"/>
              </w:rPr>
              <w:t>cleaning products and services;</w:t>
            </w:r>
          </w:p>
        </w:tc>
      </w:tr>
      <w:tr w:rsidR="006411BA" w:rsidRPr="006411BA" w14:paraId="30FF68C3" w14:textId="77777777" w:rsidTr="0064124E">
        <w:trPr>
          <w:trHeight w:val="397"/>
        </w:trPr>
        <w:tc>
          <w:tcPr>
            <w:tcW w:w="2709" w:type="dxa"/>
            <w:vMerge/>
            <w:tcBorders>
              <w:top w:val="nil"/>
              <w:left w:val="nil"/>
              <w:bottom w:val="nil"/>
              <w:right w:val="nil"/>
            </w:tcBorders>
            <w:vAlign w:val="center"/>
            <w:hideMark/>
          </w:tcPr>
          <w:p w14:paraId="595D3272"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67653717" w14:textId="164E6227" w:rsidR="006411BA" w:rsidRPr="0064124E" w:rsidRDefault="006411BA" w:rsidP="00F13D07">
            <w:pPr>
              <w:pStyle w:val="ListParagraph"/>
              <w:numPr>
                <w:ilvl w:val="0"/>
                <w:numId w:val="17"/>
              </w:numPr>
              <w:spacing w:before="0" w:after="160" w:line="240" w:lineRule="auto"/>
              <w:ind w:left="317" w:hanging="317"/>
              <w:rPr>
                <w:rFonts w:ascii="Symbol" w:hAnsi="Symbol"/>
                <w:color w:val="000000"/>
                <w:sz w:val="20"/>
                <w:szCs w:val="20"/>
              </w:rPr>
            </w:pPr>
            <w:r w:rsidRPr="0064124E">
              <w:rPr>
                <w:rFonts w:cs="Arial"/>
                <w:color w:val="000000"/>
                <w:sz w:val="20"/>
                <w:szCs w:val="20"/>
              </w:rPr>
              <w:t>linen and laundry services;</w:t>
            </w:r>
          </w:p>
        </w:tc>
      </w:tr>
      <w:tr w:rsidR="006411BA" w:rsidRPr="006411BA" w14:paraId="068B0A6B" w14:textId="77777777" w:rsidTr="0064124E">
        <w:trPr>
          <w:trHeight w:val="397"/>
        </w:trPr>
        <w:tc>
          <w:tcPr>
            <w:tcW w:w="2709" w:type="dxa"/>
            <w:vMerge/>
            <w:tcBorders>
              <w:top w:val="nil"/>
              <w:left w:val="nil"/>
              <w:bottom w:val="nil"/>
              <w:right w:val="nil"/>
            </w:tcBorders>
            <w:vAlign w:val="center"/>
            <w:hideMark/>
          </w:tcPr>
          <w:p w14:paraId="5162E0E6"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595AAC26" w14:textId="58184257" w:rsidR="006411BA" w:rsidRPr="0064124E" w:rsidRDefault="006411BA" w:rsidP="00F13D07">
            <w:pPr>
              <w:pStyle w:val="ListParagraph"/>
              <w:numPr>
                <w:ilvl w:val="0"/>
                <w:numId w:val="17"/>
              </w:numPr>
              <w:spacing w:before="0" w:after="160" w:line="240" w:lineRule="auto"/>
              <w:ind w:left="317" w:hanging="317"/>
              <w:rPr>
                <w:rFonts w:ascii="Symbol" w:hAnsi="Symbol"/>
                <w:color w:val="000000"/>
                <w:sz w:val="20"/>
                <w:szCs w:val="20"/>
              </w:rPr>
            </w:pPr>
            <w:r w:rsidRPr="0064124E">
              <w:rPr>
                <w:rFonts w:cs="Arial"/>
                <w:color w:val="000000"/>
                <w:sz w:val="20"/>
                <w:szCs w:val="20"/>
              </w:rPr>
              <w:t>food services (patients); and</w:t>
            </w:r>
          </w:p>
        </w:tc>
      </w:tr>
      <w:tr w:rsidR="006411BA" w:rsidRPr="006411BA" w14:paraId="17E3E154" w14:textId="77777777" w:rsidTr="0064124E">
        <w:trPr>
          <w:trHeight w:val="397"/>
        </w:trPr>
        <w:tc>
          <w:tcPr>
            <w:tcW w:w="2709" w:type="dxa"/>
            <w:vMerge/>
            <w:tcBorders>
              <w:top w:val="nil"/>
              <w:left w:val="nil"/>
              <w:bottom w:val="nil"/>
              <w:right w:val="nil"/>
            </w:tcBorders>
            <w:vAlign w:val="center"/>
            <w:hideMark/>
          </w:tcPr>
          <w:p w14:paraId="1F1B71D5"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7AEAAC60" w14:textId="738013EC" w:rsidR="006411BA" w:rsidRPr="0064124E" w:rsidRDefault="0064124E" w:rsidP="00F13D07">
            <w:pPr>
              <w:pStyle w:val="ListParagraph"/>
              <w:numPr>
                <w:ilvl w:val="0"/>
                <w:numId w:val="17"/>
              </w:numPr>
              <w:spacing w:before="0" w:after="160" w:line="240" w:lineRule="auto"/>
              <w:ind w:left="317" w:hanging="317"/>
              <w:rPr>
                <w:rFonts w:ascii="Symbol" w:hAnsi="Symbol"/>
                <w:color w:val="000000"/>
                <w:sz w:val="20"/>
                <w:szCs w:val="20"/>
              </w:rPr>
            </w:pPr>
            <w:r>
              <w:rPr>
                <w:rFonts w:cs="Arial"/>
                <w:color w:val="000000"/>
                <w:sz w:val="20"/>
                <w:szCs w:val="20"/>
              </w:rPr>
              <w:t>general hotel services.</w:t>
            </w:r>
            <w:r w:rsidR="006411BA" w:rsidRPr="0064124E">
              <w:rPr>
                <w:rFonts w:cs="Arial"/>
                <w:color w:val="000000"/>
                <w:sz w:val="20"/>
                <w:szCs w:val="20"/>
              </w:rPr>
              <w:t xml:space="preserve"> </w:t>
            </w:r>
          </w:p>
        </w:tc>
      </w:tr>
      <w:tr w:rsidR="006411BA" w:rsidRPr="006411BA" w14:paraId="729C06F6" w14:textId="77777777" w:rsidTr="0064124E">
        <w:trPr>
          <w:trHeight w:val="397"/>
        </w:trPr>
        <w:tc>
          <w:tcPr>
            <w:tcW w:w="2709" w:type="dxa"/>
            <w:vMerge w:val="restart"/>
            <w:tcBorders>
              <w:top w:val="nil"/>
              <w:left w:val="nil"/>
              <w:bottom w:val="nil"/>
              <w:right w:val="nil"/>
            </w:tcBorders>
            <w:shd w:val="clear" w:color="auto" w:fill="auto"/>
            <w:hideMark/>
          </w:tcPr>
          <w:p w14:paraId="1C481023" w14:textId="4F3811BA"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 xml:space="preserve">Imaging </w:t>
            </w:r>
            <w:r w:rsidR="00631701">
              <w:rPr>
                <w:rFonts w:cs="Arial"/>
                <w:b/>
                <w:bCs/>
                <w:color w:val="000000"/>
                <w:sz w:val="20"/>
                <w:szCs w:val="20"/>
              </w:rPr>
              <w:t>s</w:t>
            </w:r>
            <w:r w:rsidRPr="006411BA">
              <w:rPr>
                <w:rFonts w:cs="Arial"/>
                <w:b/>
                <w:bCs/>
                <w:color w:val="000000"/>
                <w:sz w:val="20"/>
                <w:szCs w:val="20"/>
              </w:rPr>
              <w:t>ervices</w:t>
            </w:r>
          </w:p>
        </w:tc>
        <w:tc>
          <w:tcPr>
            <w:tcW w:w="6945" w:type="dxa"/>
            <w:tcBorders>
              <w:top w:val="nil"/>
              <w:left w:val="nil"/>
              <w:bottom w:val="nil"/>
              <w:right w:val="nil"/>
            </w:tcBorders>
            <w:shd w:val="clear" w:color="auto" w:fill="auto"/>
            <w:hideMark/>
          </w:tcPr>
          <w:p w14:paraId="139FC02C" w14:textId="77777777"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Imaging services use techniques and processes of creating visual representations of the interior of a body for clinical analysis and diagnosis (METEoR ID: 525782). The techniques include invasive radiology, non-invasive radiology and nuclear medicine.</w:t>
            </w:r>
          </w:p>
        </w:tc>
      </w:tr>
      <w:tr w:rsidR="006411BA" w:rsidRPr="006411BA" w14:paraId="308CD8BD" w14:textId="77777777" w:rsidTr="0064124E">
        <w:trPr>
          <w:trHeight w:val="397"/>
        </w:trPr>
        <w:tc>
          <w:tcPr>
            <w:tcW w:w="2709" w:type="dxa"/>
            <w:vMerge/>
            <w:tcBorders>
              <w:top w:val="nil"/>
              <w:left w:val="nil"/>
              <w:bottom w:val="nil"/>
              <w:right w:val="nil"/>
            </w:tcBorders>
            <w:vAlign w:val="center"/>
            <w:hideMark/>
          </w:tcPr>
          <w:p w14:paraId="66C4074C"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0958D916" w14:textId="350CEE94"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Imaging is a function that is not restrictive to a particular location in a hospital, even if there is a dedicated department within a hospital.</w:t>
            </w:r>
            <w:r w:rsidR="001701AB">
              <w:rPr>
                <w:rFonts w:cs="Arial"/>
                <w:color w:val="000000"/>
                <w:sz w:val="20"/>
                <w:szCs w:val="20"/>
              </w:rPr>
              <w:t xml:space="preserve"> </w:t>
            </w:r>
            <w:r w:rsidRPr="006411BA">
              <w:rPr>
                <w:rFonts w:cs="Arial"/>
                <w:color w:val="000000"/>
                <w:sz w:val="20"/>
                <w:szCs w:val="20"/>
              </w:rPr>
              <w:t>Often the services are mobile to various locations in a hospital to provide services to patients that are not mobile.</w:t>
            </w:r>
          </w:p>
        </w:tc>
      </w:tr>
      <w:tr w:rsidR="006411BA" w:rsidRPr="006411BA" w14:paraId="49D0FD80" w14:textId="77777777" w:rsidTr="0064124E">
        <w:trPr>
          <w:trHeight w:val="397"/>
        </w:trPr>
        <w:tc>
          <w:tcPr>
            <w:tcW w:w="2709" w:type="dxa"/>
            <w:vMerge w:val="restart"/>
            <w:tcBorders>
              <w:top w:val="nil"/>
              <w:left w:val="nil"/>
              <w:bottom w:val="nil"/>
              <w:right w:val="nil"/>
            </w:tcBorders>
            <w:shd w:val="clear" w:color="auto" w:fill="auto"/>
            <w:hideMark/>
          </w:tcPr>
          <w:p w14:paraId="2663A9E5" w14:textId="77777777"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Insurance</w:t>
            </w:r>
          </w:p>
        </w:tc>
        <w:tc>
          <w:tcPr>
            <w:tcW w:w="6945" w:type="dxa"/>
            <w:tcBorders>
              <w:top w:val="nil"/>
              <w:left w:val="nil"/>
              <w:bottom w:val="nil"/>
              <w:right w:val="nil"/>
            </w:tcBorders>
            <w:shd w:val="clear" w:color="auto" w:fill="auto"/>
            <w:hideMark/>
          </w:tcPr>
          <w:p w14:paraId="58798ADC" w14:textId="77777777"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Insurance refers to the coverage by contract by which one party (generally an insurance provider) agrees to indemnify or reimburse another for loss that occurs under the terms of the contract.</w:t>
            </w:r>
          </w:p>
        </w:tc>
      </w:tr>
      <w:tr w:rsidR="006411BA" w:rsidRPr="006411BA" w14:paraId="402C10D8" w14:textId="77777777" w:rsidTr="0064124E">
        <w:trPr>
          <w:trHeight w:val="397"/>
        </w:trPr>
        <w:tc>
          <w:tcPr>
            <w:tcW w:w="2709" w:type="dxa"/>
            <w:vMerge/>
            <w:tcBorders>
              <w:top w:val="nil"/>
              <w:left w:val="nil"/>
              <w:bottom w:val="nil"/>
              <w:right w:val="nil"/>
            </w:tcBorders>
            <w:vAlign w:val="center"/>
            <w:hideMark/>
          </w:tcPr>
          <w:p w14:paraId="719A00B2"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3C19ADC4" w14:textId="77777777"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 xml:space="preserve">A number of areas such as staff and their clinical practice and buildings within the hospital are generally insured. </w:t>
            </w:r>
          </w:p>
        </w:tc>
      </w:tr>
      <w:tr w:rsidR="006411BA" w:rsidRPr="006411BA" w14:paraId="336E2AA6" w14:textId="77777777" w:rsidTr="0064124E">
        <w:trPr>
          <w:trHeight w:val="397"/>
        </w:trPr>
        <w:tc>
          <w:tcPr>
            <w:tcW w:w="2709" w:type="dxa"/>
            <w:vMerge/>
            <w:tcBorders>
              <w:top w:val="nil"/>
              <w:left w:val="nil"/>
              <w:bottom w:val="nil"/>
              <w:right w:val="nil"/>
            </w:tcBorders>
            <w:vAlign w:val="center"/>
            <w:hideMark/>
          </w:tcPr>
          <w:p w14:paraId="758F03BC"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0A8F3843" w14:textId="77777777"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The insurance contract generally specifies the financial premium or amount that is paid. This payment is an expense deemed within scope.</w:t>
            </w:r>
          </w:p>
        </w:tc>
      </w:tr>
      <w:tr w:rsidR="006411BA" w:rsidRPr="006411BA" w14:paraId="3481090D" w14:textId="77777777" w:rsidTr="0064124E">
        <w:trPr>
          <w:trHeight w:val="397"/>
        </w:trPr>
        <w:tc>
          <w:tcPr>
            <w:tcW w:w="2709" w:type="dxa"/>
            <w:tcBorders>
              <w:top w:val="nil"/>
              <w:left w:val="nil"/>
              <w:bottom w:val="nil"/>
              <w:right w:val="nil"/>
            </w:tcBorders>
            <w:shd w:val="clear" w:color="auto" w:fill="auto"/>
            <w:hideMark/>
          </w:tcPr>
          <w:p w14:paraId="2466E0A6" w14:textId="4C296DB8"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 xml:space="preserve">Intangible </w:t>
            </w:r>
            <w:r w:rsidR="00631701">
              <w:rPr>
                <w:rFonts w:cs="Arial"/>
                <w:b/>
                <w:bCs/>
                <w:color w:val="000000"/>
                <w:sz w:val="20"/>
                <w:szCs w:val="20"/>
              </w:rPr>
              <w:t>a</w:t>
            </w:r>
            <w:r w:rsidRPr="006411BA">
              <w:rPr>
                <w:rFonts w:cs="Arial"/>
                <w:b/>
                <w:bCs/>
                <w:color w:val="000000"/>
                <w:sz w:val="20"/>
                <w:szCs w:val="20"/>
              </w:rPr>
              <w:t>sset</w:t>
            </w:r>
          </w:p>
        </w:tc>
        <w:tc>
          <w:tcPr>
            <w:tcW w:w="6945" w:type="dxa"/>
            <w:tcBorders>
              <w:top w:val="nil"/>
              <w:left w:val="nil"/>
              <w:bottom w:val="nil"/>
              <w:right w:val="nil"/>
            </w:tcBorders>
            <w:shd w:val="clear" w:color="auto" w:fill="auto"/>
            <w:hideMark/>
          </w:tcPr>
          <w:p w14:paraId="19C4F894" w14:textId="77777777"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 xml:space="preserve">Intangible Asset refers to an identifiable non-monetary asset without physical substance with a life span of greater than one year. For example, software. </w:t>
            </w:r>
          </w:p>
        </w:tc>
      </w:tr>
      <w:tr w:rsidR="006411BA" w:rsidRPr="006411BA" w14:paraId="2D6AA499" w14:textId="77777777" w:rsidTr="0064124E">
        <w:trPr>
          <w:trHeight w:val="397"/>
        </w:trPr>
        <w:tc>
          <w:tcPr>
            <w:tcW w:w="2709" w:type="dxa"/>
            <w:tcBorders>
              <w:top w:val="nil"/>
              <w:left w:val="nil"/>
              <w:bottom w:val="nil"/>
              <w:right w:val="nil"/>
            </w:tcBorders>
            <w:shd w:val="clear" w:color="auto" w:fill="auto"/>
            <w:hideMark/>
          </w:tcPr>
          <w:p w14:paraId="554515E8" w14:textId="77777777"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Intensive Care Unit</w:t>
            </w:r>
          </w:p>
        </w:tc>
        <w:tc>
          <w:tcPr>
            <w:tcW w:w="6945" w:type="dxa"/>
            <w:tcBorders>
              <w:top w:val="nil"/>
              <w:left w:val="nil"/>
              <w:bottom w:val="nil"/>
              <w:right w:val="nil"/>
            </w:tcBorders>
            <w:shd w:val="clear" w:color="auto" w:fill="auto"/>
            <w:hideMark/>
          </w:tcPr>
          <w:p w14:paraId="56664B7B" w14:textId="77777777"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 xml:space="preserve">An ICU (METeOR ID: 327234) provides special expertise and facilities for the support of vital functions and utilises the skills of medical, nursing and other staff trained and experienced in the management of these problems. </w:t>
            </w:r>
          </w:p>
        </w:tc>
      </w:tr>
      <w:tr w:rsidR="006411BA" w:rsidRPr="006411BA" w14:paraId="6E3E1FF7" w14:textId="77777777" w:rsidTr="0064124E">
        <w:trPr>
          <w:trHeight w:val="397"/>
        </w:trPr>
        <w:tc>
          <w:tcPr>
            <w:tcW w:w="2709" w:type="dxa"/>
            <w:tcBorders>
              <w:top w:val="nil"/>
              <w:left w:val="nil"/>
              <w:bottom w:val="nil"/>
              <w:right w:val="nil"/>
            </w:tcBorders>
            <w:shd w:val="clear" w:color="auto" w:fill="auto"/>
            <w:hideMark/>
          </w:tcPr>
          <w:p w14:paraId="6F393F2C" w14:textId="77777777"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Intermediate products</w:t>
            </w:r>
          </w:p>
        </w:tc>
        <w:tc>
          <w:tcPr>
            <w:tcW w:w="6945" w:type="dxa"/>
            <w:tcBorders>
              <w:top w:val="nil"/>
              <w:left w:val="nil"/>
              <w:bottom w:val="nil"/>
              <w:right w:val="nil"/>
            </w:tcBorders>
            <w:shd w:val="clear" w:color="auto" w:fill="auto"/>
            <w:hideMark/>
          </w:tcPr>
          <w:p w14:paraId="023960AB" w14:textId="61A862F8"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 xml:space="preserve">Intermediate products are outputs of a production centre that are further refined or provided to another production centre to contribute to the production of an </w:t>
            </w:r>
            <w:r w:rsidR="00702703" w:rsidRPr="006411BA">
              <w:rPr>
                <w:rFonts w:cs="Arial"/>
                <w:color w:val="000000"/>
                <w:sz w:val="20"/>
                <w:szCs w:val="20"/>
              </w:rPr>
              <w:t>organisation’s</w:t>
            </w:r>
            <w:r w:rsidRPr="006411BA">
              <w:rPr>
                <w:rFonts w:cs="Arial"/>
                <w:color w:val="000000"/>
                <w:sz w:val="20"/>
                <w:szCs w:val="20"/>
              </w:rPr>
              <w:t xml:space="preserve"> final products, for example pathology testing to support diagnosis by the clinician within a non-admitted episode.</w:t>
            </w:r>
          </w:p>
        </w:tc>
      </w:tr>
      <w:tr w:rsidR="006411BA" w:rsidRPr="006411BA" w14:paraId="6C2448E3" w14:textId="77777777" w:rsidTr="0064124E">
        <w:trPr>
          <w:trHeight w:val="397"/>
        </w:trPr>
        <w:tc>
          <w:tcPr>
            <w:tcW w:w="2709" w:type="dxa"/>
            <w:tcBorders>
              <w:top w:val="nil"/>
              <w:left w:val="nil"/>
              <w:bottom w:val="nil"/>
              <w:right w:val="nil"/>
            </w:tcBorders>
            <w:shd w:val="clear" w:color="auto" w:fill="auto"/>
            <w:hideMark/>
          </w:tcPr>
          <w:p w14:paraId="605D2823" w14:textId="2F78E9C1"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 xml:space="preserve">Internal </w:t>
            </w:r>
            <w:r w:rsidR="00631701">
              <w:rPr>
                <w:rFonts w:cs="Arial"/>
                <w:b/>
                <w:bCs/>
                <w:color w:val="000000"/>
                <w:sz w:val="20"/>
                <w:szCs w:val="20"/>
              </w:rPr>
              <w:t>p</w:t>
            </w:r>
            <w:r w:rsidRPr="006411BA">
              <w:rPr>
                <w:rFonts w:cs="Arial"/>
                <w:b/>
                <w:bCs/>
                <w:color w:val="000000"/>
                <w:sz w:val="20"/>
                <w:szCs w:val="20"/>
              </w:rPr>
              <w:t xml:space="preserve">atient </w:t>
            </w:r>
            <w:r w:rsidR="00631701">
              <w:rPr>
                <w:rFonts w:cs="Arial"/>
                <w:b/>
                <w:bCs/>
                <w:color w:val="000000"/>
                <w:sz w:val="20"/>
                <w:szCs w:val="20"/>
              </w:rPr>
              <w:t>t</w:t>
            </w:r>
            <w:r w:rsidRPr="006411BA">
              <w:rPr>
                <w:rFonts w:cs="Arial"/>
                <w:b/>
                <w:bCs/>
                <w:color w:val="000000"/>
                <w:sz w:val="20"/>
                <w:szCs w:val="20"/>
              </w:rPr>
              <w:t>ransport</w:t>
            </w:r>
          </w:p>
        </w:tc>
        <w:tc>
          <w:tcPr>
            <w:tcW w:w="6945" w:type="dxa"/>
            <w:tcBorders>
              <w:top w:val="nil"/>
              <w:left w:val="nil"/>
              <w:bottom w:val="nil"/>
              <w:right w:val="nil"/>
            </w:tcBorders>
            <w:shd w:val="clear" w:color="auto" w:fill="auto"/>
            <w:hideMark/>
          </w:tcPr>
          <w:p w14:paraId="70D9BC93" w14:textId="459E763E" w:rsidR="006411BA" w:rsidRPr="006411BA" w:rsidRDefault="00C11AC6" w:rsidP="00F13D07">
            <w:pPr>
              <w:numPr>
                <w:ilvl w:val="0"/>
                <w:numId w:val="0"/>
              </w:numPr>
              <w:spacing w:before="0" w:after="160" w:line="240" w:lineRule="auto"/>
              <w:rPr>
                <w:rFonts w:cs="Arial"/>
                <w:color w:val="000000"/>
                <w:sz w:val="20"/>
                <w:szCs w:val="20"/>
              </w:rPr>
            </w:pPr>
            <w:r>
              <w:rPr>
                <w:rFonts w:cs="Arial"/>
                <w:color w:val="000000"/>
                <w:sz w:val="20"/>
                <w:szCs w:val="20"/>
              </w:rPr>
              <w:t>Internal patient t</w:t>
            </w:r>
            <w:r w:rsidR="006411BA" w:rsidRPr="006411BA">
              <w:rPr>
                <w:rFonts w:cs="Arial"/>
                <w:color w:val="000000"/>
                <w:sz w:val="20"/>
                <w:szCs w:val="20"/>
              </w:rPr>
              <w:t>ransport is non-emergency road transport between campuses or facilities within a health service in a vehicle owned and operated by the health service.</w:t>
            </w:r>
          </w:p>
        </w:tc>
      </w:tr>
      <w:tr w:rsidR="006411BA" w:rsidRPr="006411BA" w14:paraId="29570881" w14:textId="77777777" w:rsidTr="0064124E">
        <w:trPr>
          <w:trHeight w:val="397"/>
        </w:trPr>
        <w:tc>
          <w:tcPr>
            <w:tcW w:w="2709" w:type="dxa"/>
            <w:tcBorders>
              <w:top w:val="nil"/>
              <w:left w:val="nil"/>
              <w:bottom w:val="nil"/>
              <w:right w:val="nil"/>
            </w:tcBorders>
            <w:shd w:val="clear" w:color="auto" w:fill="auto"/>
            <w:hideMark/>
          </w:tcPr>
          <w:p w14:paraId="470D2579" w14:textId="4CAC5CB7"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 xml:space="preserve">Interpreter </w:t>
            </w:r>
            <w:r w:rsidR="00631701">
              <w:rPr>
                <w:rFonts w:cs="Arial"/>
                <w:b/>
                <w:bCs/>
                <w:color w:val="000000"/>
                <w:sz w:val="20"/>
                <w:szCs w:val="20"/>
              </w:rPr>
              <w:t>s</w:t>
            </w:r>
            <w:r w:rsidRPr="006411BA">
              <w:rPr>
                <w:rFonts w:cs="Arial"/>
                <w:b/>
                <w:bCs/>
                <w:color w:val="000000"/>
                <w:sz w:val="20"/>
                <w:szCs w:val="20"/>
              </w:rPr>
              <w:t>ervices</w:t>
            </w:r>
          </w:p>
        </w:tc>
        <w:tc>
          <w:tcPr>
            <w:tcW w:w="6945" w:type="dxa"/>
            <w:tcBorders>
              <w:top w:val="nil"/>
              <w:left w:val="nil"/>
              <w:bottom w:val="nil"/>
              <w:right w:val="nil"/>
            </w:tcBorders>
            <w:shd w:val="clear" w:color="auto" w:fill="auto"/>
            <w:hideMark/>
          </w:tcPr>
          <w:p w14:paraId="5E637A48" w14:textId="66F7700F" w:rsidR="006411BA" w:rsidRPr="006411BA" w:rsidRDefault="00C11AC6" w:rsidP="00F13D07">
            <w:pPr>
              <w:numPr>
                <w:ilvl w:val="0"/>
                <w:numId w:val="0"/>
              </w:numPr>
              <w:spacing w:before="0" w:after="160" w:line="240" w:lineRule="auto"/>
              <w:rPr>
                <w:rFonts w:cs="Arial"/>
                <w:color w:val="000000"/>
                <w:sz w:val="20"/>
                <w:szCs w:val="20"/>
              </w:rPr>
            </w:pPr>
            <w:r>
              <w:rPr>
                <w:rFonts w:cs="Arial"/>
                <w:color w:val="000000"/>
                <w:sz w:val="20"/>
                <w:szCs w:val="20"/>
              </w:rPr>
              <w:t>Interpreter s</w:t>
            </w:r>
            <w:r w:rsidR="006411BA" w:rsidRPr="006411BA">
              <w:rPr>
                <w:rFonts w:cs="Arial"/>
                <w:color w:val="000000"/>
                <w:sz w:val="20"/>
                <w:szCs w:val="20"/>
              </w:rPr>
              <w:t>ervices refer to professional service providers being used to facilitate communication between people. It includes verbal language such as languages other than English. It also includes non-verbal communication such persons requiring interpreter services for any form of sign language.</w:t>
            </w:r>
          </w:p>
        </w:tc>
      </w:tr>
      <w:tr w:rsidR="006411BA" w:rsidRPr="006411BA" w14:paraId="78DDA3A9" w14:textId="77777777" w:rsidTr="0064124E">
        <w:trPr>
          <w:trHeight w:val="397"/>
        </w:trPr>
        <w:tc>
          <w:tcPr>
            <w:tcW w:w="2709" w:type="dxa"/>
            <w:tcBorders>
              <w:top w:val="nil"/>
              <w:left w:val="nil"/>
              <w:bottom w:val="nil"/>
              <w:right w:val="nil"/>
            </w:tcBorders>
            <w:shd w:val="clear" w:color="auto" w:fill="auto"/>
            <w:hideMark/>
          </w:tcPr>
          <w:p w14:paraId="0AEE095E" w14:textId="77777777"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lastRenderedPageBreak/>
              <w:t>Knowledge of operations</w:t>
            </w:r>
          </w:p>
        </w:tc>
        <w:tc>
          <w:tcPr>
            <w:tcW w:w="6945" w:type="dxa"/>
            <w:tcBorders>
              <w:top w:val="nil"/>
              <w:left w:val="nil"/>
              <w:bottom w:val="nil"/>
              <w:right w:val="nil"/>
            </w:tcBorders>
            <w:shd w:val="clear" w:color="auto" w:fill="auto"/>
            <w:hideMark/>
          </w:tcPr>
          <w:p w14:paraId="68EA2015" w14:textId="77777777"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Knowledge of operations is both explicit and tacit knowledge held by staff in the organisation that allows them to undertake activities, implement process or manage resources to produce the organisation’s products effectively.</w:t>
            </w:r>
          </w:p>
        </w:tc>
      </w:tr>
      <w:tr w:rsidR="006411BA" w:rsidRPr="006411BA" w14:paraId="1FB0A44D" w14:textId="77777777" w:rsidTr="0064124E">
        <w:trPr>
          <w:trHeight w:val="397"/>
        </w:trPr>
        <w:tc>
          <w:tcPr>
            <w:tcW w:w="2709" w:type="dxa"/>
            <w:vMerge w:val="restart"/>
            <w:tcBorders>
              <w:top w:val="nil"/>
              <w:left w:val="nil"/>
              <w:bottom w:val="nil"/>
              <w:right w:val="nil"/>
            </w:tcBorders>
            <w:shd w:val="clear" w:color="auto" w:fill="auto"/>
            <w:hideMark/>
          </w:tcPr>
          <w:p w14:paraId="69DC8905" w14:textId="0B6DBCE3"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 xml:space="preserve">Labour </w:t>
            </w:r>
            <w:r w:rsidR="00631701">
              <w:rPr>
                <w:rFonts w:cs="Arial"/>
                <w:b/>
                <w:bCs/>
                <w:color w:val="000000"/>
                <w:sz w:val="20"/>
                <w:szCs w:val="20"/>
              </w:rPr>
              <w:t>c</w:t>
            </w:r>
            <w:r w:rsidRPr="006411BA">
              <w:rPr>
                <w:rFonts w:cs="Arial"/>
                <w:b/>
                <w:bCs/>
                <w:color w:val="000000"/>
                <w:sz w:val="20"/>
                <w:szCs w:val="20"/>
              </w:rPr>
              <w:t>ost</w:t>
            </w:r>
          </w:p>
        </w:tc>
        <w:tc>
          <w:tcPr>
            <w:tcW w:w="6945" w:type="dxa"/>
            <w:tcBorders>
              <w:top w:val="nil"/>
              <w:left w:val="nil"/>
              <w:bottom w:val="nil"/>
              <w:right w:val="nil"/>
            </w:tcBorders>
            <w:shd w:val="clear" w:color="auto" w:fill="auto"/>
            <w:hideMark/>
          </w:tcPr>
          <w:p w14:paraId="4C8183F8" w14:textId="77777777"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 xml:space="preserve">The definition of labour costs is adapted from ABS Labour Statistics: Concepts, Sources and Methods Cat: 6102.0.055.001 - Employee Remuneration, and is based on the concept of cost to the employer in the employment of labour. In this context labour cost relates to: </w:t>
            </w:r>
          </w:p>
        </w:tc>
      </w:tr>
      <w:tr w:rsidR="006411BA" w:rsidRPr="006411BA" w14:paraId="70EB239C" w14:textId="77777777" w:rsidTr="0064124E">
        <w:trPr>
          <w:trHeight w:val="397"/>
        </w:trPr>
        <w:tc>
          <w:tcPr>
            <w:tcW w:w="2709" w:type="dxa"/>
            <w:vMerge/>
            <w:tcBorders>
              <w:top w:val="nil"/>
              <w:left w:val="nil"/>
              <w:bottom w:val="nil"/>
              <w:right w:val="nil"/>
            </w:tcBorders>
            <w:vAlign w:val="center"/>
            <w:hideMark/>
          </w:tcPr>
          <w:p w14:paraId="569BE454"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359359DC" w14:textId="7EC845D8" w:rsidR="006411BA" w:rsidRPr="00F13D07" w:rsidRDefault="006411BA" w:rsidP="00F13D07">
            <w:pPr>
              <w:pStyle w:val="ListParagraph"/>
              <w:numPr>
                <w:ilvl w:val="0"/>
                <w:numId w:val="18"/>
              </w:numPr>
              <w:spacing w:before="0" w:after="160" w:line="240" w:lineRule="auto"/>
              <w:ind w:left="459"/>
              <w:rPr>
                <w:rFonts w:cs="Arial"/>
                <w:color w:val="000000"/>
                <w:sz w:val="20"/>
                <w:szCs w:val="20"/>
              </w:rPr>
            </w:pPr>
            <w:r w:rsidRPr="00F13D07">
              <w:rPr>
                <w:rFonts w:cs="Arial"/>
                <w:color w:val="000000"/>
                <w:sz w:val="20"/>
                <w:szCs w:val="20"/>
              </w:rPr>
              <w:t xml:space="preserve">employee salaries and wage </w:t>
            </w:r>
          </w:p>
        </w:tc>
      </w:tr>
      <w:tr w:rsidR="006411BA" w:rsidRPr="006411BA" w14:paraId="4D412CE4" w14:textId="77777777" w:rsidTr="0064124E">
        <w:trPr>
          <w:trHeight w:val="397"/>
        </w:trPr>
        <w:tc>
          <w:tcPr>
            <w:tcW w:w="2709" w:type="dxa"/>
            <w:vMerge/>
            <w:tcBorders>
              <w:top w:val="nil"/>
              <w:left w:val="nil"/>
              <w:bottom w:val="nil"/>
              <w:right w:val="nil"/>
            </w:tcBorders>
            <w:vAlign w:val="center"/>
            <w:hideMark/>
          </w:tcPr>
          <w:p w14:paraId="07C21DF2"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3D039392" w14:textId="642C6D59" w:rsidR="006411BA" w:rsidRPr="00F13D07" w:rsidRDefault="006411BA" w:rsidP="00F13D07">
            <w:pPr>
              <w:pStyle w:val="ListParagraph"/>
              <w:numPr>
                <w:ilvl w:val="0"/>
                <w:numId w:val="18"/>
              </w:numPr>
              <w:spacing w:before="0" w:after="160" w:line="240" w:lineRule="auto"/>
              <w:ind w:left="459"/>
              <w:rPr>
                <w:rFonts w:cs="Arial"/>
                <w:color w:val="000000"/>
                <w:sz w:val="20"/>
                <w:szCs w:val="20"/>
              </w:rPr>
            </w:pPr>
            <w:r w:rsidRPr="00F13D07">
              <w:rPr>
                <w:rFonts w:cs="Arial"/>
                <w:color w:val="000000"/>
                <w:sz w:val="20"/>
                <w:szCs w:val="20"/>
              </w:rPr>
              <w:t>contributions by employers, on behalf of their employees, to social security</w:t>
            </w:r>
          </w:p>
        </w:tc>
      </w:tr>
      <w:tr w:rsidR="006411BA" w:rsidRPr="006411BA" w14:paraId="182FBACE" w14:textId="77777777" w:rsidTr="0064124E">
        <w:trPr>
          <w:trHeight w:val="397"/>
        </w:trPr>
        <w:tc>
          <w:tcPr>
            <w:tcW w:w="2709" w:type="dxa"/>
            <w:vMerge/>
            <w:tcBorders>
              <w:top w:val="nil"/>
              <w:left w:val="nil"/>
              <w:bottom w:val="nil"/>
              <w:right w:val="nil"/>
            </w:tcBorders>
            <w:vAlign w:val="center"/>
            <w:hideMark/>
          </w:tcPr>
          <w:p w14:paraId="58641366"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12491177" w14:textId="1DF76450" w:rsidR="006411BA" w:rsidRPr="00F13D07" w:rsidRDefault="006411BA" w:rsidP="00F13D07">
            <w:pPr>
              <w:pStyle w:val="ListParagraph"/>
              <w:numPr>
                <w:ilvl w:val="0"/>
                <w:numId w:val="18"/>
              </w:numPr>
              <w:spacing w:before="0" w:after="160" w:line="240" w:lineRule="auto"/>
              <w:ind w:left="459"/>
              <w:rPr>
                <w:rFonts w:cs="Arial"/>
                <w:color w:val="000000"/>
                <w:sz w:val="20"/>
                <w:szCs w:val="20"/>
              </w:rPr>
            </w:pPr>
            <w:r w:rsidRPr="00F13D07">
              <w:rPr>
                <w:rFonts w:cs="Arial"/>
                <w:color w:val="000000"/>
                <w:sz w:val="20"/>
                <w:szCs w:val="20"/>
              </w:rPr>
              <w:t>all other costs borne by employers in the employment of labour such as costs of training, welfare services to employees</w:t>
            </w:r>
            <w:r w:rsidR="002506CD">
              <w:rPr>
                <w:rFonts w:cs="Arial"/>
                <w:color w:val="000000"/>
                <w:sz w:val="20"/>
                <w:szCs w:val="20"/>
              </w:rPr>
              <w:t xml:space="preserve"> and</w:t>
            </w:r>
            <w:r w:rsidRPr="00F13D07">
              <w:rPr>
                <w:rFonts w:cs="Arial"/>
                <w:color w:val="000000"/>
                <w:sz w:val="20"/>
                <w:szCs w:val="20"/>
              </w:rPr>
              <w:t xml:space="preserve"> payroll taxes</w:t>
            </w:r>
            <w:r w:rsidR="002506CD">
              <w:rPr>
                <w:rFonts w:cs="Arial"/>
                <w:color w:val="000000"/>
                <w:sz w:val="20"/>
                <w:szCs w:val="20"/>
              </w:rPr>
              <w:t>.</w:t>
            </w:r>
          </w:p>
        </w:tc>
      </w:tr>
      <w:tr w:rsidR="006411BA" w:rsidRPr="006411BA" w14:paraId="35857E00" w14:textId="77777777" w:rsidTr="0064124E">
        <w:trPr>
          <w:trHeight w:val="397"/>
        </w:trPr>
        <w:tc>
          <w:tcPr>
            <w:tcW w:w="2709" w:type="dxa"/>
            <w:tcBorders>
              <w:top w:val="nil"/>
              <w:left w:val="nil"/>
              <w:bottom w:val="nil"/>
              <w:right w:val="nil"/>
            </w:tcBorders>
            <w:shd w:val="clear" w:color="auto" w:fill="auto"/>
            <w:hideMark/>
          </w:tcPr>
          <w:p w14:paraId="4C36CA25" w14:textId="77777777" w:rsidR="00C40682" w:rsidRPr="00C40682" w:rsidRDefault="00C40682" w:rsidP="000D60B2">
            <w:pPr>
              <w:numPr>
                <w:ilvl w:val="0"/>
                <w:numId w:val="0"/>
              </w:numPr>
              <w:spacing w:before="0" w:after="160" w:line="240" w:lineRule="auto"/>
              <w:rPr>
                <w:rFonts w:cs="Arial"/>
                <w:b/>
                <w:bCs/>
                <w:color w:val="000000"/>
                <w:sz w:val="20"/>
                <w:szCs w:val="20"/>
              </w:rPr>
            </w:pPr>
            <w:r w:rsidRPr="00C40682">
              <w:rPr>
                <w:rFonts w:cs="Arial"/>
                <w:b/>
                <w:bCs/>
                <w:color w:val="000000"/>
                <w:sz w:val="20"/>
                <w:szCs w:val="20"/>
              </w:rPr>
              <w:t>Lease</w:t>
            </w:r>
          </w:p>
          <w:p w14:paraId="2EFE8365" w14:textId="77777777" w:rsidR="00C40682" w:rsidRPr="00C40682" w:rsidRDefault="00C40682" w:rsidP="00C40682">
            <w:pPr>
              <w:numPr>
                <w:ilvl w:val="0"/>
                <w:numId w:val="0"/>
              </w:numPr>
              <w:spacing w:before="0" w:after="160" w:line="240" w:lineRule="auto"/>
              <w:rPr>
                <w:rFonts w:cs="Arial"/>
                <w:b/>
                <w:bCs/>
                <w:color w:val="000000"/>
                <w:sz w:val="20"/>
                <w:szCs w:val="20"/>
              </w:rPr>
            </w:pPr>
          </w:p>
          <w:p w14:paraId="75038272" w14:textId="77777777" w:rsidR="00C40682" w:rsidRPr="00C40682" w:rsidRDefault="00C40682" w:rsidP="00C40682">
            <w:pPr>
              <w:numPr>
                <w:ilvl w:val="0"/>
                <w:numId w:val="0"/>
              </w:numPr>
              <w:spacing w:before="240" w:after="0" w:line="240" w:lineRule="auto"/>
              <w:rPr>
                <w:rFonts w:cs="Arial"/>
                <w:b/>
                <w:bCs/>
                <w:color w:val="000000"/>
                <w:sz w:val="20"/>
                <w:szCs w:val="20"/>
              </w:rPr>
            </w:pPr>
            <w:r w:rsidRPr="00C40682">
              <w:rPr>
                <w:rFonts w:cs="Arial"/>
                <w:b/>
                <w:bCs/>
                <w:color w:val="000000"/>
                <w:sz w:val="20"/>
                <w:szCs w:val="20"/>
              </w:rPr>
              <w:t>Lessee</w:t>
            </w:r>
          </w:p>
          <w:p w14:paraId="22B03791" w14:textId="77777777" w:rsidR="00C40682" w:rsidRPr="00C40682" w:rsidRDefault="00C40682" w:rsidP="00C40682">
            <w:pPr>
              <w:numPr>
                <w:ilvl w:val="0"/>
                <w:numId w:val="0"/>
              </w:numPr>
              <w:spacing w:before="0" w:after="160" w:line="240" w:lineRule="auto"/>
              <w:rPr>
                <w:rFonts w:cs="Arial"/>
                <w:b/>
                <w:bCs/>
                <w:color w:val="000000"/>
                <w:sz w:val="20"/>
                <w:szCs w:val="20"/>
              </w:rPr>
            </w:pPr>
          </w:p>
          <w:p w14:paraId="1B3669BF" w14:textId="53B4C197" w:rsidR="00C40682" w:rsidRDefault="00C40682" w:rsidP="0074298B">
            <w:pPr>
              <w:numPr>
                <w:ilvl w:val="0"/>
                <w:numId w:val="0"/>
              </w:numPr>
              <w:spacing w:before="0" w:after="160" w:line="240" w:lineRule="auto"/>
              <w:rPr>
                <w:rFonts w:cs="Arial"/>
                <w:b/>
                <w:bCs/>
                <w:color w:val="000000"/>
                <w:sz w:val="20"/>
                <w:szCs w:val="20"/>
              </w:rPr>
            </w:pPr>
            <w:r w:rsidRPr="00C40682">
              <w:rPr>
                <w:rFonts w:cs="Arial"/>
                <w:b/>
                <w:bCs/>
                <w:color w:val="000000"/>
                <w:sz w:val="20"/>
                <w:szCs w:val="20"/>
              </w:rPr>
              <w:t>Lease term</w:t>
            </w:r>
          </w:p>
          <w:p w14:paraId="637FBE68" w14:textId="77777777" w:rsidR="00B760FF" w:rsidRDefault="00B760FF" w:rsidP="00B760FF">
            <w:pPr>
              <w:numPr>
                <w:ilvl w:val="0"/>
                <w:numId w:val="0"/>
              </w:numPr>
              <w:spacing w:before="0" w:after="0" w:line="240" w:lineRule="auto"/>
              <w:rPr>
                <w:rFonts w:cs="Arial"/>
                <w:b/>
                <w:bCs/>
                <w:color w:val="000000"/>
                <w:sz w:val="20"/>
                <w:szCs w:val="20"/>
              </w:rPr>
            </w:pPr>
          </w:p>
          <w:p w14:paraId="7A1E29A1" w14:textId="4D467735" w:rsidR="006411BA" w:rsidRPr="006411BA" w:rsidRDefault="00C11AC6" w:rsidP="00F13D07">
            <w:pPr>
              <w:numPr>
                <w:ilvl w:val="0"/>
                <w:numId w:val="0"/>
              </w:numPr>
              <w:spacing w:before="0" w:after="160" w:line="240" w:lineRule="auto"/>
              <w:rPr>
                <w:rFonts w:cs="Arial"/>
                <w:b/>
                <w:bCs/>
                <w:color w:val="000000"/>
                <w:sz w:val="20"/>
                <w:szCs w:val="20"/>
              </w:rPr>
            </w:pPr>
            <w:r>
              <w:rPr>
                <w:rFonts w:cs="Arial"/>
                <w:b/>
                <w:bCs/>
                <w:color w:val="000000"/>
                <w:sz w:val="20"/>
                <w:szCs w:val="20"/>
              </w:rPr>
              <w:t>Line i</w:t>
            </w:r>
            <w:r w:rsidR="006411BA" w:rsidRPr="006411BA">
              <w:rPr>
                <w:rFonts w:cs="Arial"/>
                <w:b/>
                <w:bCs/>
                <w:color w:val="000000"/>
                <w:sz w:val="20"/>
                <w:szCs w:val="20"/>
              </w:rPr>
              <w:t>tems</w:t>
            </w:r>
          </w:p>
        </w:tc>
        <w:tc>
          <w:tcPr>
            <w:tcW w:w="6945" w:type="dxa"/>
            <w:tcBorders>
              <w:top w:val="nil"/>
              <w:left w:val="nil"/>
              <w:bottom w:val="nil"/>
              <w:right w:val="nil"/>
            </w:tcBorders>
            <w:shd w:val="clear" w:color="auto" w:fill="auto"/>
            <w:hideMark/>
          </w:tcPr>
          <w:p w14:paraId="599D8BC5" w14:textId="3E2E8546" w:rsidR="00C40682" w:rsidRDefault="00C40682" w:rsidP="00F13D07">
            <w:pPr>
              <w:numPr>
                <w:ilvl w:val="0"/>
                <w:numId w:val="0"/>
              </w:numPr>
              <w:spacing w:before="0" w:after="160" w:line="240" w:lineRule="auto"/>
              <w:rPr>
                <w:rFonts w:cs="Arial"/>
                <w:color w:val="000000"/>
                <w:sz w:val="20"/>
                <w:szCs w:val="20"/>
              </w:rPr>
            </w:pPr>
            <w:r w:rsidRPr="00C40682">
              <w:rPr>
                <w:rFonts w:cs="Arial"/>
                <w:color w:val="000000"/>
                <w:sz w:val="20"/>
                <w:szCs w:val="20"/>
              </w:rPr>
              <w:t xml:space="preserve">A lease is a contract, or part of a contract, that conveys the right to use an asset (the underlying asset) for a period of time </w:t>
            </w:r>
            <w:r w:rsidR="00640612" w:rsidRPr="00640612">
              <w:rPr>
                <w:rFonts w:cs="Arial"/>
                <w:color w:val="000000"/>
                <w:sz w:val="20"/>
                <w:szCs w:val="20"/>
              </w:rPr>
              <w:t>in return for a payment or series of payments</w:t>
            </w:r>
            <w:r w:rsidRPr="00C40682">
              <w:rPr>
                <w:rFonts w:cs="Arial"/>
                <w:color w:val="000000"/>
                <w:sz w:val="20"/>
                <w:szCs w:val="20"/>
              </w:rPr>
              <w:t>.</w:t>
            </w:r>
          </w:p>
          <w:p w14:paraId="7CA8CCC8" w14:textId="6A170C79" w:rsidR="00C40682" w:rsidRDefault="00C40682" w:rsidP="0074298B">
            <w:pPr>
              <w:numPr>
                <w:ilvl w:val="0"/>
                <w:numId w:val="0"/>
              </w:numPr>
              <w:spacing w:before="0" w:after="160" w:line="240" w:lineRule="auto"/>
              <w:rPr>
                <w:rFonts w:cs="Arial"/>
                <w:color w:val="000000"/>
                <w:sz w:val="20"/>
                <w:szCs w:val="20"/>
              </w:rPr>
            </w:pPr>
            <w:r w:rsidRPr="00C40682">
              <w:rPr>
                <w:rFonts w:cs="Arial"/>
                <w:color w:val="000000"/>
                <w:sz w:val="20"/>
                <w:szCs w:val="20"/>
              </w:rPr>
              <w:t>An entity that obtains the right to use an underlying asset for a period of time in exchange for</w:t>
            </w:r>
            <w:r w:rsidR="008E5B02">
              <w:rPr>
                <w:rFonts w:cs="Arial"/>
                <w:color w:val="000000"/>
                <w:sz w:val="20"/>
                <w:szCs w:val="20"/>
              </w:rPr>
              <w:t xml:space="preserve"> </w:t>
            </w:r>
            <w:r w:rsidR="008E5B02" w:rsidRPr="008E5B02">
              <w:rPr>
                <w:rFonts w:cs="Arial"/>
                <w:color w:val="000000"/>
                <w:sz w:val="20"/>
                <w:szCs w:val="20"/>
              </w:rPr>
              <w:t>a payment or series of payments</w:t>
            </w:r>
            <w:r w:rsidRPr="00C40682">
              <w:rPr>
                <w:rFonts w:cs="Arial"/>
                <w:color w:val="000000"/>
                <w:sz w:val="20"/>
                <w:szCs w:val="20"/>
              </w:rPr>
              <w:t>.</w:t>
            </w:r>
          </w:p>
          <w:p w14:paraId="121D5DBF" w14:textId="61790371" w:rsidR="00C40682" w:rsidRDefault="00C40682" w:rsidP="0074298B">
            <w:pPr>
              <w:numPr>
                <w:ilvl w:val="0"/>
                <w:numId w:val="0"/>
              </w:numPr>
              <w:spacing w:before="0" w:after="160" w:line="240" w:lineRule="auto"/>
              <w:rPr>
                <w:rFonts w:cs="Arial"/>
                <w:color w:val="000000"/>
                <w:sz w:val="20"/>
                <w:szCs w:val="20"/>
              </w:rPr>
            </w:pPr>
            <w:r w:rsidRPr="00C40682">
              <w:rPr>
                <w:rFonts w:cs="Arial"/>
                <w:color w:val="000000"/>
                <w:sz w:val="20"/>
                <w:szCs w:val="20"/>
              </w:rPr>
              <w:t>The non-cancellable period for which a lessee has the right to use an underlying asset.</w:t>
            </w:r>
          </w:p>
          <w:p w14:paraId="722FF98D" w14:textId="2D18195C" w:rsidR="006411BA" w:rsidRPr="006411BA" w:rsidRDefault="006411BA" w:rsidP="0074298B">
            <w:pPr>
              <w:numPr>
                <w:ilvl w:val="0"/>
                <w:numId w:val="0"/>
              </w:numPr>
              <w:spacing w:before="0" w:after="160" w:line="240" w:lineRule="auto"/>
              <w:rPr>
                <w:rFonts w:cs="Arial"/>
                <w:color w:val="000000"/>
                <w:sz w:val="20"/>
                <w:szCs w:val="20"/>
              </w:rPr>
            </w:pPr>
            <w:r w:rsidRPr="006411BA">
              <w:rPr>
                <w:rFonts w:cs="Arial"/>
                <w:color w:val="000000"/>
                <w:sz w:val="20"/>
                <w:szCs w:val="20"/>
              </w:rPr>
              <w:t>A series of mapped account codes. See Attachments.</w:t>
            </w:r>
          </w:p>
        </w:tc>
      </w:tr>
      <w:tr w:rsidR="006411BA" w:rsidRPr="006411BA" w14:paraId="123D9B85" w14:textId="77777777" w:rsidTr="0064124E">
        <w:trPr>
          <w:trHeight w:val="397"/>
        </w:trPr>
        <w:tc>
          <w:tcPr>
            <w:tcW w:w="2709" w:type="dxa"/>
            <w:vMerge w:val="restart"/>
            <w:tcBorders>
              <w:top w:val="nil"/>
              <w:left w:val="nil"/>
              <w:bottom w:val="nil"/>
              <w:right w:val="nil"/>
            </w:tcBorders>
            <w:shd w:val="clear" w:color="auto" w:fill="auto"/>
            <w:hideMark/>
          </w:tcPr>
          <w:p w14:paraId="5D3F8F81" w14:textId="77777777"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 xml:space="preserve">Matching </w:t>
            </w:r>
          </w:p>
        </w:tc>
        <w:tc>
          <w:tcPr>
            <w:tcW w:w="6945" w:type="dxa"/>
            <w:tcBorders>
              <w:top w:val="nil"/>
              <w:left w:val="nil"/>
              <w:bottom w:val="nil"/>
              <w:right w:val="nil"/>
            </w:tcBorders>
            <w:shd w:val="clear" w:color="auto" w:fill="auto"/>
            <w:hideMark/>
          </w:tcPr>
          <w:p w14:paraId="6A7128F8" w14:textId="77777777"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Matching is a general term in product costing that covers both:</w:t>
            </w:r>
          </w:p>
        </w:tc>
      </w:tr>
      <w:tr w:rsidR="006411BA" w:rsidRPr="006411BA" w14:paraId="7EB1D971" w14:textId="77777777" w:rsidTr="0064124E">
        <w:trPr>
          <w:trHeight w:val="397"/>
        </w:trPr>
        <w:tc>
          <w:tcPr>
            <w:tcW w:w="2709" w:type="dxa"/>
            <w:vMerge/>
            <w:tcBorders>
              <w:top w:val="nil"/>
              <w:left w:val="nil"/>
              <w:bottom w:val="nil"/>
              <w:right w:val="nil"/>
            </w:tcBorders>
            <w:vAlign w:val="center"/>
            <w:hideMark/>
          </w:tcPr>
          <w:p w14:paraId="60840698"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43FDE7C9" w14:textId="132579E7"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Matching expenses to a cost object directly when the expense can be easily identified as having a direct causal relationshi</w:t>
            </w:r>
            <w:r w:rsidR="00D215F6">
              <w:rPr>
                <w:rFonts w:cs="Arial"/>
                <w:color w:val="000000"/>
                <w:sz w:val="20"/>
                <w:szCs w:val="20"/>
              </w:rPr>
              <w:t>p, that is,</w:t>
            </w:r>
            <w:r w:rsidRPr="006411BA">
              <w:rPr>
                <w:rFonts w:cs="Arial"/>
                <w:color w:val="000000"/>
                <w:sz w:val="20"/>
                <w:szCs w:val="20"/>
              </w:rPr>
              <w:t xml:space="preserve"> the cost was generated as a direct result of the use of the cost object in the delivery of the hospital service, for example the price paid a given pharmaceutical prescribed to the patient</w:t>
            </w:r>
          </w:p>
        </w:tc>
      </w:tr>
      <w:tr w:rsidR="006411BA" w:rsidRPr="006411BA" w14:paraId="1D91E296" w14:textId="77777777" w:rsidTr="0064124E">
        <w:trPr>
          <w:trHeight w:val="397"/>
        </w:trPr>
        <w:tc>
          <w:tcPr>
            <w:tcW w:w="2709" w:type="dxa"/>
            <w:vMerge/>
            <w:tcBorders>
              <w:top w:val="nil"/>
              <w:left w:val="nil"/>
              <w:bottom w:val="nil"/>
              <w:right w:val="nil"/>
            </w:tcBorders>
            <w:vAlign w:val="center"/>
            <w:hideMark/>
          </w:tcPr>
          <w:p w14:paraId="07EFB293"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11A261E2" w14:textId="016139D5" w:rsidR="006411BA" w:rsidRPr="006411BA" w:rsidRDefault="006416CF" w:rsidP="00F13D07">
            <w:pPr>
              <w:numPr>
                <w:ilvl w:val="0"/>
                <w:numId w:val="0"/>
              </w:numPr>
              <w:spacing w:before="0" w:after="160" w:line="240" w:lineRule="auto"/>
              <w:rPr>
                <w:rFonts w:cs="Arial"/>
                <w:color w:val="000000"/>
                <w:sz w:val="20"/>
                <w:szCs w:val="20"/>
              </w:rPr>
            </w:pPr>
            <w:r>
              <w:rPr>
                <w:rFonts w:cs="Arial"/>
                <w:color w:val="000000"/>
                <w:sz w:val="20"/>
                <w:szCs w:val="20"/>
              </w:rPr>
              <w:t>M</w:t>
            </w:r>
            <w:r w:rsidR="006411BA" w:rsidRPr="006411BA">
              <w:rPr>
                <w:rFonts w:cs="Arial"/>
                <w:color w:val="000000"/>
                <w:sz w:val="20"/>
                <w:szCs w:val="20"/>
              </w:rPr>
              <w:t>atching expenses by means of allocation where they cannot that cannot be directly matched to the cost object, for example the allocation of the cost of nursing staff on a given ward to the patients receiving care on that ward.</w:t>
            </w:r>
          </w:p>
        </w:tc>
      </w:tr>
      <w:tr w:rsidR="006411BA" w:rsidRPr="006411BA" w14:paraId="77FD8AA1" w14:textId="77777777" w:rsidTr="0064124E">
        <w:trPr>
          <w:trHeight w:val="397"/>
        </w:trPr>
        <w:tc>
          <w:tcPr>
            <w:tcW w:w="2709" w:type="dxa"/>
            <w:tcBorders>
              <w:top w:val="nil"/>
              <w:left w:val="nil"/>
              <w:bottom w:val="nil"/>
              <w:right w:val="nil"/>
            </w:tcBorders>
            <w:shd w:val="clear" w:color="auto" w:fill="auto"/>
            <w:hideMark/>
          </w:tcPr>
          <w:p w14:paraId="00AE52E9" w14:textId="77777777"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Materiality</w:t>
            </w:r>
          </w:p>
        </w:tc>
        <w:tc>
          <w:tcPr>
            <w:tcW w:w="6945" w:type="dxa"/>
            <w:tcBorders>
              <w:top w:val="nil"/>
              <w:left w:val="nil"/>
              <w:bottom w:val="nil"/>
              <w:right w:val="nil"/>
            </w:tcBorders>
            <w:shd w:val="clear" w:color="auto" w:fill="auto"/>
            <w:hideMark/>
          </w:tcPr>
          <w:p w14:paraId="3AAF73E2" w14:textId="1FC24BDE"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Omissions or misstatements of items are material if they could, individually or collectively, influence the economic decisions of users taken on the basis of the financial statements. Materiality depends on the size and nature of the omission or misstatement judged in the surrounding circumstances. The size or nature of the item, or a combination of both, could be the determining factor (</w:t>
            </w:r>
            <w:r w:rsidR="002506CD">
              <w:rPr>
                <w:rFonts w:cs="Arial"/>
                <w:color w:val="000000"/>
                <w:sz w:val="20"/>
                <w:szCs w:val="20"/>
              </w:rPr>
              <w:t xml:space="preserve">please refer to </w:t>
            </w:r>
            <w:r w:rsidRPr="006411BA">
              <w:rPr>
                <w:rFonts w:cs="Arial"/>
                <w:color w:val="000000"/>
                <w:sz w:val="20"/>
                <w:szCs w:val="20"/>
              </w:rPr>
              <w:t>AASB 1031)</w:t>
            </w:r>
          </w:p>
        </w:tc>
      </w:tr>
      <w:tr w:rsidR="006411BA" w:rsidRPr="006411BA" w14:paraId="10890716" w14:textId="77777777" w:rsidTr="0064124E">
        <w:trPr>
          <w:trHeight w:val="397"/>
        </w:trPr>
        <w:tc>
          <w:tcPr>
            <w:tcW w:w="2709" w:type="dxa"/>
            <w:tcBorders>
              <w:top w:val="nil"/>
              <w:left w:val="nil"/>
              <w:bottom w:val="nil"/>
              <w:right w:val="nil"/>
            </w:tcBorders>
            <w:shd w:val="clear" w:color="auto" w:fill="auto"/>
            <w:hideMark/>
          </w:tcPr>
          <w:p w14:paraId="54BC2C83" w14:textId="0BF4133B"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 xml:space="preserve">National data collection/National </w:t>
            </w:r>
            <w:r w:rsidR="00631701">
              <w:rPr>
                <w:rFonts w:cs="Arial"/>
                <w:b/>
                <w:bCs/>
                <w:color w:val="000000"/>
                <w:sz w:val="20"/>
                <w:szCs w:val="20"/>
              </w:rPr>
              <w:t>d</w:t>
            </w:r>
            <w:r w:rsidRPr="006411BA">
              <w:rPr>
                <w:rFonts w:cs="Arial"/>
                <w:b/>
                <w:bCs/>
                <w:color w:val="000000"/>
                <w:sz w:val="20"/>
                <w:szCs w:val="20"/>
              </w:rPr>
              <w:t>atasets</w:t>
            </w:r>
          </w:p>
        </w:tc>
        <w:tc>
          <w:tcPr>
            <w:tcW w:w="6945" w:type="dxa"/>
            <w:tcBorders>
              <w:top w:val="nil"/>
              <w:left w:val="nil"/>
              <w:bottom w:val="nil"/>
              <w:right w:val="nil"/>
            </w:tcBorders>
            <w:shd w:val="clear" w:color="auto" w:fill="auto"/>
            <w:hideMark/>
          </w:tcPr>
          <w:p w14:paraId="52047854" w14:textId="77777777"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 xml:space="preserve">The term national data collection refers to any National Minimum Data Set or National Best Endeavours Data Set. </w:t>
            </w:r>
          </w:p>
        </w:tc>
      </w:tr>
      <w:tr w:rsidR="006411BA" w:rsidRPr="006411BA" w14:paraId="265129EF" w14:textId="77777777" w:rsidTr="0064124E">
        <w:trPr>
          <w:trHeight w:val="397"/>
        </w:trPr>
        <w:tc>
          <w:tcPr>
            <w:tcW w:w="2709" w:type="dxa"/>
            <w:tcBorders>
              <w:top w:val="nil"/>
              <w:left w:val="nil"/>
              <w:bottom w:val="nil"/>
              <w:right w:val="nil"/>
            </w:tcBorders>
            <w:shd w:val="clear" w:color="auto" w:fill="auto"/>
            <w:hideMark/>
          </w:tcPr>
          <w:p w14:paraId="73E17EED" w14:textId="6DF11BDA" w:rsidR="006411BA" w:rsidRPr="006411BA" w:rsidRDefault="00631701"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Negative</w:t>
            </w:r>
            <w:r w:rsidR="00132449">
              <w:rPr>
                <w:rFonts w:cs="Arial"/>
                <w:b/>
                <w:bCs/>
                <w:color w:val="000000"/>
                <w:sz w:val="20"/>
                <w:szCs w:val="20"/>
              </w:rPr>
              <w:t xml:space="preserve"> </w:t>
            </w:r>
            <w:r w:rsidR="006411BA" w:rsidRPr="006411BA">
              <w:rPr>
                <w:rFonts w:cs="Arial"/>
                <w:b/>
                <w:bCs/>
                <w:color w:val="000000"/>
                <w:sz w:val="20"/>
                <w:szCs w:val="20"/>
              </w:rPr>
              <w:t>Costs</w:t>
            </w:r>
          </w:p>
        </w:tc>
        <w:tc>
          <w:tcPr>
            <w:tcW w:w="6945" w:type="dxa"/>
            <w:tcBorders>
              <w:top w:val="nil"/>
              <w:left w:val="nil"/>
              <w:bottom w:val="nil"/>
              <w:right w:val="nil"/>
            </w:tcBorders>
            <w:shd w:val="clear" w:color="auto" w:fill="auto"/>
            <w:hideMark/>
          </w:tcPr>
          <w:p w14:paraId="2CCF432F" w14:textId="7BE538EB" w:rsidR="006411BA" w:rsidRPr="006411BA" w:rsidRDefault="006411BA" w:rsidP="002506CD">
            <w:pPr>
              <w:numPr>
                <w:ilvl w:val="0"/>
                <w:numId w:val="0"/>
              </w:numPr>
              <w:spacing w:before="0" w:after="160" w:line="240" w:lineRule="auto"/>
              <w:rPr>
                <w:rFonts w:cs="Arial"/>
                <w:color w:val="000000"/>
                <w:sz w:val="20"/>
                <w:szCs w:val="20"/>
              </w:rPr>
            </w:pPr>
            <w:r w:rsidRPr="006411BA">
              <w:rPr>
                <w:rFonts w:cs="Arial"/>
                <w:color w:val="000000"/>
                <w:sz w:val="20"/>
                <w:szCs w:val="20"/>
              </w:rPr>
              <w:t xml:space="preserve">Negative </w:t>
            </w:r>
            <w:r w:rsidR="002506CD">
              <w:rPr>
                <w:rFonts w:cs="Arial"/>
                <w:color w:val="000000"/>
                <w:sz w:val="20"/>
                <w:szCs w:val="20"/>
              </w:rPr>
              <w:t>c</w:t>
            </w:r>
            <w:r w:rsidRPr="006411BA">
              <w:rPr>
                <w:rFonts w:cs="Arial"/>
                <w:color w:val="000000"/>
                <w:sz w:val="20"/>
                <w:szCs w:val="20"/>
              </w:rPr>
              <w:t>osts refer to less than zero dollars which appear following the costing process for costed products at the individual account line item and cost centre level.</w:t>
            </w:r>
          </w:p>
        </w:tc>
      </w:tr>
      <w:tr w:rsidR="006411BA" w:rsidRPr="006411BA" w14:paraId="4EE50682" w14:textId="77777777" w:rsidTr="0064124E">
        <w:trPr>
          <w:trHeight w:val="397"/>
        </w:trPr>
        <w:tc>
          <w:tcPr>
            <w:tcW w:w="2709" w:type="dxa"/>
            <w:tcBorders>
              <w:top w:val="nil"/>
              <w:left w:val="nil"/>
              <w:bottom w:val="nil"/>
              <w:right w:val="nil"/>
            </w:tcBorders>
            <w:shd w:val="clear" w:color="auto" w:fill="auto"/>
            <w:hideMark/>
          </w:tcPr>
          <w:p w14:paraId="12C270B9" w14:textId="07D9B6CC"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 xml:space="preserve">Non </w:t>
            </w:r>
            <w:r w:rsidR="00631701">
              <w:rPr>
                <w:rFonts w:cs="Arial"/>
                <w:b/>
                <w:bCs/>
                <w:color w:val="000000"/>
                <w:sz w:val="20"/>
                <w:szCs w:val="20"/>
              </w:rPr>
              <w:t>a</w:t>
            </w:r>
            <w:r w:rsidR="00631701" w:rsidRPr="006411BA">
              <w:rPr>
                <w:rFonts w:cs="Arial"/>
                <w:b/>
                <w:bCs/>
                <w:color w:val="000000"/>
                <w:sz w:val="20"/>
                <w:szCs w:val="20"/>
              </w:rPr>
              <w:t>dmitted</w:t>
            </w:r>
            <w:r w:rsidR="00132449">
              <w:rPr>
                <w:rFonts w:cs="Arial"/>
                <w:b/>
                <w:bCs/>
                <w:color w:val="000000"/>
                <w:sz w:val="20"/>
                <w:szCs w:val="20"/>
              </w:rPr>
              <w:t xml:space="preserve"> Clinic/ Non</w:t>
            </w:r>
            <w:r w:rsidR="00132449">
              <w:rPr>
                <w:rFonts w:cs="Arial"/>
                <w:b/>
                <w:bCs/>
                <w:color w:val="000000"/>
                <w:sz w:val="20"/>
                <w:szCs w:val="20"/>
              </w:rPr>
              <w:noBreakHyphen/>
            </w:r>
            <w:r w:rsidRPr="006411BA">
              <w:rPr>
                <w:rFonts w:cs="Arial"/>
                <w:b/>
                <w:bCs/>
                <w:color w:val="000000"/>
                <w:sz w:val="20"/>
                <w:szCs w:val="20"/>
              </w:rPr>
              <w:t>admitted patient service units</w:t>
            </w:r>
          </w:p>
        </w:tc>
        <w:tc>
          <w:tcPr>
            <w:tcW w:w="6945" w:type="dxa"/>
            <w:tcBorders>
              <w:top w:val="nil"/>
              <w:left w:val="nil"/>
              <w:bottom w:val="nil"/>
              <w:right w:val="nil"/>
            </w:tcBorders>
            <w:shd w:val="clear" w:color="auto" w:fill="auto"/>
            <w:hideMark/>
          </w:tcPr>
          <w:p w14:paraId="486B13D7" w14:textId="1165FAAE" w:rsidR="006411BA" w:rsidRPr="006411BA" w:rsidRDefault="006411BA" w:rsidP="002506CD">
            <w:pPr>
              <w:numPr>
                <w:ilvl w:val="0"/>
                <w:numId w:val="0"/>
              </w:numPr>
              <w:spacing w:before="0" w:after="160" w:line="240" w:lineRule="auto"/>
              <w:rPr>
                <w:rFonts w:cs="Arial"/>
                <w:color w:val="000000"/>
                <w:sz w:val="20"/>
                <w:szCs w:val="20"/>
              </w:rPr>
            </w:pPr>
            <w:r w:rsidRPr="006411BA">
              <w:rPr>
                <w:rFonts w:cs="Arial"/>
                <w:color w:val="000000"/>
                <w:sz w:val="20"/>
                <w:szCs w:val="20"/>
              </w:rPr>
              <w:t>Non</w:t>
            </w:r>
            <w:r w:rsidR="002506CD">
              <w:rPr>
                <w:rFonts w:cs="Arial"/>
                <w:color w:val="000000"/>
                <w:sz w:val="20"/>
                <w:szCs w:val="20"/>
              </w:rPr>
              <w:t>-a</w:t>
            </w:r>
            <w:r w:rsidRPr="006411BA">
              <w:rPr>
                <w:rFonts w:cs="Arial"/>
                <w:color w:val="000000"/>
                <w:sz w:val="20"/>
                <w:szCs w:val="20"/>
              </w:rPr>
              <w:t xml:space="preserve">dmitted </w:t>
            </w:r>
            <w:r w:rsidR="002506CD">
              <w:rPr>
                <w:rFonts w:cs="Arial"/>
                <w:color w:val="000000"/>
                <w:sz w:val="20"/>
                <w:szCs w:val="20"/>
              </w:rPr>
              <w:t>c</w:t>
            </w:r>
            <w:r w:rsidR="00897037">
              <w:rPr>
                <w:rFonts w:cs="Arial"/>
                <w:color w:val="000000"/>
                <w:sz w:val="20"/>
                <w:szCs w:val="20"/>
              </w:rPr>
              <w:t xml:space="preserve">linic or </w:t>
            </w:r>
            <w:r w:rsidR="002506CD">
              <w:rPr>
                <w:rFonts w:cs="Arial"/>
                <w:color w:val="000000"/>
                <w:sz w:val="20"/>
                <w:szCs w:val="20"/>
              </w:rPr>
              <w:t>n</w:t>
            </w:r>
            <w:r w:rsidRPr="006411BA">
              <w:rPr>
                <w:rFonts w:cs="Arial"/>
                <w:color w:val="000000"/>
                <w:sz w:val="20"/>
                <w:szCs w:val="20"/>
              </w:rPr>
              <w:t>on-admitted patient service units are a recognised clinical team of one or more healthcare providers within a hospital, multi-purpose service or community health service that provides n</w:t>
            </w:r>
            <w:r w:rsidR="00897037">
              <w:rPr>
                <w:rFonts w:cs="Arial"/>
                <w:color w:val="000000"/>
                <w:sz w:val="20"/>
                <w:szCs w:val="20"/>
              </w:rPr>
              <w:t xml:space="preserve">on-admitted patient services </w:t>
            </w:r>
            <w:r w:rsidRPr="006411BA">
              <w:rPr>
                <w:rFonts w:cs="Arial"/>
                <w:color w:val="000000"/>
                <w:sz w:val="20"/>
                <w:szCs w:val="20"/>
              </w:rPr>
              <w:t>or non-admitted patient support activities.</w:t>
            </w:r>
          </w:p>
        </w:tc>
      </w:tr>
      <w:tr w:rsidR="006411BA" w:rsidRPr="006411BA" w14:paraId="1F8DDD08" w14:textId="77777777" w:rsidTr="0064124E">
        <w:trPr>
          <w:trHeight w:val="397"/>
        </w:trPr>
        <w:tc>
          <w:tcPr>
            <w:tcW w:w="2709" w:type="dxa"/>
            <w:tcBorders>
              <w:top w:val="nil"/>
              <w:left w:val="nil"/>
              <w:bottom w:val="nil"/>
              <w:right w:val="nil"/>
            </w:tcBorders>
            <w:shd w:val="clear" w:color="auto" w:fill="auto"/>
            <w:hideMark/>
          </w:tcPr>
          <w:p w14:paraId="4337762E" w14:textId="77777777"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 xml:space="preserve">Non-admitted patient </w:t>
            </w:r>
          </w:p>
        </w:tc>
        <w:tc>
          <w:tcPr>
            <w:tcW w:w="6945" w:type="dxa"/>
            <w:tcBorders>
              <w:top w:val="nil"/>
              <w:left w:val="nil"/>
              <w:bottom w:val="nil"/>
              <w:right w:val="nil"/>
            </w:tcBorders>
            <w:shd w:val="clear" w:color="auto" w:fill="auto"/>
            <w:hideMark/>
          </w:tcPr>
          <w:p w14:paraId="41BD8B18" w14:textId="12D01242"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Non-admitted patient means services as provided as defined in (METeOR ID: 584028)</w:t>
            </w:r>
            <w:r w:rsidR="002506CD">
              <w:rPr>
                <w:rFonts w:cs="Arial"/>
                <w:color w:val="000000"/>
                <w:sz w:val="20"/>
                <w:szCs w:val="20"/>
              </w:rPr>
              <w:t>.</w:t>
            </w:r>
          </w:p>
        </w:tc>
      </w:tr>
      <w:tr w:rsidR="006411BA" w:rsidRPr="006411BA" w14:paraId="1DD9D3D6" w14:textId="77777777" w:rsidTr="0064124E">
        <w:trPr>
          <w:trHeight w:val="397"/>
        </w:trPr>
        <w:tc>
          <w:tcPr>
            <w:tcW w:w="2709" w:type="dxa"/>
            <w:tcBorders>
              <w:top w:val="nil"/>
              <w:left w:val="nil"/>
              <w:bottom w:val="nil"/>
              <w:right w:val="nil"/>
            </w:tcBorders>
            <w:shd w:val="clear" w:color="auto" w:fill="auto"/>
            <w:hideMark/>
          </w:tcPr>
          <w:p w14:paraId="2065300F" w14:textId="5515DCE2" w:rsidR="006411BA" w:rsidRPr="006411BA" w:rsidRDefault="006411BA" w:rsidP="00C11AC6">
            <w:pPr>
              <w:numPr>
                <w:ilvl w:val="0"/>
                <w:numId w:val="0"/>
              </w:numPr>
              <w:spacing w:before="0" w:after="160" w:line="240" w:lineRule="auto"/>
              <w:rPr>
                <w:rFonts w:cs="Arial"/>
                <w:b/>
                <w:bCs/>
                <w:color w:val="000000"/>
                <w:sz w:val="20"/>
                <w:szCs w:val="20"/>
              </w:rPr>
            </w:pPr>
            <w:r w:rsidRPr="006411BA">
              <w:rPr>
                <w:rFonts w:cs="Arial"/>
                <w:b/>
                <w:bCs/>
                <w:color w:val="000000"/>
                <w:sz w:val="20"/>
                <w:szCs w:val="20"/>
              </w:rPr>
              <w:lastRenderedPageBreak/>
              <w:t>Non-</w:t>
            </w:r>
            <w:r w:rsidR="00631701">
              <w:rPr>
                <w:rFonts w:cs="Arial"/>
                <w:b/>
                <w:bCs/>
                <w:color w:val="000000"/>
                <w:sz w:val="20"/>
                <w:szCs w:val="20"/>
              </w:rPr>
              <w:t>e</w:t>
            </w:r>
            <w:r w:rsidRPr="006411BA">
              <w:rPr>
                <w:rFonts w:cs="Arial"/>
                <w:b/>
                <w:bCs/>
                <w:color w:val="000000"/>
                <w:sz w:val="20"/>
                <w:szCs w:val="20"/>
              </w:rPr>
              <w:t xml:space="preserve">mergency </w:t>
            </w:r>
            <w:r w:rsidR="00631701">
              <w:rPr>
                <w:rFonts w:cs="Arial"/>
                <w:b/>
                <w:bCs/>
                <w:color w:val="000000"/>
                <w:sz w:val="20"/>
                <w:szCs w:val="20"/>
              </w:rPr>
              <w:t>p</w:t>
            </w:r>
            <w:r w:rsidR="00631701" w:rsidRPr="006411BA">
              <w:rPr>
                <w:rFonts w:cs="Arial"/>
                <w:b/>
                <w:bCs/>
                <w:color w:val="000000"/>
                <w:sz w:val="20"/>
                <w:szCs w:val="20"/>
              </w:rPr>
              <w:t xml:space="preserve">atient </w:t>
            </w:r>
            <w:r w:rsidR="00631701">
              <w:rPr>
                <w:rFonts w:cs="Arial"/>
                <w:b/>
                <w:bCs/>
                <w:color w:val="000000"/>
                <w:sz w:val="20"/>
                <w:szCs w:val="20"/>
              </w:rPr>
              <w:t>t</w:t>
            </w:r>
            <w:r w:rsidR="00631701" w:rsidRPr="006411BA">
              <w:rPr>
                <w:rFonts w:cs="Arial"/>
                <w:b/>
                <w:bCs/>
                <w:color w:val="000000"/>
                <w:sz w:val="20"/>
                <w:szCs w:val="20"/>
              </w:rPr>
              <w:t xml:space="preserve">ransport </w:t>
            </w:r>
          </w:p>
        </w:tc>
        <w:tc>
          <w:tcPr>
            <w:tcW w:w="6945" w:type="dxa"/>
            <w:tcBorders>
              <w:top w:val="nil"/>
              <w:left w:val="nil"/>
              <w:bottom w:val="nil"/>
              <w:right w:val="nil"/>
            </w:tcBorders>
            <w:shd w:val="clear" w:color="auto" w:fill="auto"/>
            <w:hideMark/>
          </w:tcPr>
          <w:p w14:paraId="64F1731C" w14:textId="2644EAC7" w:rsidR="006411BA" w:rsidRPr="006411BA" w:rsidRDefault="006411BA" w:rsidP="002506CD">
            <w:pPr>
              <w:numPr>
                <w:ilvl w:val="0"/>
                <w:numId w:val="0"/>
              </w:numPr>
              <w:spacing w:before="0" w:after="160" w:line="240" w:lineRule="auto"/>
              <w:rPr>
                <w:rFonts w:cs="Arial"/>
                <w:color w:val="000000"/>
                <w:sz w:val="20"/>
                <w:szCs w:val="20"/>
              </w:rPr>
            </w:pPr>
            <w:r w:rsidRPr="006411BA">
              <w:rPr>
                <w:rFonts w:cs="Arial"/>
                <w:color w:val="000000"/>
                <w:sz w:val="20"/>
                <w:szCs w:val="20"/>
              </w:rPr>
              <w:t>Non-</w:t>
            </w:r>
            <w:r w:rsidR="002506CD">
              <w:rPr>
                <w:rFonts w:cs="Arial"/>
                <w:color w:val="000000"/>
                <w:sz w:val="20"/>
                <w:szCs w:val="20"/>
              </w:rPr>
              <w:t>e</w:t>
            </w:r>
            <w:r w:rsidRPr="006411BA">
              <w:rPr>
                <w:rFonts w:cs="Arial"/>
                <w:color w:val="000000"/>
                <w:sz w:val="20"/>
                <w:szCs w:val="20"/>
              </w:rPr>
              <w:t xml:space="preserve">mergency </w:t>
            </w:r>
            <w:r w:rsidR="002506CD">
              <w:rPr>
                <w:rFonts w:cs="Arial"/>
                <w:color w:val="000000"/>
                <w:sz w:val="20"/>
                <w:szCs w:val="20"/>
              </w:rPr>
              <w:t>p</w:t>
            </w:r>
            <w:r w:rsidRPr="006411BA">
              <w:rPr>
                <w:rFonts w:cs="Arial"/>
                <w:color w:val="000000"/>
                <w:sz w:val="20"/>
                <w:szCs w:val="20"/>
              </w:rPr>
              <w:t xml:space="preserve">atient </w:t>
            </w:r>
            <w:r w:rsidR="002506CD">
              <w:rPr>
                <w:rFonts w:cs="Arial"/>
                <w:color w:val="000000"/>
                <w:sz w:val="20"/>
                <w:szCs w:val="20"/>
              </w:rPr>
              <w:t>t</w:t>
            </w:r>
            <w:r w:rsidRPr="006411BA">
              <w:rPr>
                <w:rFonts w:cs="Arial"/>
                <w:color w:val="000000"/>
                <w:sz w:val="20"/>
                <w:szCs w:val="20"/>
              </w:rPr>
              <w:t xml:space="preserve">ransport (NEPT) refers to non-emergency road transportation to or from a health or diagnostic facility, inter-hospital transfers and transport to or from non-acute health services such as residential aged care and </w:t>
            </w:r>
            <w:r w:rsidR="002506CD">
              <w:rPr>
                <w:rFonts w:cs="Arial"/>
                <w:color w:val="000000"/>
                <w:sz w:val="20"/>
                <w:szCs w:val="20"/>
              </w:rPr>
              <w:t>c</w:t>
            </w:r>
            <w:r w:rsidRPr="006411BA">
              <w:rPr>
                <w:rFonts w:cs="Arial"/>
                <w:color w:val="000000"/>
                <w:sz w:val="20"/>
                <w:szCs w:val="20"/>
              </w:rPr>
              <w:t xml:space="preserve">ommunity </w:t>
            </w:r>
            <w:r w:rsidR="002506CD">
              <w:rPr>
                <w:rFonts w:cs="Arial"/>
                <w:color w:val="000000"/>
                <w:sz w:val="20"/>
                <w:szCs w:val="20"/>
              </w:rPr>
              <w:t>h</w:t>
            </w:r>
            <w:r w:rsidRPr="006411BA">
              <w:rPr>
                <w:rFonts w:cs="Arial"/>
                <w:color w:val="000000"/>
                <w:sz w:val="20"/>
                <w:szCs w:val="20"/>
              </w:rPr>
              <w:t xml:space="preserve">ealth </w:t>
            </w:r>
            <w:r w:rsidR="002506CD">
              <w:rPr>
                <w:rFonts w:cs="Arial"/>
                <w:color w:val="000000"/>
                <w:sz w:val="20"/>
                <w:szCs w:val="20"/>
              </w:rPr>
              <w:t>s</w:t>
            </w:r>
            <w:r w:rsidRPr="006411BA">
              <w:rPr>
                <w:rFonts w:cs="Arial"/>
                <w:color w:val="000000"/>
                <w:sz w:val="20"/>
                <w:szCs w:val="20"/>
              </w:rPr>
              <w:t>ervices. NEPT only refers to road transport and must always be requested by a clinician.</w:t>
            </w:r>
          </w:p>
        </w:tc>
      </w:tr>
      <w:tr w:rsidR="006411BA" w:rsidRPr="006411BA" w14:paraId="4C0924E4" w14:textId="77777777" w:rsidTr="0064124E">
        <w:trPr>
          <w:trHeight w:val="397"/>
        </w:trPr>
        <w:tc>
          <w:tcPr>
            <w:tcW w:w="2709" w:type="dxa"/>
            <w:tcBorders>
              <w:top w:val="nil"/>
              <w:left w:val="nil"/>
              <w:bottom w:val="nil"/>
              <w:right w:val="nil"/>
            </w:tcBorders>
            <w:shd w:val="clear" w:color="auto" w:fill="auto"/>
            <w:hideMark/>
          </w:tcPr>
          <w:p w14:paraId="48A08A57" w14:textId="77777777"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Non-patient products</w:t>
            </w:r>
          </w:p>
        </w:tc>
        <w:tc>
          <w:tcPr>
            <w:tcW w:w="6945" w:type="dxa"/>
            <w:tcBorders>
              <w:top w:val="nil"/>
              <w:left w:val="nil"/>
              <w:bottom w:val="nil"/>
              <w:right w:val="nil"/>
            </w:tcBorders>
            <w:shd w:val="clear" w:color="auto" w:fill="auto"/>
            <w:hideMark/>
          </w:tcPr>
          <w:p w14:paraId="51E7FE07" w14:textId="77777777"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Non-patient products are all goods and service that the organisation may provide other than patient products.</w:t>
            </w:r>
          </w:p>
        </w:tc>
      </w:tr>
      <w:tr w:rsidR="006411BA" w:rsidRPr="006411BA" w14:paraId="5FFE553C" w14:textId="77777777" w:rsidTr="0064124E">
        <w:trPr>
          <w:trHeight w:val="397"/>
        </w:trPr>
        <w:tc>
          <w:tcPr>
            <w:tcW w:w="2709" w:type="dxa"/>
            <w:vMerge w:val="restart"/>
            <w:tcBorders>
              <w:top w:val="nil"/>
              <w:left w:val="nil"/>
              <w:bottom w:val="nil"/>
              <w:right w:val="nil"/>
            </w:tcBorders>
            <w:shd w:val="clear" w:color="auto" w:fill="auto"/>
            <w:hideMark/>
          </w:tcPr>
          <w:p w14:paraId="15D90A35" w14:textId="77777777"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Offsetting</w:t>
            </w:r>
          </w:p>
        </w:tc>
        <w:tc>
          <w:tcPr>
            <w:tcW w:w="6945" w:type="dxa"/>
            <w:tcBorders>
              <w:top w:val="nil"/>
              <w:left w:val="nil"/>
              <w:bottom w:val="nil"/>
              <w:right w:val="nil"/>
            </w:tcBorders>
            <w:shd w:val="clear" w:color="auto" w:fill="auto"/>
            <w:hideMark/>
          </w:tcPr>
          <w:p w14:paraId="426962C1" w14:textId="77777777"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Offsetting means the reduction of an expense by income or vice versa so that only the net amount is reflected in product costing.</w:t>
            </w:r>
          </w:p>
        </w:tc>
      </w:tr>
      <w:tr w:rsidR="006411BA" w:rsidRPr="006411BA" w14:paraId="1F96EE5F" w14:textId="77777777" w:rsidTr="0064124E">
        <w:trPr>
          <w:trHeight w:val="397"/>
        </w:trPr>
        <w:tc>
          <w:tcPr>
            <w:tcW w:w="2709" w:type="dxa"/>
            <w:vMerge/>
            <w:tcBorders>
              <w:top w:val="nil"/>
              <w:left w:val="nil"/>
              <w:bottom w:val="nil"/>
              <w:right w:val="nil"/>
            </w:tcBorders>
            <w:vAlign w:val="center"/>
            <w:hideMark/>
          </w:tcPr>
          <w:p w14:paraId="3B18D7CF"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431BE116" w14:textId="77777777"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Income and expenses should only be offset where offsetting reflects the substance of the transaction.</w:t>
            </w:r>
          </w:p>
        </w:tc>
      </w:tr>
      <w:tr w:rsidR="006411BA" w:rsidRPr="006411BA" w14:paraId="7C4D2708" w14:textId="77777777" w:rsidTr="0064124E">
        <w:trPr>
          <w:trHeight w:val="397"/>
        </w:trPr>
        <w:tc>
          <w:tcPr>
            <w:tcW w:w="2709" w:type="dxa"/>
            <w:tcBorders>
              <w:top w:val="nil"/>
              <w:left w:val="nil"/>
              <w:bottom w:val="nil"/>
              <w:right w:val="nil"/>
            </w:tcBorders>
            <w:shd w:val="clear" w:color="auto" w:fill="auto"/>
            <w:hideMark/>
          </w:tcPr>
          <w:p w14:paraId="59ABA04A" w14:textId="4DA4B5BF"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 xml:space="preserve">Operating </w:t>
            </w:r>
            <w:r w:rsidR="00631701">
              <w:rPr>
                <w:rFonts w:cs="Arial"/>
                <w:b/>
                <w:bCs/>
                <w:color w:val="000000"/>
                <w:sz w:val="20"/>
                <w:szCs w:val="20"/>
              </w:rPr>
              <w:t>r</w:t>
            </w:r>
            <w:r w:rsidRPr="006411BA">
              <w:rPr>
                <w:rFonts w:cs="Arial"/>
                <w:b/>
                <w:bCs/>
                <w:color w:val="000000"/>
                <w:sz w:val="20"/>
                <w:szCs w:val="20"/>
              </w:rPr>
              <w:t>oom</w:t>
            </w:r>
          </w:p>
        </w:tc>
        <w:tc>
          <w:tcPr>
            <w:tcW w:w="6945" w:type="dxa"/>
            <w:tcBorders>
              <w:top w:val="nil"/>
              <w:left w:val="nil"/>
              <w:bottom w:val="nil"/>
              <w:right w:val="nil"/>
            </w:tcBorders>
            <w:shd w:val="clear" w:color="auto" w:fill="auto"/>
            <w:hideMark/>
          </w:tcPr>
          <w:p w14:paraId="283109AE" w14:textId="77777777"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Operating room refers to a designated area of a hospital where significant surgical procedures are carried out under surgical conditions under the supervision of qualified medical practitioners. The operating room must be equipped to deliver general anaesthesia and conform to the College of Anaesthetists and the Faculty of Intensive Care standards. (METeOR ID 584569).</w:t>
            </w:r>
          </w:p>
        </w:tc>
      </w:tr>
      <w:tr w:rsidR="006411BA" w:rsidRPr="006411BA" w14:paraId="0AB12FEC" w14:textId="77777777" w:rsidTr="0064124E">
        <w:trPr>
          <w:trHeight w:val="397"/>
        </w:trPr>
        <w:tc>
          <w:tcPr>
            <w:tcW w:w="2709" w:type="dxa"/>
            <w:tcBorders>
              <w:top w:val="nil"/>
              <w:left w:val="nil"/>
              <w:bottom w:val="nil"/>
              <w:right w:val="nil"/>
            </w:tcBorders>
            <w:shd w:val="clear" w:color="auto" w:fill="auto"/>
            <w:hideMark/>
          </w:tcPr>
          <w:p w14:paraId="36DF6168" w14:textId="3E7998F0"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 xml:space="preserve">Order </w:t>
            </w:r>
            <w:r w:rsidR="00631701">
              <w:rPr>
                <w:rFonts w:cs="Arial"/>
                <w:b/>
                <w:bCs/>
                <w:color w:val="000000"/>
                <w:sz w:val="20"/>
                <w:szCs w:val="20"/>
              </w:rPr>
              <w:t>r</w:t>
            </w:r>
            <w:r w:rsidR="00631701" w:rsidRPr="006411BA">
              <w:rPr>
                <w:rFonts w:cs="Arial"/>
                <w:b/>
                <w:bCs/>
                <w:color w:val="000000"/>
                <w:sz w:val="20"/>
                <w:szCs w:val="20"/>
              </w:rPr>
              <w:t xml:space="preserve">equest </w:t>
            </w:r>
            <w:r w:rsidR="00631701">
              <w:rPr>
                <w:rFonts w:cs="Arial"/>
                <w:b/>
                <w:bCs/>
                <w:color w:val="000000"/>
                <w:sz w:val="20"/>
                <w:szCs w:val="20"/>
              </w:rPr>
              <w:t>p</w:t>
            </w:r>
            <w:r w:rsidR="00631701" w:rsidRPr="006411BA">
              <w:rPr>
                <w:rFonts w:cs="Arial"/>
                <w:b/>
                <w:bCs/>
                <w:color w:val="000000"/>
                <w:sz w:val="20"/>
                <w:szCs w:val="20"/>
              </w:rPr>
              <w:t>oint</w:t>
            </w:r>
          </w:p>
        </w:tc>
        <w:tc>
          <w:tcPr>
            <w:tcW w:w="6945" w:type="dxa"/>
            <w:tcBorders>
              <w:top w:val="nil"/>
              <w:left w:val="nil"/>
              <w:bottom w:val="nil"/>
              <w:right w:val="nil"/>
            </w:tcBorders>
            <w:shd w:val="clear" w:color="auto" w:fill="auto"/>
            <w:hideMark/>
          </w:tcPr>
          <w:p w14:paraId="32A8A43B" w14:textId="275F7A84" w:rsidR="006411BA" w:rsidRPr="006411BA" w:rsidRDefault="006411BA" w:rsidP="002506CD">
            <w:pPr>
              <w:numPr>
                <w:ilvl w:val="0"/>
                <w:numId w:val="0"/>
              </w:numPr>
              <w:spacing w:before="0" w:after="160" w:line="240" w:lineRule="auto"/>
              <w:rPr>
                <w:rFonts w:cs="Arial"/>
                <w:color w:val="000000"/>
                <w:sz w:val="20"/>
                <w:szCs w:val="20"/>
              </w:rPr>
            </w:pPr>
            <w:r w:rsidRPr="006411BA">
              <w:rPr>
                <w:rFonts w:cs="Arial"/>
                <w:color w:val="000000"/>
                <w:sz w:val="20"/>
                <w:szCs w:val="20"/>
              </w:rPr>
              <w:t xml:space="preserve">Order </w:t>
            </w:r>
            <w:r w:rsidR="002506CD">
              <w:rPr>
                <w:rFonts w:cs="Arial"/>
                <w:color w:val="000000"/>
                <w:sz w:val="20"/>
                <w:szCs w:val="20"/>
              </w:rPr>
              <w:t>r</w:t>
            </w:r>
            <w:r w:rsidRPr="006411BA">
              <w:rPr>
                <w:rFonts w:cs="Arial"/>
                <w:color w:val="000000"/>
                <w:sz w:val="20"/>
                <w:szCs w:val="20"/>
              </w:rPr>
              <w:t xml:space="preserve">equest </w:t>
            </w:r>
            <w:r w:rsidR="002506CD">
              <w:rPr>
                <w:rFonts w:cs="Arial"/>
                <w:color w:val="000000"/>
                <w:sz w:val="20"/>
                <w:szCs w:val="20"/>
              </w:rPr>
              <w:t>p</w:t>
            </w:r>
            <w:r w:rsidRPr="006411BA">
              <w:rPr>
                <w:rFonts w:cs="Arial"/>
                <w:color w:val="000000"/>
                <w:sz w:val="20"/>
                <w:szCs w:val="20"/>
              </w:rPr>
              <w:t>oint refers to the area within the hospital that orders or pre</w:t>
            </w:r>
            <w:r w:rsidR="00897037">
              <w:rPr>
                <w:rFonts w:cs="Arial"/>
                <w:color w:val="000000"/>
                <w:sz w:val="20"/>
                <w:szCs w:val="20"/>
              </w:rPr>
              <w:t xml:space="preserve">scribes an intermediate product or </w:t>
            </w:r>
            <w:r w:rsidRPr="006411BA">
              <w:rPr>
                <w:rFonts w:cs="Arial"/>
                <w:color w:val="000000"/>
                <w:sz w:val="20"/>
                <w:szCs w:val="20"/>
              </w:rPr>
              <w:t>service. It can also be known as Point of Service.</w:t>
            </w:r>
          </w:p>
        </w:tc>
      </w:tr>
      <w:tr w:rsidR="006411BA" w:rsidRPr="006411BA" w14:paraId="3E7EFC2E" w14:textId="77777777" w:rsidTr="0064124E">
        <w:trPr>
          <w:trHeight w:val="397"/>
        </w:trPr>
        <w:tc>
          <w:tcPr>
            <w:tcW w:w="2709" w:type="dxa"/>
            <w:tcBorders>
              <w:top w:val="nil"/>
              <w:left w:val="nil"/>
              <w:bottom w:val="nil"/>
              <w:right w:val="nil"/>
            </w:tcBorders>
            <w:shd w:val="clear" w:color="auto" w:fill="auto"/>
            <w:hideMark/>
          </w:tcPr>
          <w:p w14:paraId="4A8824F6" w14:textId="59ED04E7"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 xml:space="preserve">Other </w:t>
            </w:r>
            <w:r w:rsidR="00631701">
              <w:rPr>
                <w:rFonts w:cs="Arial"/>
                <w:b/>
                <w:bCs/>
                <w:color w:val="000000"/>
                <w:sz w:val="20"/>
                <w:szCs w:val="20"/>
              </w:rPr>
              <w:t>n</w:t>
            </w:r>
            <w:r w:rsidR="00631701" w:rsidRPr="006411BA">
              <w:rPr>
                <w:rFonts w:cs="Arial"/>
                <w:b/>
                <w:bCs/>
                <w:color w:val="000000"/>
                <w:sz w:val="20"/>
                <w:szCs w:val="20"/>
              </w:rPr>
              <w:t>on</w:t>
            </w:r>
            <w:r w:rsidRPr="006411BA">
              <w:rPr>
                <w:rFonts w:cs="Arial"/>
                <w:b/>
                <w:bCs/>
                <w:color w:val="000000"/>
                <w:sz w:val="20"/>
                <w:szCs w:val="20"/>
              </w:rPr>
              <w:t>-patient products</w:t>
            </w:r>
          </w:p>
        </w:tc>
        <w:tc>
          <w:tcPr>
            <w:tcW w:w="6945" w:type="dxa"/>
            <w:tcBorders>
              <w:top w:val="nil"/>
              <w:left w:val="nil"/>
              <w:bottom w:val="nil"/>
              <w:right w:val="nil"/>
            </w:tcBorders>
            <w:shd w:val="clear" w:color="auto" w:fill="auto"/>
            <w:hideMark/>
          </w:tcPr>
          <w:p w14:paraId="63FEBBFE" w14:textId="27A6106D" w:rsidR="006411BA" w:rsidRPr="006411BA" w:rsidRDefault="00F516F9" w:rsidP="00F13D07">
            <w:pPr>
              <w:numPr>
                <w:ilvl w:val="0"/>
                <w:numId w:val="0"/>
              </w:numPr>
              <w:spacing w:before="0" w:after="160" w:line="240" w:lineRule="auto"/>
              <w:rPr>
                <w:rFonts w:cs="Arial"/>
                <w:color w:val="000000"/>
                <w:sz w:val="20"/>
                <w:szCs w:val="20"/>
              </w:rPr>
            </w:pPr>
            <w:r>
              <w:rPr>
                <w:rFonts w:cs="Arial"/>
                <w:color w:val="000000"/>
                <w:sz w:val="20"/>
                <w:szCs w:val="20"/>
              </w:rPr>
              <w:t>Other n</w:t>
            </w:r>
            <w:r w:rsidR="006411BA" w:rsidRPr="006411BA">
              <w:rPr>
                <w:rFonts w:cs="Arial"/>
                <w:color w:val="000000"/>
                <w:sz w:val="20"/>
                <w:szCs w:val="20"/>
              </w:rPr>
              <w:t>on-patient products are not further sub-divided and may include, but not limited to, commercial services</w:t>
            </w:r>
            <w:r w:rsidR="002506CD">
              <w:rPr>
                <w:rFonts w:cs="Arial"/>
                <w:color w:val="000000"/>
                <w:sz w:val="20"/>
                <w:szCs w:val="20"/>
              </w:rPr>
              <w:t>.</w:t>
            </w:r>
          </w:p>
        </w:tc>
      </w:tr>
      <w:tr w:rsidR="006411BA" w:rsidRPr="006411BA" w14:paraId="7EAFC00F" w14:textId="77777777" w:rsidTr="0064124E">
        <w:trPr>
          <w:trHeight w:val="397"/>
        </w:trPr>
        <w:tc>
          <w:tcPr>
            <w:tcW w:w="2709" w:type="dxa"/>
            <w:tcBorders>
              <w:top w:val="nil"/>
              <w:left w:val="nil"/>
              <w:bottom w:val="nil"/>
              <w:right w:val="nil"/>
            </w:tcBorders>
            <w:shd w:val="clear" w:color="auto" w:fill="auto"/>
            <w:hideMark/>
          </w:tcPr>
          <w:p w14:paraId="289D42AF" w14:textId="77777777"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Overhead cost centre</w:t>
            </w:r>
          </w:p>
        </w:tc>
        <w:tc>
          <w:tcPr>
            <w:tcW w:w="6945" w:type="dxa"/>
            <w:tcBorders>
              <w:top w:val="nil"/>
              <w:left w:val="nil"/>
              <w:bottom w:val="nil"/>
              <w:right w:val="nil"/>
            </w:tcBorders>
            <w:shd w:val="clear" w:color="auto" w:fill="auto"/>
            <w:hideMark/>
          </w:tcPr>
          <w:p w14:paraId="3414027A" w14:textId="5AB3D413"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An overhead cost centre is a collection of costs that are not relat</w:t>
            </w:r>
            <w:r w:rsidR="00F516F9">
              <w:rPr>
                <w:rFonts w:cs="Arial"/>
                <w:color w:val="000000"/>
                <w:sz w:val="20"/>
                <w:szCs w:val="20"/>
              </w:rPr>
              <w:t>ed directly to the delivery of p</w:t>
            </w:r>
            <w:r w:rsidRPr="006411BA">
              <w:rPr>
                <w:rFonts w:cs="Arial"/>
                <w:color w:val="000000"/>
                <w:sz w:val="20"/>
                <w:szCs w:val="20"/>
              </w:rPr>
              <w:t>roducts but which are required for the delivery of the service and therefore need to be allocated to final cost centres.</w:t>
            </w:r>
          </w:p>
        </w:tc>
      </w:tr>
      <w:tr w:rsidR="006411BA" w:rsidRPr="006411BA" w14:paraId="40A0F43C" w14:textId="77777777" w:rsidTr="0064124E">
        <w:trPr>
          <w:trHeight w:val="397"/>
        </w:trPr>
        <w:tc>
          <w:tcPr>
            <w:tcW w:w="2709" w:type="dxa"/>
            <w:tcBorders>
              <w:top w:val="nil"/>
              <w:left w:val="nil"/>
              <w:bottom w:val="nil"/>
              <w:right w:val="nil"/>
            </w:tcBorders>
            <w:shd w:val="clear" w:color="auto" w:fill="auto"/>
            <w:hideMark/>
          </w:tcPr>
          <w:p w14:paraId="3767F310" w14:textId="77777777"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Overhead expenses</w:t>
            </w:r>
          </w:p>
        </w:tc>
        <w:tc>
          <w:tcPr>
            <w:tcW w:w="6945" w:type="dxa"/>
            <w:tcBorders>
              <w:top w:val="nil"/>
              <w:left w:val="nil"/>
              <w:bottom w:val="nil"/>
              <w:right w:val="nil"/>
            </w:tcBorders>
            <w:shd w:val="clear" w:color="auto" w:fill="auto"/>
            <w:hideMark/>
          </w:tcPr>
          <w:p w14:paraId="29E49125" w14:textId="2812A93F" w:rsidR="006411BA" w:rsidRPr="006411BA" w:rsidRDefault="006411BA" w:rsidP="00A62C0B">
            <w:pPr>
              <w:numPr>
                <w:ilvl w:val="0"/>
                <w:numId w:val="0"/>
              </w:numPr>
              <w:spacing w:before="0" w:after="160" w:line="240" w:lineRule="auto"/>
              <w:rPr>
                <w:rFonts w:cs="Arial"/>
                <w:color w:val="000000"/>
                <w:sz w:val="20"/>
                <w:szCs w:val="20"/>
              </w:rPr>
            </w:pPr>
            <w:r w:rsidRPr="006411BA">
              <w:rPr>
                <w:rFonts w:cs="Arial"/>
                <w:color w:val="000000"/>
                <w:sz w:val="20"/>
                <w:szCs w:val="20"/>
              </w:rPr>
              <w:t xml:space="preserve">Overhead expenses refer to expenses of services within the hospital that generally relate to organisational services that are not directly involved in patient care, such as the functions </w:t>
            </w:r>
            <w:r w:rsidR="00C11AC6">
              <w:rPr>
                <w:rFonts w:cs="Arial"/>
                <w:color w:val="000000"/>
                <w:sz w:val="20"/>
                <w:szCs w:val="20"/>
              </w:rPr>
              <w:t>of the chief executive o</w:t>
            </w:r>
            <w:r w:rsidRPr="006411BA">
              <w:rPr>
                <w:rFonts w:cs="Arial"/>
                <w:color w:val="000000"/>
                <w:sz w:val="20"/>
                <w:szCs w:val="20"/>
              </w:rPr>
              <w:t xml:space="preserve">fficer, </w:t>
            </w:r>
            <w:r w:rsidR="00A62C0B">
              <w:rPr>
                <w:rFonts w:cs="Arial"/>
                <w:color w:val="000000"/>
                <w:sz w:val="20"/>
                <w:szCs w:val="20"/>
              </w:rPr>
              <w:t>de</w:t>
            </w:r>
            <w:r w:rsidRPr="006411BA">
              <w:rPr>
                <w:rFonts w:cs="Arial"/>
                <w:color w:val="000000"/>
                <w:sz w:val="20"/>
                <w:szCs w:val="20"/>
              </w:rPr>
              <w:t xml:space="preserve">partment of </w:t>
            </w:r>
            <w:r w:rsidR="00A62C0B">
              <w:rPr>
                <w:rFonts w:cs="Arial"/>
                <w:color w:val="000000"/>
                <w:sz w:val="20"/>
                <w:szCs w:val="20"/>
              </w:rPr>
              <w:t>f</w:t>
            </w:r>
            <w:r w:rsidRPr="006411BA">
              <w:rPr>
                <w:rFonts w:cs="Arial"/>
                <w:color w:val="000000"/>
                <w:sz w:val="20"/>
                <w:szCs w:val="20"/>
              </w:rPr>
              <w:t xml:space="preserve">inance and </w:t>
            </w:r>
            <w:r w:rsidR="002506CD">
              <w:rPr>
                <w:rFonts w:cs="Arial"/>
                <w:color w:val="000000"/>
                <w:sz w:val="20"/>
                <w:szCs w:val="20"/>
              </w:rPr>
              <w:t>p</w:t>
            </w:r>
            <w:r w:rsidRPr="006411BA">
              <w:rPr>
                <w:rFonts w:cs="Arial"/>
                <w:color w:val="000000"/>
                <w:sz w:val="20"/>
                <w:szCs w:val="20"/>
              </w:rPr>
              <w:t xml:space="preserve">atient </w:t>
            </w:r>
            <w:r w:rsidR="002506CD">
              <w:rPr>
                <w:rFonts w:cs="Arial"/>
                <w:color w:val="000000"/>
                <w:sz w:val="20"/>
                <w:szCs w:val="20"/>
              </w:rPr>
              <w:t>l</w:t>
            </w:r>
            <w:r w:rsidRPr="006411BA">
              <w:rPr>
                <w:rFonts w:cs="Arial"/>
                <w:color w:val="000000"/>
                <w:sz w:val="20"/>
                <w:szCs w:val="20"/>
              </w:rPr>
              <w:t xml:space="preserve">evel </w:t>
            </w:r>
            <w:r w:rsidR="002506CD">
              <w:rPr>
                <w:rFonts w:cs="Arial"/>
                <w:color w:val="000000"/>
                <w:sz w:val="20"/>
                <w:szCs w:val="20"/>
              </w:rPr>
              <w:t>c</w:t>
            </w:r>
            <w:r w:rsidRPr="006411BA">
              <w:rPr>
                <w:rFonts w:cs="Arial"/>
                <w:color w:val="000000"/>
                <w:sz w:val="20"/>
                <w:szCs w:val="20"/>
              </w:rPr>
              <w:t>osting.</w:t>
            </w:r>
          </w:p>
        </w:tc>
      </w:tr>
      <w:tr w:rsidR="006411BA" w:rsidRPr="006411BA" w14:paraId="366935B3" w14:textId="77777777" w:rsidTr="0064124E">
        <w:trPr>
          <w:trHeight w:val="397"/>
        </w:trPr>
        <w:tc>
          <w:tcPr>
            <w:tcW w:w="2709" w:type="dxa"/>
            <w:tcBorders>
              <w:top w:val="nil"/>
              <w:left w:val="nil"/>
              <w:bottom w:val="nil"/>
              <w:right w:val="nil"/>
            </w:tcBorders>
            <w:shd w:val="clear" w:color="auto" w:fill="auto"/>
            <w:hideMark/>
          </w:tcPr>
          <w:p w14:paraId="79C679AF" w14:textId="74E20A53"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 xml:space="preserve">Pathology </w:t>
            </w:r>
            <w:r w:rsidR="00631701">
              <w:rPr>
                <w:rFonts w:cs="Arial"/>
                <w:b/>
                <w:bCs/>
                <w:color w:val="000000"/>
                <w:sz w:val="20"/>
                <w:szCs w:val="20"/>
              </w:rPr>
              <w:t>s</w:t>
            </w:r>
            <w:r w:rsidR="00631701" w:rsidRPr="006411BA">
              <w:rPr>
                <w:rFonts w:cs="Arial"/>
                <w:b/>
                <w:bCs/>
                <w:color w:val="000000"/>
                <w:sz w:val="20"/>
                <w:szCs w:val="20"/>
              </w:rPr>
              <w:t>ervices</w:t>
            </w:r>
          </w:p>
        </w:tc>
        <w:tc>
          <w:tcPr>
            <w:tcW w:w="6945" w:type="dxa"/>
            <w:tcBorders>
              <w:top w:val="nil"/>
              <w:left w:val="nil"/>
              <w:bottom w:val="nil"/>
              <w:right w:val="nil"/>
            </w:tcBorders>
            <w:shd w:val="clear" w:color="auto" w:fill="auto"/>
            <w:hideMark/>
          </w:tcPr>
          <w:p w14:paraId="4E373140" w14:textId="2AFB3BFC" w:rsidR="006411BA" w:rsidRPr="006411BA" w:rsidRDefault="006411BA" w:rsidP="00C11AC6">
            <w:pPr>
              <w:numPr>
                <w:ilvl w:val="0"/>
                <w:numId w:val="0"/>
              </w:numPr>
              <w:spacing w:before="0" w:after="160" w:line="240" w:lineRule="auto"/>
              <w:rPr>
                <w:rFonts w:cs="Arial"/>
                <w:color w:val="000000"/>
                <w:sz w:val="20"/>
                <w:szCs w:val="20"/>
              </w:rPr>
            </w:pPr>
            <w:r w:rsidRPr="006411BA">
              <w:rPr>
                <w:rFonts w:cs="Arial"/>
                <w:color w:val="000000"/>
                <w:sz w:val="20"/>
                <w:szCs w:val="20"/>
              </w:rPr>
              <w:t>Pathology services are goods and services used in the provision of a pathology service and consumables (</w:t>
            </w:r>
            <w:r w:rsidR="00C11AC6">
              <w:rPr>
                <w:rFonts w:cs="Arial"/>
                <w:color w:val="000000"/>
                <w:sz w:val="20"/>
                <w:szCs w:val="20"/>
              </w:rPr>
              <w:t>such as</w:t>
            </w:r>
            <w:r w:rsidR="00897037">
              <w:rPr>
                <w:rFonts w:cs="Arial"/>
                <w:color w:val="000000"/>
                <w:sz w:val="20"/>
                <w:szCs w:val="20"/>
              </w:rPr>
              <w:t>,</w:t>
            </w:r>
            <w:r w:rsidRPr="006411BA">
              <w:rPr>
                <w:rFonts w:cs="Arial"/>
                <w:color w:val="000000"/>
                <w:sz w:val="20"/>
                <w:szCs w:val="20"/>
              </w:rPr>
              <w:t xml:space="preserve"> reagents, stains and calibration products) or the actual cost as billed by a provider.</w:t>
            </w:r>
            <w:r w:rsidR="001701AB">
              <w:rPr>
                <w:rFonts w:cs="Arial"/>
                <w:color w:val="000000"/>
                <w:sz w:val="20"/>
                <w:szCs w:val="20"/>
              </w:rPr>
              <w:t xml:space="preserve"> </w:t>
            </w:r>
            <w:r w:rsidRPr="006411BA">
              <w:rPr>
                <w:rFonts w:cs="Arial"/>
                <w:color w:val="000000"/>
                <w:sz w:val="20"/>
                <w:szCs w:val="20"/>
              </w:rPr>
              <w:t>Pathology functions are generally spread across three functional areas including diagnostic, blood products and management of adverse drug reactions. Whilst most pathology functions are performed within a centralised laboratory setting, there may be mobile resources which attend to a given patient as required in any setting. Hence, the functions may not be restrictive to a particular location or setting</w:t>
            </w:r>
            <w:r w:rsidR="002506CD">
              <w:rPr>
                <w:rFonts w:cs="Arial"/>
                <w:color w:val="000000"/>
                <w:sz w:val="20"/>
                <w:szCs w:val="20"/>
              </w:rPr>
              <w:t>.</w:t>
            </w:r>
          </w:p>
        </w:tc>
      </w:tr>
      <w:tr w:rsidR="006411BA" w:rsidRPr="006411BA" w14:paraId="6E4F5369" w14:textId="77777777" w:rsidTr="0064124E">
        <w:trPr>
          <w:trHeight w:val="397"/>
        </w:trPr>
        <w:tc>
          <w:tcPr>
            <w:tcW w:w="2709" w:type="dxa"/>
            <w:vMerge w:val="restart"/>
            <w:tcBorders>
              <w:top w:val="nil"/>
              <w:left w:val="nil"/>
              <w:bottom w:val="nil"/>
              <w:right w:val="nil"/>
            </w:tcBorders>
            <w:shd w:val="clear" w:color="auto" w:fill="auto"/>
            <w:hideMark/>
          </w:tcPr>
          <w:p w14:paraId="7D3DD882" w14:textId="77777777"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Patient products</w:t>
            </w:r>
          </w:p>
        </w:tc>
        <w:tc>
          <w:tcPr>
            <w:tcW w:w="6945" w:type="dxa"/>
            <w:tcBorders>
              <w:top w:val="nil"/>
              <w:left w:val="nil"/>
              <w:bottom w:val="nil"/>
              <w:right w:val="nil"/>
            </w:tcBorders>
            <w:shd w:val="clear" w:color="auto" w:fill="auto"/>
            <w:hideMark/>
          </w:tcPr>
          <w:p w14:paraId="48A7F42E" w14:textId="77777777"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Patient products are either:</w:t>
            </w:r>
          </w:p>
        </w:tc>
      </w:tr>
      <w:tr w:rsidR="006411BA" w:rsidRPr="006411BA" w14:paraId="3EB80778" w14:textId="77777777" w:rsidTr="0064124E">
        <w:trPr>
          <w:trHeight w:val="397"/>
        </w:trPr>
        <w:tc>
          <w:tcPr>
            <w:tcW w:w="2709" w:type="dxa"/>
            <w:vMerge/>
            <w:tcBorders>
              <w:top w:val="nil"/>
              <w:left w:val="nil"/>
              <w:bottom w:val="nil"/>
              <w:right w:val="nil"/>
            </w:tcBorders>
            <w:vAlign w:val="center"/>
            <w:hideMark/>
          </w:tcPr>
          <w:p w14:paraId="743FE704"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528E78AB" w14:textId="40D1CECC" w:rsidR="006411BA" w:rsidRPr="006411BA" w:rsidRDefault="002506CD" w:rsidP="00F13D07">
            <w:pPr>
              <w:numPr>
                <w:ilvl w:val="0"/>
                <w:numId w:val="0"/>
              </w:numPr>
              <w:spacing w:before="0" w:after="160" w:line="240" w:lineRule="auto"/>
              <w:rPr>
                <w:rFonts w:cs="Arial"/>
                <w:color w:val="000000"/>
                <w:sz w:val="20"/>
                <w:szCs w:val="20"/>
              </w:rPr>
            </w:pPr>
            <w:r>
              <w:rPr>
                <w:rFonts w:cs="Arial"/>
                <w:color w:val="000000"/>
                <w:sz w:val="20"/>
                <w:szCs w:val="20"/>
              </w:rPr>
              <w:t>h</w:t>
            </w:r>
            <w:r w:rsidR="006411BA" w:rsidRPr="006411BA">
              <w:rPr>
                <w:rFonts w:cs="Arial"/>
                <w:color w:val="000000"/>
                <w:sz w:val="20"/>
                <w:szCs w:val="20"/>
              </w:rPr>
              <w:t>ealth services provided to someone for the purpose of:</w:t>
            </w:r>
          </w:p>
        </w:tc>
      </w:tr>
      <w:tr w:rsidR="006411BA" w:rsidRPr="006411BA" w14:paraId="65D3E904" w14:textId="77777777" w:rsidTr="0064124E">
        <w:trPr>
          <w:trHeight w:val="397"/>
        </w:trPr>
        <w:tc>
          <w:tcPr>
            <w:tcW w:w="2709" w:type="dxa"/>
            <w:vMerge/>
            <w:tcBorders>
              <w:top w:val="nil"/>
              <w:left w:val="nil"/>
              <w:bottom w:val="nil"/>
              <w:right w:val="nil"/>
            </w:tcBorders>
            <w:vAlign w:val="center"/>
            <w:hideMark/>
          </w:tcPr>
          <w:p w14:paraId="35036E25"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5FA55C54" w14:textId="6DB0762F" w:rsidR="006411BA" w:rsidRPr="002506CD" w:rsidRDefault="002506CD" w:rsidP="002506CD">
            <w:pPr>
              <w:pStyle w:val="ListParagraph"/>
              <w:numPr>
                <w:ilvl w:val="0"/>
                <w:numId w:val="28"/>
              </w:numPr>
              <w:spacing w:before="0" w:after="160" w:line="240" w:lineRule="auto"/>
              <w:rPr>
                <w:rFonts w:cs="Arial"/>
                <w:color w:val="000000"/>
                <w:sz w:val="20"/>
                <w:szCs w:val="20"/>
              </w:rPr>
            </w:pPr>
            <w:r w:rsidRPr="002506CD">
              <w:rPr>
                <w:rFonts w:cs="Arial"/>
                <w:color w:val="000000"/>
                <w:sz w:val="20"/>
                <w:szCs w:val="20"/>
              </w:rPr>
              <w:t>a</w:t>
            </w:r>
            <w:r w:rsidR="006411BA" w:rsidRPr="002506CD">
              <w:rPr>
                <w:rFonts w:cs="Arial"/>
                <w:color w:val="000000"/>
                <w:sz w:val="20"/>
                <w:szCs w:val="20"/>
              </w:rPr>
              <w:t>ssessing, recording, maintaining or improving the physical, mental or emotional health, comfort o</w:t>
            </w:r>
            <w:r w:rsidR="00C11AC6">
              <w:rPr>
                <w:rFonts w:cs="Arial"/>
                <w:color w:val="000000"/>
                <w:sz w:val="20"/>
                <w:szCs w:val="20"/>
              </w:rPr>
              <w:t>r wellbeing of the service user</w:t>
            </w:r>
          </w:p>
        </w:tc>
      </w:tr>
      <w:tr w:rsidR="006411BA" w:rsidRPr="006411BA" w14:paraId="67D993A5" w14:textId="77777777" w:rsidTr="0064124E">
        <w:trPr>
          <w:trHeight w:val="397"/>
        </w:trPr>
        <w:tc>
          <w:tcPr>
            <w:tcW w:w="2709" w:type="dxa"/>
            <w:vMerge/>
            <w:tcBorders>
              <w:top w:val="nil"/>
              <w:left w:val="nil"/>
              <w:bottom w:val="nil"/>
              <w:right w:val="nil"/>
            </w:tcBorders>
            <w:vAlign w:val="center"/>
            <w:hideMark/>
          </w:tcPr>
          <w:p w14:paraId="0D9F2AE1"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2E3CA6D9" w14:textId="11D5830D" w:rsidR="006411BA" w:rsidRPr="002506CD" w:rsidRDefault="002506CD" w:rsidP="002506CD">
            <w:pPr>
              <w:pStyle w:val="ListParagraph"/>
              <w:numPr>
                <w:ilvl w:val="0"/>
                <w:numId w:val="28"/>
              </w:numPr>
              <w:spacing w:before="0" w:after="160" w:line="240" w:lineRule="auto"/>
              <w:rPr>
                <w:rFonts w:cs="Arial"/>
                <w:color w:val="000000"/>
                <w:sz w:val="20"/>
                <w:szCs w:val="20"/>
              </w:rPr>
            </w:pPr>
            <w:r w:rsidRPr="002506CD">
              <w:rPr>
                <w:rFonts w:cs="Arial"/>
                <w:color w:val="000000"/>
                <w:sz w:val="20"/>
                <w:szCs w:val="20"/>
              </w:rPr>
              <w:t>d</w:t>
            </w:r>
            <w:r w:rsidR="006411BA" w:rsidRPr="002506CD">
              <w:rPr>
                <w:rFonts w:cs="Arial"/>
                <w:color w:val="000000"/>
                <w:sz w:val="20"/>
                <w:szCs w:val="20"/>
              </w:rPr>
              <w:t>iagnosing or treating an illness, disability, disorder or condition of the service user</w:t>
            </w:r>
            <w:r w:rsidR="00C11AC6">
              <w:rPr>
                <w:rFonts w:cs="Arial"/>
                <w:color w:val="000000"/>
                <w:sz w:val="20"/>
                <w:szCs w:val="20"/>
              </w:rPr>
              <w:t>,</w:t>
            </w:r>
            <w:r w:rsidRPr="002506CD">
              <w:rPr>
                <w:rFonts w:cs="Arial"/>
                <w:color w:val="000000"/>
                <w:sz w:val="20"/>
                <w:szCs w:val="20"/>
              </w:rPr>
              <w:t xml:space="preserve"> or </w:t>
            </w:r>
          </w:p>
        </w:tc>
      </w:tr>
      <w:tr w:rsidR="006411BA" w:rsidRPr="006411BA" w14:paraId="0087573D" w14:textId="77777777" w:rsidTr="0064124E">
        <w:trPr>
          <w:trHeight w:val="397"/>
        </w:trPr>
        <w:tc>
          <w:tcPr>
            <w:tcW w:w="2709" w:type="dxa"/>
            <w:vMerge/>
            <w:tcBorders>
              <w:top w:val="nil"/>
              <w:left w:val="nil"/>
              <w:bottom w:val="nil"/>
              <w:right w:val="nil"/>
            </w:tcBorders>
            <w:vAlign w:val="center"/>
            <w:hideMark/>
          </w:tcPr>
          <w:p w14:paraId="2101FF5A"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64ADF470" w14:textId="65D3EF91" w:rsidR="006411BA" w:rsidRPr="002506CD" w:rsidRDefault="002506CD" w:rsidP="002506CD">
            <w:pPr>
              <w:pStyle w:val="ListParagraph"/>
              <w:numPr>
                <w:ilvl w:val="0"/>
                <w:numId w:val="28"/>
              </w:numPr>
              <w:spacing w:before="0" w:after="160" w:line="240" w:lineRule="auto"/>
              <w:rPr>
                <w:rFonts w:cs="Arial"/>
                <w:color w:val="000000"/>
                <w:sz w:val="20"/>
                <w:szCs w:val="20"/>
              </w:rPr>
            </w:pPr>
            <w:r w:rsidRPr="002506CD">
              <w:rPr>
                <w:rFonts w:cs="Arial"/>
                <w:color w:val="000000"/>
                <w:sz w:val="20"/>
                <w:szCs w:val="20"/>
              </w:rPr>
              <w:t>s</w:t>
            </w:r>
            <w:r w:rsidR="006411BA" w:rsidRPr="002506CD">
              <w:rPr>
                <w:rFonts w:cs="Arial"/>
                <w:color w:val="000000"/>
                <w:sz w:val="20"/>
                <w:szCs w:val="20"/>
              </w:rPr>
              <w:t>ervices provided by health professionals and non-professionals under their supervision to a patient.</w:t>
            </w:r>
          </w:p>
        </w:tc>
      </w:tr>
      <w:tr w:rsidR="006411BA" w:rsidRPr="006411BA" w14:paraId="5CA9FCEB" w14:textId="77777777" w:rsidTr="0064124E">
        <w:trPr>
          <w:trHeight w:val="397"/>
        </w:trPr>
        <w:tc>
          <w:tcPr>
            <w:tcW w:w="2709" w:type="dxa"/>
            <w:tcBorders>
              <w:top w:val="nil"/>
              <w:left w:val="nil"/>
              <w:bottom w:val="nil"/>
              <w:right w:val="nil"/>
            </w:tcBorders>
            <w:shd w:val="clear" w:color="auto" w:fill="auto"/>
            <w:hideMark/>
          </w:tcPr>
          <w:p w14:paraId="632A7DE0" w14:textId="77777777"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Pharmaceuticals</w:t>
            </w:r>
          </w:p>
        </w:tc>
        <w:tc>
          <w:tcPr>
            <w:tcW w:w="6945" w:type="dxa"/>
            <w:tcBorders>
              <w:top w:val="nil"/>
              <w:left w:val="nil"/>
              <w:bottom w:val="nil"/>
              <w:right w:val="nil"/>
            </w:tcBorders>
            <w:shd w:val="clear" w:color="auto" w:fill="auto"/>
            <w:hideMark/>
          </w:tcPr>
          <w:p w14:paraId="702BD57D" w14:textId="2D68B277"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 xml:space="preserve">Pharmacy costs are goods and services used in the provision of a pharmaceutical service and consumables or the actual cost as billed by a </w:t>
            </w:r>
            <w:r w:rsidRPr="006411BA">
              <w:rPr>
                <w:rFonts w:cs="Arial"/>
                <w:color w:val="000000"/>
                <w:sz w:val="20"/>
                <w:szCs w:val="20"/>
              </w:rPr>
              <w:lastRenderedPageBreak/>
              <w:t xml:space="preserve">provider. They include the purchase, production, distribution, supply and storage of drug products and clinical pharmacy services of both </w:t>
            </w:r>
            <w:r w:rsidR="00342B27" w:rsidRPr="00342B27">
              <w:rPr>
                <w:rFonts w:cs="Arial"/>
                <w:color w:val="000000"/>
                <w:sz w:val="20"/>
                <w:szCs w:val="20"/>
              </w:rPr>
              <w:t xml:space="preserve">Pharmaceutical Benefits Scheme </w:t>
            </w:r>
            <w:r w:rsidR="00342B27">
              <w:rPr>
                <w:rFonts w:cs="Arial"/>
                <w:color w:val="000000"/>
                <w:sz w:val="20"/>
                <w:szCs w:val="20"/>
              </w:rPr>
              <w:t>(</w:t>
            </w:r>
            <w:r w:rsidRPr="006411BA">
              <w:rPr>
                <w:rFonts w:cs="Arial"/>
                <w:color w:val="000000"/>
                <w:sz w:val="20"/>
                <w:szCs w:val="20"/>
              </w:rPr>
              <w:t>PBS</w:t>
            </w:r>
            <w:r w:rsidR="00342B27">
              <w:rPr>
                <w:rFonts w:cs="Arial"/>
                <w:color w:val="000000"/>
                <w:sz w:val="20"/>
                <w:szCs w:val="20"/>
              </w:rPr>
              <w:t>)</w:t>
            </w:r>
            <w:r w:rsidRPr="006411BA">
              <w:rPr>
                <w:rFonts w:cs="Arial"/>
                <w:color w:val="000000"/>
                <w:sz w:val="20"/>
                <w:szCs w:val="20"/>
              </w:rPr>
              <w:t xml:space="preserve"> reimbursed pharmaceuticals and PBS non–reimbursed pharmaceuticals.</w:t>
            </w:r>
          </w:p>
        </w:tc>
      </w:tr>
      <w:tr w:rsidR="006411BA" w:rsidRPr="006411BA" w14:paraId="0A28ECE7" w14:textId="77777777" w:rsidTr="0064124E">
        <w:trPr>
          <w:trHeight w:val="397"/>
        </w:trPr>
        <w:tc>
          <w:tcPr>
            <w:tcW w:w="2709" w:type="dxa"/>
            <w:vMerge w:val="restart"/>
            <w:tcBorders>
              <w:top w:val="nil"/>
              <w:left w:val="nil"/>
              <w:bottom w:val="nil"/>
              <w:right w:val="nil"/>
            </w:tcBorders>
            <w:shd w:val="clear" w:color="auto" w:fill="auto"/>
            <w:hideMark/>
          </w:tcPr>
          <w:p w14:paraId="00589B6B" w14:textId="34358030" w:rsidR="006411BA" w:rsidRPr="006411BA" w:rsidRDefault="00342B27" w:rsidP="00F13D07">
            <w:pPr>
              <w:numPr>
                <w:ilvl w:val="0"/>
                <w:numId w:val="0"/>
              </w:numPr>
              <w:spacing w:before="0" w:after="160" w:line="240" w:lineRule="auto"/>
              <w:rPr>
                <w:rFonts w:cs="Arial"/>
                <w:b/>
                <w:bCs/>
                <w:color w:val="000000"/>
                <w:sz w:val="20"/>
                <w:szCs w:val="20"/>
              </w:rPr>
            </w:pPr>
            <w:r>
              <w:rPr>
                <w:rFonts w:cs="Arial"/>
                <w:b/>
                <w:bCs/>
                <w:color w:val="000000"/>
                <w:sz w:val="20"/>
                <w:szCs w:val="20"/>
              </w:rPr>
              <w:lastRenderedPageBreak/>
              <w:t>Private p</w:t>
            </w:r>
            <w:r w:rsidR="006411BA" w:rsidRPr="006411BA">
              <w:rPr>
                <w:rFonts w:cs="Arial"/>
                <w:b/>
                <w:bCs/>
                <w:color w:val="000000"/>
                <w:sz w:val="20"/>
                <w:szCs w:val="20"/>
              </w:rPr>
              <w:t>atient</w:t>
            </w:r>
          </w:p>
        </w:tc>
        <w:tc>
          <w:tcPr>
            <w:tcW w:w="6945" w:type="dxa"/>
            <w:tcBorders>
              <w:top w:val="nil"/>
              <w:left w:val="nil"/>
              <w:bottom w:val="nil"/>
              <w:right w:val="nil"/>
            </w:tcBorders>
            <w:shd w:val="clear" w:color="auto" w:fill="auto"/>
            <w:hideMark/>
          </w:tcPr>
          <w:p w14:paraId="624EF564" w14:textId="77777777"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 xml:space="preserve">Private patient refers to a person who elects to be treated as a private patient and elects to be responsible for paying fees for the type referred to in clause 49 of the Australian Health Care Agreements (2003–2008) (METeOR: 566080). </w:t>
            </w:r>
          </w:p>
        </w:tc>
      </w:tr>
      <w:tr w:rsidR="006411BA" w:rsidRPr="006411BA" w14:paraId="3EC64D40" w14:textId="77777777" w:rsidTr="0064124E">
        <w:trPr>
          <w:trHeight w:val="397"/>
        </w:trPr>
        <w:tc>
          <w:tcPr>
            <w:tcW w:w="2709" w:type="dxa"/>
            <w:vMerge/>
            <w:tcBorders>
              <w:top w:val="nil"/>
              <w:left w:val="nil"/>
              <w:bottom w:val="nil"/>
              <w:right w:val="nil"/>
            </w:tcBorders>
            <w:vAlign w:val="center"/>
            <w:hideMark/>
          </w:tcPr>
          <w:p w14:paraId="5F15072C"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44C11819" w14:textId="77777777"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Clause 49 states that:</w:t>
            </w:r>
          </w:p>
        </w:tc>
      </w:tr>
      <w:tr w:rsidR="006411BA" w:rsidRPr="006411BA" w14:paraId="202DD647" w14:textId="77777777" w:rsidTr="0064124E">
        <w:trPr>
          <w:trHeight w:val="397"/>
        </w:trPr>
        <w:tc>
          <w:tcPr>
            <w:tcW w:w="2709" w:type="dxa"/>
            <w:vMerge/>
            <w:tcBorders>
              <w:top w:val="nil"/>
              <w:left w:val="nil"/>
              <w:bottom w:val="nil"/>
              <w:right w:val="nil"/>
            </w:tcBorders>
            <w:vAlign w:val="center"/>
            <w:hideMark/>
          </w:tcPr>
          <w:p w14:paraId="588E65BE"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69E20D87" w14:textId="5946BE45" w:rsidR="006411BA" w:rsidRPr="002506CD" w:rsidRDefault="00342B27" w:rsidP="002506CD">
            <w:pPr>
              <w:pStyle w:val="ListParagraph"/>
              <w:numPr>
                <w:ilvl w:val="0"/>
                <w:numId w:val="29"/>
              </w:numPr>
              <w:spacing w:before="0" w:after="160" w:line="240" w:lineRule="auto"/>
              <w:rPr>
                <w:rFonts w:cs="Arial"/>
                <w:color w:val="000000"/>
                <w:sz w:val="20"/>
                <w:szCs w:val="20"/>
              </w:rPr>
            </w:pPr>
            <w:r>
              <w:rPr>
                <w:rFonts w:cs="Arial"/>
                <w:color w:val="000000"/>
                <w:sz w:val="20"/>
                <w:szCs w:val="20"/>
              </w:rPr>
              <w:t>p</w:t>
            </w:r>
            <w:r w:rsidR="006411BA" w:rsidRPr="002506CD">
              <w:rPr>
                <w:rFonts w:cs="Arial"/>
                <w:color w:val="000000"/>
                <w:sz w:val="20"/>
                <w:szCs w:val="20"/>
              </w:rPr>
              <w:t>rivate patients, compensable patients and ineligible persons may be charged an amount for public hospital services as determ</w:t>
            </w:r>
            <w:r>
              <w:rPr>
                <w:rFonts w:cs="Arial"/>
                <w:color w:val="000000"/>
                <w:sz w:val="20"/>
                <w:szCs w:val="20"/>
              </w:rPr>
              <w:t>ined by the state or territory</w:t>
            </w:r>
          </w:p>
        </w:tc>
      </w:tr>
      <w:tr w:rsidR="006411BA" w:rsidRPr="006411BA" w14:paraId="7A93E7B9" w14:textId="77777777" w:rsidTr="0064124E">
        <w:trPr>
          <w:trHeight w:val="397"/>
        </w:trPr>
        <w:tc>
          <w:tcPr>
            <w:tcW w:w="2709" w:type="dxa"/>
            <w:vMerge/>
            <w:tcBorders>
              <w:top w:val="nil"/>
              <w:left w:val="nil"/>
              <w:bottom w:val="nil"/>
              <w:right w:val="nil"/>
            </w:tcBorders>
            <w:vAlign w:val="center"/>
            <w:hideMark/>
          </w:tcPr>
          <w:p w14:paraId="19821A4B"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2F376113" w14:textId="709B0B66" w:rsidR="006411BA" w:rsidRPr="002506CD" w:rsidRDefault="00342B27" w:rsidP="002506CD">
            <w:pPr>
              <w:pStyle w:val="ListParagraph"/>
              <w:numPr>
                <w:ilvl w:val="0"/>
                <w:numId w:val="29"/>
              </w:numPr>
              <w:spacing w:before="0" w:after="160" w:line="240" w:lineRule="auto"/>
              <w:rPr>
                <w:rFonts w:cs="Arial"/>
                <w:color w:val="000000"/>
                <w:sz w:val="20"/>
                <w:szCs w:val="20"/>
              </w:rPr>
            </w:pPr>
            <w:r>
              <w:rPr>
                <w:rFonts w:cs="Arial"/>
                <w:color w:val="000000"/>
                <w:sz w:val="20"/>
                <w:szCs w:val="20"/>
              </w:rPr>
              <w:t>a</w:t>
            </w:r>
            <w:r w:rsidR="006411BA" w:rsidRPr="002506CD">
              <w:rPr>
                <w:rFonts w:cs="Arial"/>
                <w:color w:val="000000"/>
                <w:sz w:val="20"/>
                <w:szCs w:val="20"/>
              </w:rPr>
              <w:t>ll patients in private hospitals (other than those receiving public hospital services and electing to be treated as a publi</w:t>
            </w:r>
            <w:r>
              <w:rPr>
                <w:rFonts w:cs="Arial"/>
                <w:color w:val="000000"/>
                <w:sz w:val="20"/>
                <w:szCs w:val="20"/>
              </w:rPr>
              <w:t>c patient) are private patients</w:t>
            </w:r>
          </w:p>
        </w:tc>
      </w:tr>
      <w:tr w:rsidR="006411BA" w:rsidRPr="006411BA" w14:paraId="6F14B47C" w14:textId="77777777" w:rsidTr="0064124E">
        <w:trPr>
          <w:trHeight w:val="397"/>
        </w:trPr>
        <w:tc>
          <w:tcPr>
            <w:tcW w:w="2709" w:type="dxa"/>
            <w:vMerge/>
            <w:tcBorders>
              <w:top w:val="nil"/>
              <w:left w:val="nil"/>
              <w:bottom w:val="nil"/>
              <w:right w:val="nil"/>
            </w:tcBorders>
            <w:vAlign w:val="center"/>
            <w:hideMark/>
          </w:tcPr>
          <w:p w14:paraId="172D8B89"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494ECCD4" w14:textId="3CC87008" w:rsidR="006411BA" w:rsidRPr="002506CD" w:rsidRDefault="00342B27" w:rsidP="002506CD">
            <w:pPr>
              <w:pStyle w:val="ListParagraph"/>
              <w:numPr>
                <w:ilvl w:val="0"/>
                <w:numId w:val="29"/>
              </w:numPr>
              <w:spacing w:before="0" w:after="160" w:line="240" w:lineRule="auto"/>
              <w:rPr>
                <w:rFonts w:cs="Arial"/>
                <w:color w:val="000000"/>
                <w:sz w:val="20"/>
                <w:szCs w:val="20"/>
              </w:rPr>
            </w:pPr>
            <w:r>
              <w:rPr>
                <w:rFonts w:cs="Arial"/>
                <w:color w:val="000000"/>
                <w:sz w:val="20"/>
                <w:szCs w:val="20"/>
              </w:rPr>
              <w:t>includes a</w:t>
            </w:r>
            <w:r w:rsidR="006411BA" w:rsidRPr="002506CD">
              <w:rPr>
                <w:rFonts w:cs="Arial"/>
                <w:color w:val="000000"/>
                <w:sz w:val="20"/>
                <w:szCs w:val="20"/>
              </w:rPr>
              <w:t xml:space="preserve">ll patients who are charged (regardless of the level of the charge) or for whom a charge is raised for a third party payer (for example, Department of Veterans’ Affairs and </w:t>
            </w:r>
            <w:r w:rsidR="00A62C0B">
              <w:rPr>
                <w:rFonts w:cs="Arial"/>
                <w:color w:val="000000"/>
                <w:sz w:val="20"/>
                <w:szCs w:val="20"/>
              </w:rPr>
              <w:t>c</w:t>
            </w:r>
            <w:r w:rsidR="006411BA" w:rsidRPr="002506CD">
              <w:rPr>
                <w:rFonts w:cs="Arial"/>
                <w:color w:val="000000"/>
                <w:sz w:val="20"/>
                <w:szCs w:val="20"/>
              </w:rPr>
              <w:t>ompensable patients). Also includes patients who are Medicare ineligible and receive public hospital services free of charge at the discretion of the hospital, and prisoners, who are Medicare ineligible while incarcerated.</w:t>
            </w:r>
          </w:p>
        </w:tc>
      </w:tr>
      <w:tr w:rsidR="006411BA" w:rsidRPr="006411BA" w14:paraId="61BD3883" w14:textId="77777777" w:rsidTr="0064124E">
        <w:trPr>
          <w:trHeight w:val="397"/>
        </w:trPr>
        <w:tc>
          <w:tcPr>
            <w:tcW w:w="2709" w:type="dxa"/>
            <w:tcBorders>
              <w:top w:val="nil"/>
              <w:left w:val="nil"/>
              <w:bottom w:val="nil"/>
              <w:right w:val="nil"/>
            </w:tcBorders>
            <w:shd w:val="clear" w:color="auto" w:fill="auto"/>
            <w:hideMark/>
          </w:tcPr>
          <w:p w14:paraId="085CE03A" w14:textId="77777777"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 xml:space="preserve">Product </w:t>
            </w:r>
          </w:p>
        </w:tc>
        <w:tc>
          <w:tcPr>
            <w:tcW w:w="6945" w:type="dxa"/>
            <w:tcBorders>
              <w:top w:val="nil"/>
              <w:left w:val="nil"/>
              <w:bottom w:val="nil"/>
              <w:right w:val="nil"/>
            </w:tcBorders>
            <w:shd w:val="clear" w:color="auto" w:fill="auto"/>
            <w:hideMark/>
          </w:tcPr>
          <w:p w14:paraId="6E12C930" w14:textId="77777777"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For the purposes of these standards, products provided by an organisation are categorised into patient and non-patient products.</w:t>
            </w:r>
          </w:p>
        </w:tc>
      </w:tr>
      <w:tr w:rsidR="006411BA" w:rsidRPr="006411BA" w14:paraId="1D2F41E0" w14:textId="77777777" w:rsidTr="0064124E">
        <w:trPr>
          <w:trHeight w:val="397"/>
        </w:trPr>
        <w:tc>
          <w:tcPr>
            <w:tcW w:w="2709" w:type="dxa"/>
            <w:tcBorders>
              <w:top w:val="nil"/>
              <w:left w:val="nil"/>
              <w:bottom w:val="nil"/>
              <w:right w:val="nil"/>
            </w:tcBorders>
            <w:shd w:val="clear" w:color="auto" w:fill="auto"/>
            <w:hideMark/>
          </w:tcPr>
          <w:p w14:paraId="332DE005" w14:textId="77777777"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Product cost</w:t>
            </w:r>
          </w:p>
        </w:tc>
        <w:tc>
          <w:tcPr>
            <w:tcW w:w="6945" w:type="dxa"/>
            <w:tcBorders>
              <w:top w:val="nil"/>
              <w:left w:val="nil"/>
              <w:bottom w:val="nil"/>
              <w:right w:val="nil"/>
            </w:tcBorders>
            <w:shd w:val="clear" w:color="auto" w:fill="auto"/>
            <w:hideMark/>
          </w:tcPr>
          <w:p w14:paraId="01F7DEE9" w14:textId="77777777"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Product cost refers to the sum of all expenses assigned to a product.</w:t>
            </w:r>
          </w:p>
        </w:tc>
      </w:tr>
      <w:tr w:rsidR="006411BA" w:rsidRPr="006411BA" w14:paraId="0F5FDA6C" w14:textId="77777777" w:rsidTr="0064124E">
        <w:trPr>
          <w:trHeight w:val="397"/>
        </w:trPr>
        <w:tc>
          <w:tcPr>
            <w:tcW w:w="2709" w:type="dxa"/>
            <w:tcBorders>
              <w:top w:val="nil"/>
              <w:left w:val="nil"/>
              <w:bottom w:val="nil"/>
              <w:right w:val="nil"/>
            </w:tcBorders>
            <w:shd w:val="clear" w:color="auto" w:fill="auto"/>
            <w:hideMark/>
          </w:tcPr>
          <w:p w14:paraId="38FEEED1" w14:textId="494C391E"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 xml:space="preserve">Production </w:t>
            </w:r>
            <w:r w:rsidR="00631701">
              <w:rPr>
                <w:rFonts w:cs="Arial"/>
                <w:b/>
                <w:bCs/>
                <w:color w:val="000000"/>
                <w:sz w:val="20"/>
                <w:szCs w:val="20"/>
              </w:rPr>
              <w:t>c</w:t>
            </w:r>
            <w:r w:rsidRPr="006411BA">
              <w:rPr>
                <w:rFonts w:cs="Arial"/>
                <w:b/>
                <w:bCs/>
                <w:color w:val="000000"/>
                <w:sz w:val="20"/>
                <w:szCs w:val="20"/>
              </w:rPr>
              <w:t xml:space="preserve">ost </w:t>
            </w:r>
            <w:r w:rsidR="00631701">
              <w:rPr>
                <w:rFonts w:cs="Arial"/>
                <w:b/>
                <w:bCs/>
                <w:color w:val="000000"/>
                <w:sz w:val="20"/>
                <w:szCs w:val="20"/>
              </w:rPr>
              <w:t>c</w:t>
            </w:r>
            <w:r w:rsidRPr="006411BA">
              <w:rPr>
                <w:rFonts w:cs="Arial"/>
                <w:b/>
                <w:bCs/>
                <w:color w:val="000000"/>
                <w:sz w:val="20"/>
                <w:szCs w:val="20"/>
              </w:rPr>
              <w:t>entre</w:t>
            </w:r>
          </w:p>
        </w:tc>
        <w:tc>
          <w:tcPr>
            <w:tcW w:w="6945" w:type="dxa"/>
            <w:tcBorders>
              <w:top w:val="nil"/>
              <w:left w:val="nil"/>
              <w:bottom w:val="nil"/>
              <w:right w:val="nil"/>
            </w:tcBorders>
            <w:shd w:val="clear" w:color="auto" w:fill="auto"/>
            <w:hideMark/>
          </w:tcPr>
          <w:p w14:paraId="271C9A80" w14:textId="61B75013"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A production cost centre (production centre) is a colle</w:t>
            </w:r>
            <w:r w:rsidR="00342B27">
              <w:rPr>
                <w:rFonts w:cs="Arial"/>
                <w:color w:val="000000"/>
                <w:sz w:val="20"/>
                <w:szCs w:val="20"/>
              </w:rPr>
              <w:t>ction of costs within the cost l</w:t>
            </w:r>
            <w:r w:rsidRPr="006411BA">
              <w:rPr>
                <w:rFonts w:cs="Arial"/>
                <w:color w:val="000000"/>
                <w:sz w:val="20"/>
                <w:szCs w:val="20"/>
              </w:rPr>
              <w:t>edger that relate to a department or production unit, which creates a range of related products. For patient products, these relate to the delivery of patient care.</w:t>
            </w:r>
          </w:p>
        </w:tc>
      </w:tr>
      <w:tr w:rsidR="006411BA" w:rsidRPr="006411BA" w14:paraId="0B58A100" w14:textId="77777777" w:rsidTr="0064124E">
        <w:trPr>
          <w:trHeight w:val="397"/>
        </w:trPr>
        <w:tc>
          <w:tcPr>
            <w:tcW w:w="2709" w:type="dxa"/>
            <w:tcBorders>
              <w:top w:val="nil"/>
              <w:left w:val="nil"/>
              <w:bottom w:val="nil"/>
              <w:right w:val="nil"/>
            </w:tcBorders>
            <w:shd w:val="clear" w:color="auto" w:fill="auto"/>
            <w:hideMark/>
          </w:tcPr>
          <w:p w14:paraId="6B4B245E" w14:textId="0C3814A2"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Program fractions</w:t>
            </w:r>
            <w:r w:rsidR="001701AB">
              <w:rPr>
                <w:rFonts w:cs="Arial"/>
                <w:b/>
                <w:bCs/>
                <w:color w:val="000000"/>
                <w:sz w:val="20"/>
                <w:szCs w:val="20"/>
              </w:rPr>
              <w:t>/</w:t>
            </w:r>
            <w:r w:rsidRPr="006411BA">
              <w:rPr>
                <w:rFonts w:cs="Arial"/>
                <w:b/>
                <w:bCs/>
                <w:color w:val="000000"/>
                <w:sz w:val="20"/>
                <w:szCs w:val="20"/>
              </w:rPr>
              <w:t xml:space="preserve">product fraction </w:t>
            </w:r>
          </w:p>
        </w:tc>
        <w:tc>
          <w:tcPr>
            <w:tcW w:w="6945" w:type="dxa"/>
            <w:tcBorders>
              <w:top w:val="nil"/>
              <w:left w:val="nil"/>
              <w:bottom w:val="nil"/>
              <w:right w:val="nil"/>
            </w:tcBorders>
            <w:shd w:val="clear" w:color="auto" w:fill="auto"/>
            <w:hideMark/>
          </w:tcPr>
          <w:p w14:paraId="3CBF20C3" w14:textId="77777777"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Program fractions are ratios applied to production cost centres that relate to the various product categories associated with patient or non-patient products. These include, but are not limited to, admitted, non-admitted, emergency, teaching and training’</w:t>
            </w:r>
          </w:p>
        </w:tc>
      </w:tr>
      <w:tr w:rsidR="006411BA" w:rsidRPr="006411BA" w14:paraId="3D90B925" w14:textId="77777777" w:rsidTr="0064124E">
        <w:trPr>
          <w:trHeight w:val="397"/>
        </w:trPr>
        <w:tc>
          <w:tcPr>
            <w:tcW w:w="2709" w:type="dxa"/>
            <w:tcBorders>
              <w:top w:val="nil"/>
              <w:left w:val="nil"/>
              <w:bottom w:val="nil"/>
              <w:right w:val="nil"/>
            </w:tcBorders>
            <w:shd w:val="clear" w:color="auto" w:fill="auto"/>
            <w:hideMark/>
          </w:tcPr>
          <w:p w14:paraId="62252D67" w14:textId="77777777"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Prostheses</w:t>
            </w:r>
          </w:p>
        </w:tc>
        <w:tc>
          <w:tcPr>
            <w:tcW w:w="6945" w:type="dxa"/>
            <w:tcBorders>
              <w:top w:val="nil"/>
              <w:left w:val="nil"/>
              <w:bottom w:val="nil"/>
              <w:right w:val="nil"/>
            </w:tcBorders>
            <w:shd w:val="clear" w:color="auto" w:fill="auto"/>
            <w:hideMark/>
          </w:tcPr>
          <w:p w14:paraId="474BAF4B" w14:textId="1EAFE9DE"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An artificial substitute or replacement of a part of the body</w:t>
            </w:r>
            <w:r w:rsidR="00392998">
              <w:rPr>
                <w:rFonts w:cs="Arial"/>
                <w:color w:val="000000"/>
                <w:sz w:val="20"/>
                <w:szCs w:val="20"/>
              </w:rPr>
              <w:t>.</w:t>
            </w:r>
          </w:p>
        </w:tc>
      </w:tr>
      <w:tr w:rsidR="006411BA" w:rsidRPr="006411BA" w14:paraId="5DEEB6C9" w14:textId="77777777" w:rsidTr="0064124E">
        <w:trPr>
          <w:trHeight w:val="397"/>
        </w:trPr>
        <w:tc>
          <w:tcPr>
            <w:tcW w:w="2709" w:type="dxa"/>
            <w:tcBorders>
              <w:top w:val="nil"/>
              <w:left w:val="nil"/>
              <w:bottom w:val="nil"/>
              <w:right w:val="nil"/>
            </w:tcBorders>
            <w:shd w:val="clear" w:color="auto" w:fill="auto"/>
            <w:hideMark/>
          </w:tcPr>
          <w:p w14:paraId="741BA5AB" w14:textId="77777777"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Recovery</w:t>
            </w:r>
          </w:p>
        </w:tc>
        <w:tc>
          <w:tcPr>
            <w:tcW w:w="6945" w:type="dxa"/>
            <w:tcBorders>
              <w:top w:val="nil"/>
              <w:left w:val="nil"/>
              <w:bottom w:val="nil"/>
              <w:right w:val="nil"/>
            </w:tcBorders>
            <w:shd w:val="clear" w:color="auto" w:fill="auto"/>
            <w:hideMark/>
          </w:tcPr>
          <w:p w14:paraId="63AF7A2B" w14:textId="7F12AE22"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Recovery refers to an amount recovered for</w:t>
            </w:r>
            <w:r w:rsidR="00342B27">
              <w:rPr>
                <w:rFonts w:cs="Arial"/>
                <w:color w:val="000000"/>
                <w:sz w:val="20"/>
                <w:szCs w:val="20"/>
              </w:rPr>
              <w:t xml:space="preserve"> the provision of a product </w:t>
            </w:r>
            <w:r w:rsidRPr="006411BA">
              <w:rPr>
                <w:rFonts w:cs="Arial"/>
                <w:color w:val="000000"/>
                <w:sz w:val="20"/>
                <w:szCs w:val="20"/>
              </w:rPr>
              <w:t>or service by a hospital to a third party (</w:t>
            </w:r>
            <w:r w:rsidR="00D215F6">
              <w:rPr>
                <w:rFonts w:cs="Arial"/>
                <w:color w:val="000000"/>
                <w:sz w:val="20"/>
                <w:szCs w:val="20"/>
              </w:rPr>
              <w:t>that is,</w:t>
            </w:r>
            <w:r w:rsidRPr="006411BA">
              <w:rPr>
                <w:rFonts w:cs="Arial"/>
                <w:color w:val="000000"/>
                <w:sz w:val="20"/>
                <w:szCs w:val="20"/>
              </w:rPr>
              <w:t xml:space="preserve"> not a hospital patient or staff member).</w:t>
            </w:r>
          </w:p>
        </w:tc>
      </w:tr>
      <w:tr w:rsidR="006411BA" w:rsidRPr="006411BA" w14:paraId="41DE6371" w14:textId="77777777" w:rsidTr="0064124E">
        <w:trPr>
          <w:trHeight w:val="397"/>
        </w:trPr>
        <w:tc>
          <w:tcPr>
            <w:tcW w:w="2709" w:type="dxa"/>
            <w:tcBorders>
              <w:top w:val="nil"/>
              <w:left w:val="nil"/>
              <w:bottom w:val="nil"/>
              <w:right w:val="nil"/>
            </w:tcBorders>
            <w:shd w:val="clear" w:color="auto" w:fill="auto"/>
            <w:hideMark/>
          </w:tcPr>
          <w:p w14:paraId="29E71DD4" w14:textId="77777777"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Revaluation method</w:t>
            </w:r>
          </w:p>
        </w:tc>
        <w:tc>
          <w:tcPr>
            <w:tcW w:w="6945" w:type="dxa"/>
            <w:tcBorders>
              <w:top w:val="nil"/>
              <w:left w:val="nil"/>
              <w:bottom w:val="nil"/>
              <w:right w:val="nil"/>
            </w:tcBorders>
            <w:shd w:val="clear" w:color="auto" w:fill="auto"/>
            <w:hideMark/>
          </w:tcPr>
          <w:p w14:paraId="22701B92" w14:textId="77777777"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Revaluation method: after recognition as an asset, an item of property, plant and equipment whose fair value can be measured reliably shall be carried at a re-valued amount, being its fair value at the date of the revaluation less any subsequent accumulated depreciation and subsequent accumulated impairment losses.</w:t>
            </w:r>
          </w:p>
        </w:tc>
      </w:tr>
      <w:tr w:rsidR="006411BA" w:rsidRPr="006411BA" w14:paraId="0FC3FCFB" w14:textId="77777777" w:rsidTr="0064124E">
        <w:trPr>
          <w:trHeight w:val="397"/>
        </w:trPr>
        <w:tc>
          <w:tcPr>
            <w:tcW w:w="2709" w:type="dxa"/>
            <w:vMerge w:val="restart"/>
            <w:tcBorders>
              <w:top w:val="nil"/>
              <w:left w:val="nil"/>
              <w:bottom w:val="nil"/>
              <w:right w:val="nil"/>
            </w:tcBorders>
            <w:shd w:val="clear" w:color="auto" w:fill="auto"/>
            <w:hideMark/>
          </w:tcPr>
          <w:p w14:paraId="0B99B0C2" w14:textId="163AF2F0" w:rsidR="006411BA" w:rsidRPr="006411BA" w:rsidRDefault="006411BA" w:rsidP="00C11AC6">
            <w:pPr>
              <w:numPr>
                <w:ilvl w:val="0"/>
                <w:numId w:val="0"/>
              </w:numPr>
              <w:spacing w:before="0" w:after="160" w:line="240" w:lineRule="auto"/>
              <w:rPr>
                <w:rFonts w:cs="Arial"/>
                <w:b/>
                <w:bCs/>
                <w:color w:val="000000"/>
                <w:sz w:val="20"/>
                <w:szCs w:val="20"/>
              </w:rPr>
            </w:pPr>
            <w:r w:rsidRPr="006411BA">
              <w:rPr>
                <w:rFonts w:cs="Arial"/>
                <w:b/>
                <w:bCs/>
                <w:color w:val="000000"/>
                <w:sz w:val="20"/>
                <w:szCs w:val="20"/>
              </w:rPr>
              <w:t xml:space="preserve">Rights of Private Practice </w:t>
            </w:r>
          </w:p>
        </w:tc>
        <w:tc>
          <w:tcPr>
            <w:tcW w:w="6945" w:type="dxa"/>
            <w:tcBorders>
              <w:top w:val="nil"/>
              <w:left w:val="nil"/>
              <w:bottom w:val="nil"/>
              <w:right w:val="nil"/>
            </w:tcBorders>
            <w:shd w:val="clear" w:color="auto" w:fill="auto"/>
            <w:hideMark/>
          </w:tcPr>
          <w:p w14:paraId="221EB9A0" w14:textId="01E26990" w:rsidR="006411BA" w:rsidRPr="006411BA" w:rsidRDefault="00C11AC6" w:rsidP="00C11AC6">
            <w:pPr>
              <w:numPr>
                <w:ilvl w:val="0"/>
                <w:numId w:val="0"/>
              </w:numPr>
              <w:spacing w:before="0" w:after="160" w:line="240" w:lineRule="auto"/>
              <w:rPr>
                <w:rFonts w:cs="Arial"/>
                <w:color w:val="000000"/>
                <w:sz w:val="20"/>
                <w:szCs w:val="20"/>
              </w:rPr>
            </w:pPr>
            <w:r w:rsidRPr="00C11AC6">
              <w:rPr>
                <w:rFonts w:cs="Arial"/>
                <w:color w:val="000000"/>
                <w:sz w:val="20"/>
                <w:szCs w:val="20"/>
              </w:rPr>
              <w:t xml:space="preserve">Rights of Private Practice (RoPP) </w:t>
            </w:r>
            <w:r w:rsidR="006411BA" w:rsidRPr="006411BA">
              <w:rPr>
                <w:rFonts w:cs="Arial"/>
                <w:color w:val="000000"/>
                <w:sz w:val="20"/>
                <w:szCs w:val="20"/>
              </w:rPr>
              <w:t>in public hospitals, refers to a formal agreement entered into between the hospital and the medical practitioner that allows the medical practitioner to treat and bill private patients.</w:t>
            </w:r>
          </w:p>
        </w:tc>
      </w:tr>
      <w:tr w:rsidR="006411BA" w:rsidRPr="006411BA" w14:paraId="33E5400F" w14:textId="77777777" w:rsidTr="0064124E">
        <w:trPr>
          <w:trHeight w:val="397"/>
        </w:trPr>
        <w:tc>
          <w:tcPr>
            <w:tcW w:w="2709" w:type="dxa"/>
            <w:vMerge/>
            <w:tcBorders>
              <w:top w:val="nil"/>
              <w:left w:val="nil"/>
              <w:bottom w:val="nil"/>
              <w:right w:val="nil"/>
            </w:tcBorders>
            <w:vAlign w:val="center"/>
            <w:hideMark/>
          </w:tcPr>
          <w:p w14:paraId="6CCCD218"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08A4C34E" w14:textId="5BAF4245" w:rsidR="006411BA" w:rsidRPr="006411BA" w:rsidRDefault="00342B27" w:rsidP="00F13D07">
            <w:pPr>
              <w:numPr>
                <w:ilvl w:val="0"/>
                <w:numId w:val="0"/>
              </w:numPr>
              <w:spacing w:before="0" w:after="160" w:line="240" w:lineRule="auto"/>
              <w:rPr>
                <w:rFonts w:cs="Arial"/>
                <w:color w:val="000000"/>
                <w:sz w:val="20"/>
                <w:szCs w:val="20"/>
              </w:rPr>
            </w:pPr>
            <w:r>
              <w:rPr>
                <w:rFonts w:cs="Arial"/>
                <w:color w:val="000000"/>
                <w:sz w:val="20"/>
                <w:szCs w:val="20"/>
              </w:rPr>
              <w:t>A</w:t>
            </w:r>
            <w:r w:rsidR="006411BA" w:rsidRPr="006411BA">
              <w:rPr>
                <w:rFonts w:cs="Arial"/>
                <w:color w:val="000000"/>
                <w:sz w:val="20"/>
                <w:szCs w:val="20"/>
              </w:rPr>
              <w:t>pproaches adopted across the nation vary but generally range from arrangements in which:</w:t>
            </w:r>
          </w:p>
        </w:tc>
      </w:tr>
      <w:tr w:rsidR="006411BA" w:rsidRPr="006411BA" w14:paraId="0FE7CFEF" w14:textId="77777777" w:rsidTr="0064124E">
        <w:trPr>
          <w:trHeight w:val="397"/>
        </w:trPr>
        <w:tc>
          <w:tcPr>
            <w:tcW w:w="2709" w:type="dxa"/>
            <w:vMerge/>
            <w:tcBorders>
              <w:top w:val="nil"/>
              <w:left w:val="nil"/>
              <w:bottom w:val="nil"/>
              <w:right w:val="nil"/>
            </w:tcBorders>
            <w:vAlign w:val="center"/>
            <w:hideMark/>
          </w:tcPr>
          <w:p w14:paraId="7CD7462E"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69AC3E88" w14:textId="4FD07EB2" w:rsidR="006411BA" w:rsidRPr="00342B27" w:rsidRDefault="00392998" w:rsidP="00342B27">
            <w:pPr>
              <w:pStyle w:val="ListParagraph"/>
              <w:numPr>
                <w:ilvl w:val="0"/>
                <w:numId w:val="33"/>
              </w:numPr>
              <w:spacing w:before="0" w:after="160" w:line="240" w:lineRule="auto"/>
              <w:rPr>
                <w:rFonts w:cs="Arial"/>
                <w:color w:val="000000"/>
                <w:sz w:val="20"/>
                <w:szCs w:val="20"/>
              </w:rPr>
            </w:pPr>
            <w:r w:rsidRPr="00342B27">
              <w:rPr>
                <w:rFonts w:cs="Arial"/>
                <w:color w:val="000000"/>
                <w:sz w:val="20"/>
                <w:szCs w:val="20"/>
              </w:rPr>
              <w:t>d</w:t>
            </w:r>
            <w:r w:rsidR="006411BA" w:rsidRPr="00342B27">
              <w:rPr>
                <w:rFonts w:cs="Arial"/>
                <w:color w:val="000000"/>
                <w:sz w:val="20"/>
                <w:szCs w:val="20"/>
              </w:rPr>
              <w:t xml:space="preserve">octors are paid a private practice allowance as a proportion of their salary, while hospitals receive any monies generated from private patients; </w:t>
            </w:r>
            <w:r w:rsidR="00CB0DA1" w:rsidRPr="00342B27">
              <w:rPr>
                <w:rFonts w:cs="Arial"/>
                <w:color w:val="000000"/>
                <w:sz w:val="20"/>
                <w:szCs w:val="20"/>
              </w:rPr>
              <w:t>or</w:t>
            </w:r>
          </w:p>
        </w:tc>
      </w:tr>
      <w:tr w:rsidR="006411BA" w:rsidRPr="006411BA" w14:paraId="7607A192" w14:textId="77777777" w:rsidTr="0064124E">
        <w:trPr>
          <w:trHeight w:val="397"/>
        </w:trPr>
        <w:tc>
          <w:tcPr>
            <w:tcW w:w="2709" w:type="dxa"/>
            <w:vMerge/>
            <w:tcBorders>
              <w:top w:val="nil"/>
              <w:left w:val="nil"/>
              <w:bottom w:val="nil"/>
              <w:right w:val="nil"/>
            </w:tcBorders>
            <w:vAlign w:val="center"/>
            <w:hideMark/>
          </w:tcPr>
          <w:p w14:paraId="4B20C636"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4360DCE9" w14:textId="0C9950ED" w:rsidR="006411BA" w:rsidRPr="00342B27" w:rsidRDefault="00392998" w:rsidP="00342B27">
            <w:pPr>
              <w:pStyle w:val="ListParagraph"/>
              <w:numPr>
                <w:ilvl w:val="0"/>
                <w:numId w:val="33"/>
              </w:numPr>
              <w:spacing w:before="0" w:after="160" w:line="240" w:lineRule="auto"/>
              <w:rPr>
                <w:rFonts w:cs="Arial"/>
                <w:color w:val="000000"/>
                <w:sz w:val="20"/>
                <w:szCs w:val="20"/>
              </w:rPr>
            </w:pPr>
            <w:r w:rsidRPr="00342B27">
              <w:rPr>
                <w:rFonts w:cs="Arial"/>
                <w:color w:val="000000"/>
                <w:sz w:val="20"/>
                <w:szCs w:val="20"/>
              </w:rPr>
              <w:t>d</w:t>
            </w:r>
            <w:r w:rsidR="006411BA" w:rsidRPr="00342B27">
              <w:rPr>
                <w:rFonts w:cs="Arial"/>
                <w:color w:val="000000"/>
                <w:sz w:val="20"/>
                <w:szCs w:val="20"/>
              </w:rPr>
              <w:t>octors pay their revenue from private practice, or a portion thereof, into a special purpose account (SPA) for use in the hospital. </w:t>
            </w:r>
          </w:p>
        </w:tc>
      </w:tr>
      <w:tr w:rsidR="006411BA" w:rsidRPr="006411BA" w14:paraId="5C19158A" w14:textId="77777777" w:rsidTr="0064124E">
        <w:trPr>
          <w:trHeight w:val="397"/>
        </w:trPr>
        <w:tc>
          <w:tcPr>
            <w:tcW w:w="2709" w:type="dxa"/>
            <w:vMerge/>
            <w:tcBorders>
              <w:top w:val="nil"/>
              <w:left w:val="nil"/>
              <w:bottom w:val="nil"/>
              <w:right w:val="nil"/>
            </w:tcBorders>
            <w:vAlign w:val="center"/>
            <w:hideMark/>
          </w:tcPr>
          <w:p w14:paraId="1DCE5075"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0EF15A12" w14:textId="4309A396" w:rsidR="006411BA" w:rsidRPr="006411BA" w:rsidRDefault="00342B27" w:rsidP="00F604EA">
            <w:pPr>
              <w:numPr>
                <w:ilvl w:val="0"/>
                <w:numId w:val="0"/>
              </w:numPr>
              <w:spacing w:before="0" w:after="160" w:line="240" w:lineRule="auto"/>
              <w:rPr>
                <w:rFonts w:cs="Arial"/>
                <w:color w:val="000000"/>
                <w:sz w:val="20"/>
                <w:szCs w:val="20"/>
              </w:rPr>
            </w:pPr>
            <w:r>
              <w:rPr>
                <w:rFonts w:cs="Arial"/>
                <w:color w:val="000000"/>
                <w:sz w:val="20"/>
                <w:szCs w:val="20"/>
              </w:rPr>
              <w:t>F</w:t>
            </w:r>
            <w:r w:rsidR="006411BA" w:rsidRPr="006411BA">
              <w:rPr>
                <w:rFonts w:cs="Arial"/>
                <w:color w:val="000000"/>
                <w:sz w:val="20"/>
                <w:szCs w:val="20"/>
              </w:rPr>
              <w:t>or the purposes of this</w:t>
            </w:r>
            <w:r w:rsidR="001701AB">
              <w:rPr>
                <w:rFonts w:cs="Arial"/>
                <w:color w:val="000000"/>
                <w:sz w:val="20"/>
                <w:szCs w:val="20"/>
              </w:rPr>
              <w:t xml:space="preserve"> rule</w:t>
            </w:r>
            <w:r w:rsidR="006411BA" w:rsidRPr="006411BA">
              <w:rPr>
                <w:rFonts w:cs="Arial"/>
                <w:color w:val="000000"/>
                <w:sz w:val="20"/>
                <w:szCs w:val="20"/>
              </w:rPr>
              <w:t xml:space="preserve">, three types of arrangements are defined, although other arrangements may exist: </w:t>
            </w:r>
          </w:p>
        </w:tc>
      </w:tr>
      <w:tr w:rsidR="006411BA" w:rsidRPr="006411BA" w14:paraId="4BE37CFD" w14:textId="77777777" w:rsidTr="0064124E">
        <w:trPr>
          <w:trHeight w:val="397"/>
        </w:trPr>
        <w:tc>
          <w:tcPr>
            <w:tcW w:w="2709" w:type="dxa"/>
            <w:vMerge/>
            <w:tcBorders>
              <w:top w:val="nil"/>
              <w:left w:val="nil"/>
              <w:bottom w:val="nil"/>
              <w:right w:val="nil"/>
            </w:tcBorders>
            <w:vAlign w:val="center"/>
            <w:hideMark/>
          </w:tcPr>
          <w:p w14:paraId="495C4764"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742BB59F" w14:textId="00D769AC" w:rsidR="006411BA" w:rsidRPr="00F604EA" w:rsidRDefault="00C11AC6" w:rsidP="00F604EA">
            <w:pPr>
              <w:pStyle w:val="ListParagraph"/>
              <w:numPr>
                <w:ilvl w:val="0"/>
                <w:numId w:val="32"/>
              </w:numPr>
              <w:spacing w:before="0" w:after="160" w:line="240" w:lineRule="auto"/>
              <w:rPr>
                <w:rFonts w:cs="Arial"/>
                <w:color w:val="000000"/>
                <w:sz w:val="20"/>
                <w:szCs w:val="20"/>
              </w:rPr>
            </w:pPr>
            <w:r>
              <w:rPr>
                <w:rFonts w:cs="Arial"/>
                <w:color w:val="000000"/>
                <w:sz w:val="20"/>
                <w:szCs w:val="20"/>
              </w:rPr>
              <w:t>100 per cent</w:t>
            </w:r>
            <w:r w:rsidR="006411BA" w:rsidRPr="00F604EA">
              <w:rPr>
                <w:rFonts w:cs="Arial"/>
                <w:color w:val="000000"/>
                <w:sz w:val="20"/>
                <w:szCs w:val="20"/>
              </w:rPr>
              <w:t xml:space="preserve"> </w:t>
            </w:r>
            <w:r w:rsidR="00F604EA">
              <w:rPr>
                <w:rFonts w:cs="Arial"/>
                <w:color w:val="000000"/>
                <w:sz w:val="20"/>
                <w:szCs w:val="20"/>
              </w:rPr>
              <w:t>d</w:t>
            </w:r>
            <w:r w:rsidR="006411BA" w:rsidRPr="00F604EA">
              <w:rPr>
                <w:rFonts w:cs="Arial"/>
                <w:color w:val="000000"/>
                <w:sz w:val="20"/>
                <w:szCs w:val="20"/>
              </w:rPr>
              <w:t xml:space="preserve">onation </w:t>
            </w:r>
            <w:r w:rsidR="00F604EA">
              <w:rPr>
                <w:rFonts w:cs="Arial"/>
                <w:color w:val="000000"/>
                <w:sz w:val="20"/>
                <w:szCs w:val="20"/>
              </w:rPr>
              <w:t>m</w:t>
            </w:r>
            <w:r>
              <w:rPr>
                <w:rFonts w:cs="Arial"/>
                <w:color w:val="000000"/>
                <w:sz w:val="20"/>
                <w:szCs w:val="20"/>
              </w:rPr>
              <w:t>odel – u</w:t>
            </w:r>
            <w:r w:rsidR="006411BA" w:rsidRPr="00F604EA">
              <w:rPr>
                <w:rFonts w:cs="Arial"/>
                <w:color w:val="000000"/>
                <w:sz w:val="20"/>
                <w:szCs w:val="20"/>
              </w:rPr>
              <w:t xml:space="preserve">nder this model, all funds generated through </w:t>
            </w:r>
            <w:r>
              <w:rPr>
                <w:rFonts w:cs="Arial"/>
                <w:color w:val="000000"/>
                <w:sz w:val="20"/>
                <w:szCs w:val="20"/>
              </w:rPr>
              <w:t>Medicare Benefits Schedule (</w:t>
            </w:r>
            <w:r w:rsidR="006411BA" w:rsidRPr="00F604EA">
              <w:rPr>
                <w:rFonts w:cs="Arial"/>
                <w:color w:val="000000"/>
                <w:sz w:val="20"/>
                <w:szCs w:val="20"/>
              </w:rPr>
              <w:t>MBS</w:t>
            </w:r>
            <w:r>
              <w:rPr>
                <w:rFonts w:cs="Arial"/>
                <w:color w:val="000000"/>
                <w:sz w:val="20"/>
                <w:szCs w:val="20"/>
              </w:rPr>
              <w:t>)</w:t>
            </w:r>
            <w:r w:rsidR="006411BA" w:rsidRPr="00F604EA">
              <w:rPr>
                <w:rFonts w:cs="Arial"/>
                <w:color w:val="000000"/>
                <w:sz w:val="20"/>
                <w:szCs w:val="20"/>
              </w:rPr>
              <w:t xml:space="preserve"> billing of private patients are ‘donated’ to the hospital. In exchange, the hospital gives the specialist access to the staff, facilities and equipment to support the treatment of private patients. Specialists may also negotiate additional salary or fee-for-service to compensate for the foregone MBS income.</w:t>
            </w:r>
          </w:p>
        </w:tc>
      </w:tr>
      <w:tr w:rsidR="006411BA" w:rsidRPr="006411BA" w14:paraId="4877456E" w14:textId="77777777" w:rsidTr="0064124E">
        <w:trPr>
          <w:trHeight w:val="397"/>
        </w:trPr>
        <w:tc>
          <w:tcPr>
            <w:tcW w:w="2709" w:type="dxa"/>
            <w:vMerge/>
            <w:tcBorders>
              <w:top w:val="nil"/>
              <w:left w:val="nil"/>
              <w:bottom w:val="nil"/>
              <w:right w:val="nil"/>
            </w:tcBorders>
            <w:vAlign w:val="center"/>
            <w:hideMark/>
          </w:tcPr>
          <w:p w14:paraId="713EC2DC"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0FC660AB" w14:textId="33B97115" w:rsidR="006411BA" w:rsidRPr="00F604EA" w:rsidRDefault="00C11AC6" w:rsidP="00F604EA">
            <w:pPr>
              <w:pStyle w:val="ListParagraph"/>
              <w:numPr>
                <w:ilvl w:val="0"/>
                <w:numId w:val="32"/>
              </w:numPr>
              <w:spacing w:before="0" w:after="160" w:line="240" w:lineRule="auto"/>
              <w:rPr>
                <w:rFonts w:cs="Arial"/>
                <w:color w:val="000000"/>
                <w:sz w:val="20"/>
                <w:szCs w:val="20"/>
              </w:rPr>
            </w:pPr>
            <w:r>
              <w:rPr>
                <w:rFonts w:cs="Arial"/>
                <w:color w:val="000000"/>
                <w:sz w:val="20"/>
                <w:szCs w:val="20"/>
              </w:rPr>
              <w:t>I</w:t>
            </w:r>
            <w:r w:rsidR="006411BA" w:rsidRPr="00F604EA">
              <w:rPr>
                <w:rFonts w:cs="Arial"/>
                <w:color w:val="000000"/>
                <w:sz w:val="20"/>
                <w:szCs w:val="20"/>
              </w:rPr>
              <w:t xml:space="preserve">ncome donated to the hospital </w:t>
            </w:r>
            <w:r>
              <w:rPr>
                <w:rFonts w:cs="Arial"/>
                <w:color w:val="000000"/>
                <w:sz w:val="20"/>
                <w:szCs w:val="20"/>
              </w:rPr>
              <w:t xml:space="preserve">– </w:t>
            </w:r>
            <w:r w:rsidR="006411BA" w:rsidRPr="00F604EA">
              <w:rPr>
                <w:rFonts w:cs="Arial"/>
                <w:color w:val="000000"/>
                <w:sz w:val="20"/>
                <w:szCs w:val="20"/>
              </w:rPr>
              <w:t>under this model is held in a SPA according to the specialist’s craft group. Funds in these SPAs are used by the hospital on activities of its choice, although the individual specialist may negotiate particular types of expenditure allowed from the account.</w:t>
            </w:r>
          </w:p>
        </w:tc>
      </w:tr>
      <w:tr w:rsidR="006411BA" w:rsidRPr="006411BA" w14:paraId="24DE55D9" w14:textId="77777777" w:rsidTr="0064124E">
        <w:trPr>
          <w:trHeight w:val="397"/>
        </w:trPr>
        <w:tc>
          <w:tcPr>
            <w:tcW w:w="2709" w:type="dxa"/>
            <w:vMerge/>
            <w:tcBorders>
              <w:top w:val="nil"/>
              <w:left w:val="nil"/>
              <w:bottom w:val="nil"/>
              <w:right w:val="nil"/>
            </w:tcBorders>
            <w:vAlign w:val="center"/>
            <w:hideMark/>
          </w:tcPr>
          <w:p w14:paraId="22AF677A"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3E2176FB" w14:textId="557B664C" w:rsidR="006411BA" w:rsidRPr="00F604EA" w:rsidRDefault="00C11AC6" w:rsidP="00F604EA">
            <w:pPr>
              <w:pStyle w:val="ListParagraph"/>
              <w:numPr>
                <w:ilvl w:val="0"/>
                <w:numId w:val="32"/>
              </w:numPr>
              <w:spacing w:before="0" w:after="160" w:line="240" w:lineRule="auto"/>
              <w:rPr>
                <w:rFonts w:cs="Arial"/>
                <w:color w:val="000000"/>
                <w:sz w:val="20"/>
                <w:szCs w:val="20"/>
              </w:rPr>
            </w:pPr>
            <w:r>
              <w:rPr>
                <w:rFonts w:cs="Arial"/>
                <w:color w:val="000000"/>
                <w:sz w:val="20"/>
                <w:szCs w:val="20"/>
              </w:rPr>
              <w:t>100 per cent retention model – u</w:t>
            </w:r>
            <w:r w:rsidR="006411BA" w:rsidRPr="00F604EA">
              <w:rPr>
                <w:rFonts w:cs="Arial"/>
                <w:color w:val="000000"/>
                <w:sz w:val="20"/>
                <w:szCs w:val="20"/>
              </w:rPr>
              <w:t xml:space="preserve">nder this model, medical specialist retains all income derived through MBS billing of private outpatients. In exchange for use of the hospital facilities and access to its staff, the specialist provides the hospital with a facility fee. </w:t>
            </w:r>
          </w:p>
        </w:tc>
      </w:tr>
      <w:tr w:rsidR="006411BA" w:rsidRPr="006411BA" w14:paraId="412B06F3" w14:textId="77777777" w:rsidTr="0064124E">
        <w:trPr>
          <w:trHeight w:val="397"/>
        </w:trPr>
        <w:tc>
          <w:tcPr>
            <w:tcW w:w="2709" w:type="dxa"/>
            <w:vMerge/>
            <w:tcBorders>
              <w:top w:val="nil"/>
              <w:left w:val="nil"/>
              <w:bottom w:val="nil"/>
              <w:right w:val="nil"/>
            </w:tcBorders>
            <w:vAlign w:val="center"/>
            <w:hideMark/>
          </w:tcPr>
          <w:p w14:paraId="0090376F"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37AB4962" w14:textId="27E1DC84" w:rsidR="006411BA" w:rsidRPr="00F604EA" w:rsidRDefault="00C11AC6" w:rsidP="00F604EA">
            <w:pPr>
              <w:pStyle w:val="ListParagraph"/>
              <w:numPr>
                <w:ilvl w:val="0"/>
                <w:numId w:val="32"/>
              </w:numPr>
              <w:spacing w:before="0" w:after="160" w:line="240" w:lineRule="auto"/>
              <w:rPr>
                <w:rFonts w:cs="Arial"/>
                <w:color w:val="000000"/>
                <w:sz w:val="20"/>
                <w:szCs w:val="20"/>
              </w:rPr>
            </w:pPr>
            <w:r>
              <w:rPr>
                <w:rFonts w:cs="Arial"/>
                <w:color w:val="000000"/>
                <w:sz w:val="20"/>
                <w:szCs w:val="20"/>
              </w:rPr>
              <w:t xml:space="preserve">Shared model – </w:t>
            </w:r>
            <w:r w:rsidR="006411BA" w:rsidRPr="00F604EA">
              <w:rPr>
                <w:rFonts w:cs="Arial"/>
                <w:color w:val="000000"/>
                <w:sz w:val="20"/>
                <w:szCs w:val="20"/>
              </w:rPr>
              <w:t xml:space="preserve">under this model, the hospital and specialist agree to share the revenue derived from MBS billed services. The hospital provides administrative support, access to staff, facilities and equipment for a portion of the Medicare benefit assigned by the patient. </w:t>
            </w:r>
          </w:p>
        </w:tc>
      </w:tr>
      <w:tr w:rsidR="006411BA" w:rsidRPr="006411BA" w14:paraId="10B5C0CE" w14:textId="77777777" w:rsidTr="0064124E">
        <w:trPr>
          <w:trHeight w:val="397"/>
        </w:trPr>
        <w:tc>
          <w:tcPr>
            <w:tcW w:w="2709" w:type="dxa"/>
            <w:vMerge/>
            <w:tcBorders>
              <w:top w:val="nil"/>
              <w:left w:val="nil"/>
              <w:bottom w:val="nil"/>
              <w:right w:val="nil"/>
            </w:tcBorders>
            <w:vAlign w:val="center"/>
            <w:hideMark/>
          </w:tcPr>
          <w:p w14:paraId="2AB66F1F"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33D1BFBF" w14:textId="5931BDE8" w:rsidR="006411BA" w:rsidRPr="00F604EA" w:rsidRDefault="00C11AC6" w:rsidP="00F604EA">
            <w:pPr>
              <w:pStyle w:val="ListParagraph"/>
              <w:numPr>
                <w:ilvl w:val="0"/>
                <w:numId w:val="32"/>
              </w:numPr>
              <w:spacing w:before="0" w:after="160" w:line="240" w:lineRule="auto"/>
              <w:rPr>
                <w:rFonts w:cs="Arial"/>
                <w:color w:val="000000"/>
                <w:sz w:val="20"/>
                <w:szCs w:val="20"/>
              </w:rPr>
            </w:pPr>
            <w:r>
              <w:rPr>
                <w:rFonts w:cs="Arial"/>
                <w:color w:val="000000"/>
                <w:sz w:val="20"/>
                <w:szCs w:val="20"/>
              </w:rPr>
              <w:t>T</w:t>
            </w:r>
            <w:r w:rsidR="006411BA" w:rsidRPr="00F604EA">
              <w:rPr>
                <w:rFonts w:cs="Arial"/>
                <w:color w:val="000000"/>
                <w:sz w:val="20"/>
                <w:szCs w:val="20"/>
              </w:rPr>
              <w:t xml:space="preserve">he </w:t>
            </w:r>
            <w:r w:rsidR="00392998" w:rsidRPr="00F604EA">
              <w:rPr>
                <w:rFonts w:cs="Arial"/>
                <w:color w:val="000000"/>
                <w:sz w:val="20"/>
                <w:szCs w:val="20"/>
              </w:rPr>
              <w:t>h</w:t>
            </w:r>
            <w:r w:rsidR="006411BA" w:rsidRPr="00F604EA">
              <w:rPr>
                <w:rFonts w:cs="Arial"/>
                <w:color w:val="000000"/>
                <w:sz w:val="20"/>
                <w:szCs w:val="20"/>
              </w:rPr>
              <w:t xml:space="preserve">ospital may be authorised to act as agent in claiming </w:t>
            </w:r>
            <w:r w:rsidR="00392998" w:rsidRPr="00F604EA">
              <w:rPr>
                <w:rFonts w:cs="Arial"/>
                <w:color w:val="000000"/>
                <w:sz w:val="20"/>
                <w:szCs w:val="20"/>
              </w:rPr>
              <w:t>MBS</w:t>
            </w:r>
            <w:r w:rsidR="006411BA" w:rsidRPr="00F604EA">
              <w:rPr>
                <w:rFonts w:cs="Arial"/>
                <w:color w:val="000000"/>
                <w:sz w:val="20"/>
                <w:szCs w:val="20"/>
              </w:rPr>
              <w:t>, which it then places in an SPA. Individual accounts are maintained for each specialist from where proceeds are distributed or shared with the specialist according to the agreement terms.</w:t>
            </w:r>
          </w:p>
        </w:tc>
      </w:tr>
      <w:tr w:rsidR="006411BA" w:rsidRPr="006411BA" w14:paraId="427B2E85" w14:textId="77777777" w:rsidTr="0064124E">
        <w:trPr>
          <w:trHeight w:val="397"/>
        </w:trPr>
        <w:tc>
          <w:tcPr>
            <w:tcW w:w="2709" w:type="dxa"/>
            <w:tcBorders>
              <w:top w:val="nil"/>
              <w:left w:val="nil"/>
              <w:bottom w:val="nil"/>
              <w:right w:val="nil"/>
            </w:tcBorders>
            <w:shd w:val="clear" w:color="auto" w:fill="auto"/>
            <w:hideMark/>
          </w:tcPr>
          <w:p w14:paraId="27B25E14" w14:textId="77777777"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Royal Flying Doctor Service</w:t>
            </w:r>
          </w:p>
        </w:tc>
        <w:tc>
          <w:tcPr>
            <w:tcW w:w="6945" w:type="dxa"/>
            <w:tcBorders>
              <w:top w:val="nil"/>
              <w:left w:val="nil"/>
              <w:bottom w:val="nil"/>
              <w:right w:val="nil"/>
            </w:tcBorders>
            <w:shd w:val="clear" w:color="auto" w:fill="auto"/>
            <w:hideMark/>
          </w:tcPr>
          <w:p w14:paraId="00CFE46F" w14:textId="77777777"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Royal Flying Doctor Service is an organisation that provides aerial emergency medical and primary health care services to those in rural and remote Australia.</w:t>
            </w:r>
          </w:p>
        </w:tc>
      </w:tr>
      <w:tr w:rsidR="006411BA" w:rsidRPr="006411BA" w14:paraId="3CB3BD98" w14:textId="77777777" w:rsidTr="0064124E">
        <w:trPr>
          <w:trHeight w:val="397"/>
        </w:trPr>
        <w:tc>
          <w:tcPr>
            <w:tcW w:w="2709" w:type="dxa"/>
            <w:tcBorders>
              <w:top w:val="nil"/>
              <w:left w:val="nil"/>
              <w:bottom w:val="nil"/>
              <w:right w:val="nil"/>
            </w:tcBorders>
            <w:shd w:val="clear" w:color="auto" w:fill="auto"/>
            <w:hideMark/>
          </w:tcPr>
          <w:p w14:paraId="2ED21D18" w14:textId="68807773" w:rsidR="009E44E0" w:rsidRDefault="001C6F04" w:rsidP="009E44E0">
            <w:pPr>
              <w:numPr>
                <w:ilvl w:val="0"/>
                <w:numId w:val="0"/>
              </w:numPr>
              <w:spacing w:before="100" w:beforeAutospacing="1" w:after="600" w:line="240" w:lineRule="auto"/>
              <w:rPr>
                <w:rFonts w:cs="Arial"/>
                <w:b/>
                <w:bCs/>
                <w:color w:val="000000"/>
                <w:sz w:val="20"/>
                <w:szCs w:val="20"/>
              </w:rPr>
            </w:pPr>
            <w:r w:rsidRPr="001C6F04">
              <w:rPr>
                <w:rFonts w:cs="Arial"/>
                <w:b/>
                <w:bCs/>
                <w:color w:val="000000"/>
                <w:sz w:val="20"/>
                <w:szCs w:val="20"/>
              </w:rPr>
              <w:t>Right-of-use asset</w:t>
            </w:r>
          </w:p>
          <w:p w14:paraId="34B33BFD" w14:textId="237370FD" w:rsidR="002F0E6F" w:rsidRDefault="00E03C10" w:rsidP="009E44E0">
            <w:pPr>
              <w:numPr>
                <w:ilvl w:val="0"/>
                <w:numId w:val="0"/>
              </w:numPr>
              <w:spacing w:before="100" w:beforeAutospacing="1" w:line="240" w:lineRule="auto"/>
              <w:rPr>
                <w:rFonts w:cs="Arial"/>
                <w:b/>
                <w:bCs/>
                <w:color w:val="000000"/>
                <w:sz w:val="20"/>
                <w:szCs w:val="20"/>
              </w:rPr>
            </w:pPr>
            <w:r w:rsidRPr="00E03C10">
              <w:rPr>
                <w:rFonts w:cs="Arial"/>
                <w:b/>
                <w:bCs/>
                <w:color w:val="000000"/>
                <w:sz w:val="20"/>
                <w:szCs w:val="20"/>
              </w:rPr>
              <w:t>Right-of-use asset depreciation</w:t>
            </w:r>
          </w:p>
          <w:p w14:paraId="0AB48700" w14:textId="71360B19" w:rsidR="006411BA" w:rsidRPr="006411BA" w:rsidRDefault="006411BA" w:rsidP="009E44E0">
            <w:pPr>
              <w:numPr>
                <w:ilvl w:val="0"/>
                <w:numId w:val="0"/>
              </w:numPr>
              <w:spacing w:before="160" w:after="0" w:line="240" w:lineRule="auto"/>
              <w:rPr>
                <w:rFonts w:cs="Arial"/>
                <w:b/>
                <w:bCs/>
                <w:color w:val="000000"/>
                <w:sz w:val="20"/>
                <w:szCs w:val="20"/>
              </w:rPr>
            </w:pPr>
            <w:r w:rsidRPr="006411BA">
              <w:rPr>
                <w:rFonts w:cs="Arial"/>
                <w:b/>
                <w:bCs/>
                <w:color w:val="000000"/>
                <w:sz w:val="20"/>
                <w:szCs w:val="20"/>
              </w:rPr>
              <w:t xml:space="preserve">Service </w:t>
            </w:r>
            <w:r w:rsidR="00631701">
              <w:rPr>
                <w:rFonts w:cs="Arial"/>
                <w:b/>
                <w:bCs/>
                <w:color w:val="000000"/>
                <w:sz w:val="20"/>
                <w:szCs w:val="20"/>
              </w:rPr>
              <w:t>w</w:t>
            </w:r>
            <w:r w:rsidRPr="006411BA">
              <w:rPr>
                <w:rFonts w:cs="Arial"/>
                <w:b/>
                <w:bCs/>
                <w:color w:val="000000"/>
                <w:sz w:val="20"/>
                <w:szCs w:val="20"/>
              </w:rPr>
              <w:t>eight</w:t>
            </w:r>
          </w:p>
        </w:tc>
        <w:tc>
          <w:tcPr>
            <w:tcW w:w="6945" w:type="dxa"/>
            <w:tcBorders>
              <w:top w:val="nil"/>
              <w:left w:val="nil"/>
              <w:bottom w:val="nil"/>
              <w:right w:val="nil"/>
            </w:tcBorders>
            <w:shd w:val="clear" w:color="auto" w:fill="auto"/>
            <w:hideMark/>
          </w:tcPr>
          <w:p w14:paraId="5984AECD" w14:textId="49937A84" w:rsidR="001C6F04" w:rsidRDefault="001C6F04" w:rsidP="00F13D07">
            <w:pPr>
              <w:numPr>
                <w:ilvl w:val="0"/>
                <w:numId w:val="0"/>
              </w:numPr>
              <w:spacing w:before="0" w:after="160" w:line="240" w:lineRule="auto"/>
              <w:rPr>
                <w:rFonts w:cs="Arial"/>
                <w:color w:val="000000"/>
                <w:sz w:val="20"/>
                <w:szCs w:val="20"/>
              </w:rPr>
            </w:pPr>
            <w:r w:rsidRPr="001C6F04">
              <w:rPr>
                <w:rFonts w:cs="Arial"/>
                <w:color w:val="000000"/>
                <w:sz w:val="20"/>
                <w:szCs w:val="20"/>
              </w:rPr>
              <w:t xml:space="preserve">An asset that represents a lessee’s right to use </w:t>
            </w:r>
            <w:r w:rsidR="0036374D" w:rsidRPr="0036374D">
              <w:rPr>
                <w:rFonts w:cs="Arial"/>
                <w:color w:val="000000"/>
                <w:sz w:val="20"/>
                <w:szCs w:val="20"/>
              </w:rPr>
              <w:t xml:space="preserve">an underlying asset for </w:t>
            </w:r>
            <w:r w:rsidR="001D2740" w:rsidRPr="001D2740">
              <w:rPr>
                <w:rFonts w:cs="Arial"/>
                <w:color w:val="000000"/>
                <w:sz w:val="20"/>
                <w:szCs w:val="20"/>
              </w:rPr>
              <w:t>an agreed period of time (lease term) in return for a payment or series of payments.</w:t>
            </w:r>
          </w:p>
          <w:p w14:paraId="117B6975" w14:textId="1EC25734" w:rsidR="00E03C10" w:rsidRDefault="002F0E6F" w:rsidP="00F13D07">
            <w:pPr>
              <w:numPr>
                <w:ilvl w:val="0"/>
                <w:numId w:val="0"/>
              </w:numPr>
              <w:spacing w:before="0" w:after="160" w:line="240" w:lineRule="auto"/>
              <w:rPr>
                <w:rFonts w:cs="Arial"/>
                <w:color w:val="000000"/>
                <w:sz w:val="20"/>
                <w:szCs w:val="20"/>
              </w:rPr>
            </w:pPr>
            <w:r w:rsidRPr="002F0E6F">
              <w:rPr>
                <w:rFonts w:cs="Arial"/>
                <w:color w:val="000000"/>
                <w:sz w:val="20"/>
                <w:szCs w:val="20"/>
              </w:rPr>
              <w:t>Right-of-use asset depreciation represents the reduction in a lessee’s right to use an underlying leased asset over the lease term.</w:t>
            </w:r>
          </w:p>
          <w:p w14:paraId="4AABD268" w14:textId="1A5C750E"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A service weight is a series of weightings by specified categories (for example</w:t>
            </w:r>
            <w:r w:rsidR="00392998">
              <w:rPr>
                <w:rFonts w:cs="Arial"/>
                <w:color w:val="000000"/>
                <w:sz w:val="20"/>
                <w:szCs w:val="20"/>
              </w:rPr>
              <w:t>,</w:t>
            </w:r>
            <w:r w:rsidRPr="006411BA">
              <w:rPr>
                <w:rFonts w:cs="Arial"/>
                <w:color w:val="000000"/>
                <w:sz w:val="20"/>
                <w:szCs w:val="20"/>
              </w:rPr>
              <w:t xml:space="preserve"> DRG) and by cost bucket which are a relative measure of resource use within a category. In the case of service weights, a weighting is applied at the classification level and it assumes that on average the relative consumption of resources for episodes within that classification is on average similar.</w:t>
            </w:r>
          </w:p>
        </w:tc>
      </w:tr>
      <w:tr w:rsidR="006411BA" w:rsidRPr="006411BA" w14:paraId="0F8DAE75" w14:textId="77777777" w:rsidTr="0064124E">
        <w:trPr>
          <w:trHeight w:val="397"/>
        </w:trPr>
        <w:tc>
          <w:tcPr>
            <w:tcW w:w="2709" w:type="dxa"/>
            <w:tcBorders>
              <w:top w:val="nil"/>
              <w:left w:val="nil"/>
              <w:bottom w:val="nil"/>
              <w:right w:val="nil"/>
            </w:tcBorders>
            <w:shd w:val="clear" w:color="auto" w:fill="auto"/>
            <w:hideMark/>
          </w:tcPr>
          <w:p w14:paraId="567D3394" w14:textId="3C34FAF2"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 xml:space="preserve">Shared </w:t>
            </w:r>
            <w:r w:rsidR="00631701">
              <w:rPr>
                <w:rFonts w:cs="Arial"/>
                <w:b/>
                <w:bCs/>
                <w:color w:val="000000"/>
                <w:sz w:val="20"/>
                <w:szCs w:val="20"/>
              </w:rPr>
              <w:t>s</w:t>
            </w:r>
            <w:r w:rsidR="00631701" w:rsidRPr="006411BA">
              <w:rPr>
                <w:rFonts w:cs="Arial"/>
                <w:b/>
                <w:bCs/>
                <w:color w:val="000000"/>
                <w:sz w:val="20"/>
                <w:szCs w:val="20"/>
              </w:rPr>
              <w:t>ervices</w:t>
            </w:r>
          </w:p>
        </w:tc>
        <w:tc>
          <w:tcPr>
            <w:tcW w:w="6945" w:type="dxa"/>
            <w:tcBorders>
              <w:top w:val="nil"/>
              <w:left w:val="nil"/>
              <w:bottom w:val="nil"/>
              <w:right w:val="nil"/>
            </w:tcBorders>
            <w:shd w:val="clear" w:color="auto" w:fill="auto"/>
            <w:hideMark/>
          </w:tcPr>
          <w:p w14:paraId="1C3099EC" w14:textId="3371F584" w:rsidR="006411BA" w:rsidRPr="006411BA" w:rsidRDefault="006411BA" w:rsidP="00D215F6">
            <w:pPr>
              <w:numPr>
                <w:ilvl w:val="0"/>
                <w:numId w:val="0"/>
              </w:numPr>
              <w:spacing w:before="0" w:after="160" w:line="240" w:lineRule="auto"/>
              <w:rPr>
                <w:rFonts w:cs="Arial"/>
                <w:color w:val="000000"/>
                <w:sz w:val="20"/>
                <w:szCs w:val="20"/>
              </w:rPr>
            </w:pPr>
            <w:r w:rsidRPr="006411BA">
              <w:rPr>
                <w:rFonts w:cs="Arial"/>
                <w:color w:val="000000"/>
                <w:sz w:val="20"/>
                <w:szCs w:val="20"/>
              </w:rPr>
              <w:t xml:space="preserve">Shared </w:t>
            </w:r>
            <w:r w:rsidR="00392998">
              <w:rPr>
                <w:rFonts w:cs="Arial"/>
                <w:color w:val="000000"/>
                <w:sz w:val="20"/>
                <w:szCs w:val="20"/>
              </w:rPr>
              <w:t>s</w:t>
            </w:r>
            <w:r w:rsidRPr="006411BA">
              <w:rPr>
                <w:rFonts w:cs="Arial"/>
                <w:color w:val="000000"/>
                <w:sz w:val="20"/>
                <w:szCs w:val="20"/>
              </w:rPr>
              <w:t xml:space="preserve">ervices refer to centralised services provided by an organisation to one or more hospitals as a measure of efficiency of scale and scope. Shared services examples may include scenarios where some hospitals will share a common ICT platform, </w:t>
            </w:r>
            <w:r w:rsidR="00D215F6">
              <w:rPr>
                <w:rFonts w:cs="Arial"/>
                <w:color w:val="000000"/>
                <w:sz w:val="20"/>
                <w:szCs w:val="20"/>
              </w:rPr>
              <w:t>h</w:t>
            </w:r>
            <w:r w:rsidRPr="006411BA">
              <w:rPr>
                <w:rFonts w:cs="Arial"/>
                <w:color w:val="000000"/>
                <w:sz w:val="20"/>
                <w:szCs w:val="20"/>
              </w:rPr>
              <w:t xml:space="preserve">uman </w:t>
            </w:r>
            <w:r w:rsidR="00D215F6">
              <w:rPr>
                <w:rFonts w:cs="Arial"/>
                <w:color w:val="000000"/>
                <w:sz w:val="20"/>
                <w:szCs w:val="20"/>
              </w:rPr>
              <w:t>r</w:t>
            </w:r>
            <w:r w:rsidRPr="006411BA">
              <w:rPr>
                <w:rFonts w:cs="Arial"/>
                <w:color w:val="000000"/>
                <w:sz w:val="20"/>
                <w:szCs w:val="20"/>
              </w:rPr>
              <w:t xml:space="preserve">esources function, procurement, </w:t>
            </w:r>
            <w:r w:rsidRPr="006411BA">
              <w:rPr>
                <w:rFonts w:cs="Arial"/>
                <w:color w:val="000000"/>
                <w:sz w:val="20"/>
                <w:szCs w:val="20"/>
              </w:rPr>
              <w:lastRenderedPageBreak/>
              <w:t>food services or pharmacy services. The hospital may either host the service or be the recipient of the service.</w:t>
            </w:r>
          </w:p>
        </w:tc>
      </w:tr>
      <w:tr w:rsidR="006411BA" w:rsidRPr="006411BA" w14:paraId="3F1820F6" w14:textId="77777777" w:rsidTr="0064124E">
        <w:trPr>
          <w:trHeight w:val="397"/>
        </w:trPr>
        <w:tc>
          <w:tcPr>
            <w:tcW w:w="2709" w:type="dxa"/>
            <w:vMerge w:val="restart"/>
            <w:tcBorders>
              <w:top w:val="nil"/>
              <w:left w:val="nil"/>
              <w:bottom w:val="nil"/>
              <w:right w:val="nil"/>
            </w:tcBorders>
            <w:shd w:val="clear" w:color="auto" w:fill="auto"/>
            <w:hideMark/>
          </w:tcPr>
          <w:p w14:paraId="496A6910" w14:textId="190A1D35" w:rsidR="006411BA" w:rsidRPr="006411BA" w:rsidRDefault="00C11AC6" w:rsidP="00C11AC6">
            <w:pPr>
              <w:numPr>
                <w:ilvl w:val="0"/>
                <w:numId w:val="0"/>
              </w:numPr>
              <w:spacing w:before="0" w:after="160" w:line="240" w:lineRule="auto"/>
              <w:rPr>
                <w:rFonts w:cs="Arial"/>
                <w:b/>
                <w:bCs/>
                <w:color w:val="000000"/>
                <w:sz w:val="20"/>
                <w:szCs w:val="20"/>
              </w:rPr>
            </w:pPr>
            <w:r>
              <w:rPr>
                <w:rFonts w:cs="Arial"/>
                <w:b/>
                <w:bCs/>
                <w:color w:val="000000"/>
                <w:sz w:val="20"/>
                <w:szCs w:val="20"/>
              </w:rPr>
              <w:lastRenderedPageBreak/>
              <w:t>Special purpose a</w:t>
            </w:r>
            <w:r w:rsidR="006411BA" w:rsidRPr="006411BA">
              <w:rPr>
                <w:rFonts w:cs="Arial"/>
                <w:b/>
                <w:bCs/>
                <w:color w:val="000000"/>
                <w:sz w:val="20"/>
                <w:szCs w:val="20"/>
              </w:rPr>
              <w:t xml:space="preserve">ccount </w:t>
            </w:r>
          </w:p>
        </w:tc>
        <w:tc>
          <w:tcPr>
            <w:tcW w:w="6945" w:type="dxa"/>
            <w:tcBorders>
              <w:top w:val="nil"/>
              <w:left w:val="nil"/>
              <w:bottom w:val="nil"/>
              <w:right w:val="nil"/>
            </w:tcBorders>
            <w:shd w:val="clear" w:color="auto" w:fill="auto"/>
            <w:hideMark/>
          </w:tcPr>
          <w:p w14:paraId="124D6B40" w14:textId="77777777"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SPAs fall into two major categories:</w:t>
            </w:r>
          </w:p>
        </w:tc>
      </w:tr>
      <w:tr w:rsidR="006411BA" w:rsidRPr="006411BA" w14:paraId="0CACB483" w14:textId="77777777" w:rsidTr="0064124E">
        <w:trPr>
          <w:trHeight w:val="397"/>
        </w:trPr>
        <w:tc>
          <w:tcPr>
            <w:tcW w:w="2709" w:type="dxa"/>
            <w:vMerge/>
            <w:tcBorders>
              <w:top w:val="nil"/>
              <w:left w:val="nil"/>
              <w:bottom w:val="nil"/>
              <w:right w:val="nil"/>
            </w:tcBorders>
            <w:vAlign w:val="center"/>
            <w:hideMark/>
          </w:tcPr>
          <w:p w14:paraId="1BB54560"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14333CB5" w14:textId="77777777"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Those which hold moneys that the hospitals have some level of control to use on hospital activities. Moneys in these accounts may include sources other than RoPP and contain monies from donations and bequests, grants, fees and charges and or funds received for a specific purpose.</w:t>
            </w:r>
          </w:p>
        </w:tc>
      </w:tr>
      <w:tr w:rsidR="006411BA" w:rsidRPr="006411BA" w14:paraId="1C3C6957" w14:textId="77777777" w:rsidTr="0064124E">
        <w:trPr>
          <w:trHeight w:val="397"/>
        </w:trPr>
        <w:tc>
          <w:tcPr>
            <w:tcW w:w="2709" w:type="dxa"/>
            <w:vMerge/>
            <w:tcBorders>
              <w:top w:val="nil"/>
              <w:left w:val="nil"/>
              <w:bottom w:val="nil"/>
              <w:right w:val="nil"/>
            </w:tcBorders>
            <w:vAlign w:val="center"/>
            <w:hideMark/>
          </w:tcPr>
          <w:p w14:paraId="5895C760"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050E9A26" w14:textId="77777777"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 xml:space="preserve">These moneys may be subject to external restrictions so that they can only be used by the hospital for a specific purpose and may include things such as research purposes, identified business activities, clinical trials, travel, educational and other specific purposes. </w:t>
            </w:r>
          </w:p>
        </w:tc>
      </w:tr>
      <w:tr w:rsidR="006411BA" w:rsidRPr="006411BA" w14:paraId="72BAB0DF" w14:textId="77777777" w:rsidTr="0064124E">
        <w:trPr>
          <w:trHeight w:val="397"/>
        </w:trPr>
        <w:tc>
          <w:tcPr>
            <w:tcW w:w="2709" w:type="dxa"/>
            <w:vMerge/>
            <w:tcBorders>
              <w:top w:val="nil"/>
              <w:left w:val="nil"/>
              <w:bottom w:val="nil"/>
              <w:right w:val="nil"/>
            </w:tcBorders>
            <w:vAlign w:val="center"/>
            <w:hideMark/>
          </w:tcPr>
          <w:p w14:paraId="54A1F7A9"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64A6EC0E" w14:textId="77777777"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Trust accounts that hold money on behalf of third parties, such as voluntary organisations attached to the hospitals and patients’ private cash. These are true trusts as the hospitals have no legal rights to this money and cannot use these funds for hospital activities.</w:t>
            </w:r>
          </w:p>
        </w:tc>
      </w:tr>
      <w:tr w:rsidR="006411BA" w:rsidRPr="006411BA" w14:paraId="0B92F394" w14:textId="77777777" w:rsidTr="0064124E">
        <w:trPr>
          <w:trHeight w:val="397"/>
        </w:trPr>
        <w:tc>
          <w:tcPr>
            <w:tcW w:w="2709" w:type="dxa"/>
            <w:vMerge/>
            <w:tcBorders>
              <w:top w:val="nil"/>
              <w:left w:val="nil"/>
              <w:bottom w:val="nil"/>
              <w:right w:val="nil"/>
            </w:tcBorders>
            <w:vAlign w:val="center"/>
            <w:hideMark/>
          </w:tcPr>
          <w:p w14:paraId="7F204867"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14869F1E" w14:textId="77777777"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Moneys in SPA, irrespective of their funding source, are subject to the same accountability standards that apply to all public funds.</w:t>
            </w:r>
          </w:p>
        </w:tc>
      </w:tr>
      <w:tr w:rsidR="006411BA" w:rsidRPr="006411BA" w14:paraId="4EB7819C" w14:textId="77777777" w:rsidTr="0064124E">
        <w:trPr>
          <w:trHeight w:val="397"/>
        </w:trPr>
        <w:tc>
          <w:tcPr>
            <w:tcW w:w="2709" w:type="dxa"/>
            <w:tcBorders>
              <w:top w:val="nil"/>
              <w:left w:val="nil"/>
              <w:bottom w:val="nil"/>
              <w:right w:val="nil"/>
            </w:tcBorders>
            <w:shd w:val="clear" w:color="auto" w:fill="auto"/>
            <w:hideMark/>
          </w:tcPr>
          <w:p w14:paraId="1F9738A7" w14:textId="3BACCB76" w:rsidR="006411BA" w:rsidRPr="006411BA" w:rsidRDefault="00C11AC6" w:rsidP="00C11AC6">
            <w:pPr>
              <w:numPr>
                <w:ilvl w:val="0"/>
                <w:numId w:val="0"/>
              </w:numPr>
              <w:spacing w:before="0" w:after="160" w:line="240" w:lineRule="auto"/>
              <w:rPr>
                <w:rFonts w:cs="Arial"/>
                <w:b/>
                <w:bCs/>
                <w:color w:val="000000"/>
                <w:sz w:val="20"/>
                <w:szCs w:val="20"/>
              </w:rPr>
            </w:pPr>
            <w:r>
              <w:rPr>
                <w:rFonts w:cs="Arial"/>
                <w:b/>
                <w:bCs/>
                <w:color w:val="000000"/>
                <w:sz w:val="20"/>
                <w:szCs w:val="20"/>
              </w:rPr>
              <w:t>Specialised procedure s</w:t>
            </w:r>
            <w:r w:rsidR="006411BA" w:rsidRPr="006411BA">
              <w:rPr>
                <w:rFonts w:cs="Arial"/>
                <w:b/>
                <w:bCs/>
                <w:color w:val="000000"/>
                <w:sz w:val="20"/>
                <w:szCs w:val="20"/>
              </w:rPr>
              <w:t>uite</w:t>
            </w:r>
          </w:p>
        </w:tc>
        <w:tc>
          <w:tcPr>
            <w:tcW w:w="6945" w:type="dxa"/>
            <w:tcBorders>
              <w:top w:val="nil"/>
              <w:left w:val="nil"/>
              <w:bottom w:val="nil"/>
              <w:right w:val="nil"/>
            </w:tcBorders>
            <w:shd w:val="clear" w:color="auto" w:fill="auto"/>
            <w:hideMark/>
          </w:tcPr>
          <w:p w14:paraId="076527E0" w14:textId="2F9D480F" w:rsidR="006411BA" w:rsidRPr="006411BA" w:rsidRDefault="00C11AC6" w:rsidP="00F13D07">
            <w:pPr>
              <w:numPr>
                <w:ilvl w:val="0"/>
                <w:numId w:val="0"/>
              </w:numPr>
              <w:spacing w:before="0" w:after="160" w:line="240" w:lineRule="auto"/>
              <w:rPr>
                <w:rFonts w:cs="Arial"/>
                <w:color w:val="000000"/>
                <w:sz w:val="20"/>
                <w:szCs w:val="20"/>
              </w:rPr>
            </w:pPr>
            <w:r>
              <w:rPr>
                <w:rFonts w:cs="Arial"/>
                <w:color w:val="000000"/>
                <w:sz w:val="20"/>
                <w:szCs w:val="20"/>
              </w:rPr>
              <w:t>Specialised procedure s</w:t>
            </w:r>
            <w:r w:rsidR="006411BA" w:rsidRPr="006411BA">
              <w:rPr>
                <w:rFonts w:cs="Arial"/>
                <w:color w:val="000000"/>
                <w:sz w:val="20"/>
                <w:szCs w:val="20"/>
              </w:rPr>
              <w:t>uite (SPS) refers to a designated area of a hospital where surgical and non-surgical procedures are performed by an appropriately qualified clinician (including medical scientists)</w:t>
            </w:r>
            <w:r w:rsidR="00392998">
              <w:rPr>
                <w:rFonts w:cs="Arial"/>
                <w:color w:val="000000"/>
                <w:sz w:val="20"/>
                <w:szCs w:val="20"/>
              </w:rPr>
              <w:t>.</w:t>
            </w:r>
          </w:p>
        </w:tc>
      </w:tr>
      <w:tr w:rsidR="006411BA" w:rsidRPr="006411BA" w14:paraId="2578FAEA" w14:textId="77777777" w:rsidTr="0064124E">
        <w:trPr>
          <w:trHeight w:val="397"/>
        </w:trPr>
        <w:tc>
          <w:tcPr>
            <w:tcW w:w="2709" w:type="dxa"/>
            <w:vMerge w:val="restart"/>
            <w:tcBorders>
              <w:top w:val="nil"/>
              <w:left w:val="nil"/>
              <w:bottom w:val="nil"/>
              <w:right w:val="nil"/>
            </w:tcBorders>
            <w:shd w:val="clear" w:color="auto" w:fill="auto"/>
            <w:hideMark/>
          </w:tcPr>
          <w:p w14:paraId="70F41137" w14:textId="578BF6F2"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 xml:space="preserve">Teaching and </w:t>
            </w:r>
            <w:r w:rsidR="00631701">
              <w:rPr>
                <w:rFonts w:cs="Arial"/>
                <w:b/>
                <w:bCs/>
                <w:color w:val="000000"/>
                <w:sz w:val="20"/>
                <w:szCs w:val="20"/>
              </w:rPr>
              <w:t>t</w:t>
            </w:r>
            <w:r w:rsidRPr="006411BA">
              <w:rPr>
                <w:rFonts w:cs="Arial"/>
                <w:b/>
                <w:bCs/>
                <w:color w:val="000000"/>
                <w:sz w:val="20"/>
                <w:szCs w:val="20"/>
              </w:rPr>
              <w:t>raining</w:t>
            </w:r>
          </w:p>
        </w:tc>
        <w:tc>
          <w:tcPr>
            <w:tcW w:w="6945" w:type="dxa"/>
            <w:tcBorders>
              <w:top w:val="nil"/>
              <w:left w:val="nil"/>
              <w:bottom w:val="nil"/>
              <w:right w:val="nil"/>
            </w:tcBorders>
            <w:shd w:val="clear" w:color="auto" w:fill="auto"/>
            <w:hideMark/>
          </w:tcPr>
          <w:p w14:paraId="5E455920" w14:textId="6C151381"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 xml:space="preserve">Teaching and training </w:t>
            </w:r>
            <w:r w:rsidR="00702703" w:rsidRPr="006411BA">
              <w:rPr>
                <w:rFonts w:cs="Arial"/>
                <w:color w:val="000000"/>
                <w:sz w:val="20"/>
                <w:szCs w:val="20"/>
              </w:rPr>
              <w:t>refer</w:t>
            </w:r>
            <w:r w:rsidRPr="006411BA">
              <w:rPr>
                <w:rFonts w:cs="Arial"/>
                <w:color w:val="000000"/>
                <w:sz w:val="20"/>
                <w:szCs w:val="20"/>
              </w:rPr>
              <w:t xml:space="preserve"> to the activities provided by or on behalf of a public health service to facilitate the acquisition of knowledge, or development of skills. These activities are required for an individual to:</w:t>
            </w:r>
          </w:p>
        </w:tc>
      </w:tr>
      <w:tr w:rsidR="006411BA" w:rsidRPr="006411BA" w14:paraId="2D15F924" w14:textId="77777777" w:rsidTr="0064124E">
        <w:trPr>
          <w:trHeight w:val="397"/>
        </w:trPr>
        <w:tc>
          <w:tcPr>
            <w:tcW w:w="2709" w:type="dxa"/>
            <w:vMerge/>
            <w:tcBorders>
              <w:top w:val="nil"/>
              <w:left w:val="nil"/>
              <w:bottom w:val="nil"/>
              <w:right w:val="nil"/>
            </w:tcBorders>
            <w:vAlign w:val="center"/>
            <w:hideMark/>
          </w:tcPr>
          <w:p w14:paraId="2D3EB821"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5A2A8AA6" w14:textId="77777777" w:rsidR="006411BA" w:rsidRPr="00392998" w:rsidRDefault="006411BA" w:rsidP="00392998">
            <w:pPr>
              <w:pStyle w:val="ListParagraph"/>
              <w:numPr>
                <w:ilvl w:val="0"/>
                <w:numId w:val="30"/>
              </w:numPr>
              <w:spacing w:before="0" w:after="160" w:line="240" w:lineRule="auto"/>
              <w:rPr>
                <w:rFonts w:cs="Arial"/>
                <w:color w:val="000000"/>
                <w:sz w:val="20"/>
                <w:szCs w:val="20"/>
              </w:rPr>
            </w:pPr>
            <w:r w:rsidRPr="00392998">
              <w:rPr>
                <w:rFonts w:cs="Arial"/>
                <w:color w:val="000000"/>
                <w:sz w:val="20"/>
                <w:szCs w:val="20"/>
              </w:rPr>
              <w:t>attain the necessary qualifications or recognised professional body registration to practice;</w:t>
            </w:r>
          </w:p>
        </w:tc>
      </w:tr>
      <w:tr w:rsidR="006411BA" w:rsidRPr="006411BA" w14:paraId="7673AECA" w14:textId="77777777" w:rsidTr="0064124E">
        <w:trPr>
          <w:trHeight w:val="397"/>
        </w:trPr>
        <w:tc>
          <w:tcPr>
            <w:tcW w:w="2709" w:type="dxa"/>
            <w:vMerge/>
            <w:tcBorders>
              <w:top w:val="nil"/>
              <w:left w:val="nil"/>
              <w:bottom w:val="nil"/>
              <w:right w:val="nil"/>
            </w:tcBorders>
            <w:vAlign w:val="center"/>
            <w:hideMark/>
          </w:tcPr>
          <w:p w14:paraId="3F03B711"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0C92CA9D" w14:textId="77777777" w:rsidR="006411BA" w:rsidRPr="00392998" w:rsidRDefault="006411BA" w:rsidP="00392998">
            <w:pPr>
              <w:pStyle w:val="ListParagraph"/>
              <w:numPr>
                <w:ilvl w:val="0"/>
                <w:numId w:val="30"/>
              </w:numPr>
              <w:spacing w:before="0" w:after="160" w:line="240" w:lineRule="auto"/>
              <w:rPr>
                <w:rFonts w:cs="Arial"/>
                <w:color w:val="000000"/>
                <w:sz w:val="20"/>
                <w:szCs w:val="20"/>
              </w:rPr>
            </w:pPr>
            <w:r w:rsidRPr="00392998">
              <w:rPr>
                <w:rFonts w:cs="Arial"/>
                <w:color w:val="000000"/>
                <w:sz w:val="20"/>
                <w:szCs w:val="20"/>
              </w:rPr>
              <w:t>acquire sufficient clinical competence upon entering the workforce for practising their discipline; or</w:t>
            </w:r>
          </w:p>
        </w:tc>
      </w:tr>
      <w:tr w:rsidR="006411BA" w:rsidRPr="006411BA" w14:paraId="416B13A2" w14:textId="77777777" w:rsidTr="0064124E">
        <w:trPr>
          <w:trHeight w:val="397"/>
        </w:trPr>
        <w:tc>
          <w:tcPr>
            <w:tcW w:w="2709" w:type="dxa"/>
            <w:vMerge/>
            <w:tcBorders>
              <w:top w:val="nil"/>
              <w:left w:val="nil"/>
              <w:bottom w:val="nil"/>
              <w:right w:val="nil"/>
            </w:tcBorders>
            <w:vAlign w:val="center"/>
            <w:hideMark/>
          </w:tcPr>
          <w:p w14:paraId="4F057FB5"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2101140E" w14:textId="3EFAEBAC" w:rsidR="006411BA" w:rsidRPr="00392998" w:rsidRDefault="006411BA" w:rsidP="00392998">
            <w:pPr>
              <w:pStyle w:val="ListParagraph"/>
              <w:numPr>
                <w:ilvl w:val="0"/>
                <w:numId w:val="30"/>
              </w:numPr>
              <w:spacing w:before="0" w:after="160" w:line="240" w:lineRule="auto"/>
              <w:rPr>
                <w:rFonts w:cs="Arial"/>
                <w:color w:val="000000"/>
                <w:sz w:val="20"/>
                <w:szCs w:val="20"/>
              </w:rPr>
            </w:pPr>
            <w:r w:rsidRPr="00392998">
              <w:rPr>
                <w:rFonts w:cs="Arial"/>
                <w:color w:val="000000"/>
                <w:sz w:val="20"/>
                <w:szCs w:val="20"/>
              </w:rPr>
              <w:t>undertake s</w:t>
            </w:r>
            <w:r w:rsidR="00C11AC6">
              <w:rPr>
                <w:rFonts w:cs="Arial"/>
                <w:color w:val="000000"/>
                <w:sz w:val="20"/>
                <w:szCs w:val="20"/>
              </w:rPr>
              <w:t>pecialist or advanced practice in medicine, d</w:t>
            </w:r>
            <w:r w:rsidRPr="00392998">
              <w:rPr>
                <w:rFonts w:cs="Arial"/>
                <w:color w:val="000000"/>
                <w:sz w:val="20"/>
                <w:szCs w:val="20"/>
              </w:rPr>
              <w:t>entistry</w:t>
            </w:r>
            <w:r w:rsidR="00C11AC6">
              <w:rPr>
                <w:rFonts w:cs="Arial"/>
                <w:color w:val="000000"/>
                <w:sz w:val="20"/>
                <w:szCs w:val="20"/>
              </w:rPr>
              <w:t>, nursing, midwifery or allied h</w:t>
            </w:r>
            <w:r w:rsidRPr="00392998">
              <w:rPr>
                <w:rFonts w:cs="Arial"/>
                <w:color w:val="000000"/>
                <w:sz w:val="20"/>
                <w:szCs w:val="20"/>
              </w:rPr>
              <w:t>ealth.</w:t>
            </w:r>
          </w:p>
        </w:tc>
      </w:tr>
      <w:tr w:rsidR="006411BA" w:rsidRPr="006411BA" w14:paraId="301DE6BA" w14:textId="77777777" w:rsidTr="0064124E">
        <w:trPr>
          <w:trHeight w:val="397"/>
        </w:trPr>
        <w:tc>
          <w:tcPr>
            <w:tcW w:w="2709" w:type="dxa"/>
            <w:vMerge/>
            <w:tcBorders>
              <w:top w:val="nil"/>
              <w:left w:val="nil"/>
              <w:bottom w:val="nil"/>
              <w:right w:val="nil"/>
            </w:tcBorders>
            <w:vAlign w:val="center"/>
            <w:hideMark/>
          </w:tcPr>
          <w:p w14:paraId="43DD10AF"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12D5D375" w14:textId="7B8905C0" w:rsidR="006411BA" w:rsidRPr="00392998" w:rsidRDefault="00392998" w:rsidP="00392998">
            <w:pPr>
              <w:pStyle w:val="ListParagraph"/>
              <w:numPr>
                <w:ilvl w:val="0"/>
                <w:numId w:val="30"/>
              </w:numPr>
              <w:spacing w:before="0" w:after="160" w:line="240" w:lineRule="auto"/>
              <w:rPr>
                <w:rFonts w:cs="Arial"/>
                <w:color w:val="000000"/>
                <w:sz w:val="20"/>
                <w:szCs w:val="20"/>
              </w:rPr>
            </w:pPr>
            <w:r>
              <w:rPr>
                <w:rFonts w:cs="Arial"/>
                <w:color w:val="000000"/>
                <w:sz w:val="20"/>
                <w:szCs w:val="20"/>
              </w:rPr>
              <w:t>a</w:t>
            </w:r>
            <w:r w:rsidR="006411BA" w:rsidRPr="00392998">
              <w:rPr>
                <w:rFonts w:cs="Arial"/>
                <w:color w:val="000000"/>
                <w:sz w:val="20"/>
                <w:szCs w:val="20"/>
              </w:rPr>
              <w:t xml:space="preserve"> number of a</w:t>
            </w:r>
            <w:r w:rsidR="00C11AC6">
              <w:rPr>
                <w:rFonts w:cs="Arial"/>
                <w:color w:val="000000"/>
                <w:sz w:val="20"/>
                <w:szCs w:val="20"/>
              </w:rPr>
              <w:t>ctivities can be identified as t</w:t>
            </w:r>
            <w:r w:rsidR="006411BA" w:rsidRPr="00392998">
              <w:rPr>
                <w:rFonts w:cs="Arial"/>
                <w:color w:val="000000"/>
                <w:sz w:val="20"/>
                <w:szCs w:val="20"/>
              </w:rPr>
              <w:t>eaching and training within a health service. These include:</w:t>
            </w:r>
          </w:p>
        </w:tc>
      </w:tr>
      <w:tr w:rsidR="006411BA" w:rsidRPr="006411BA" w14:paraId="1DDF6CA5" w14:textId="77777777" w:rsidTr="0064124E">
        <w:trPr>
          <w:trHeight w:val="397"/>
        </w:trPr>
        <w:tc>
          <w:tcPr>
            <w:tcW w:w="2709" w:type="dxa"/>
            <w:vMerge/>
            <w:tcBorders>
              <w:top w:val="nil"/>
              <w:left w:val="nil"/>
              <w:bottom w:val="nil"/>
              <w:right w:val="nil"/>
            </w:tcBorders>
            <w:vAlign w:val="center"/>
            <w:hideMark/>
          </w:tcPr>
          <w:p w14:paraId="06294265"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77E4C17A" w14:textId="1F1DD93B" w:rsidR="006411BA" w:rsidRPr="00392998" w:rsidRDefault="00392998" w:rsidP="00C11AC6">
            <w:pPr>
              <w:pStyle w:val="ListParagraph"/>
              <w:numPr>
                <w:ilvl w:val="1"/>
                <w:numId w:val="30"/>
              </w:numPr>
              <w:spacing w:before="0" w:after="160" w:line="240" w:lineRule="auto"/>
              <w:rPr>
                <w:rFonts w:cs="Arial"/>
                <w:color w:val="000000"/>
                <w:sz w:val="20"/>
                <w:szCs w:val="20"/>
              </w:rPr>
            </w:pPr>
            <w:r>
              <w:rPr>
                <w:rFonts w:cs="Arial"/>
                <w:color w:val="000000"/>
                <w:sz w:val="20"/>
                <w:szCs w:val="20"/>
              </w:rPr>
              <w:t>d</w:t>
            </w:r>
            <w:r w:rsidR="006411BA" w:rsidRPr="00392998">
              <w:rPr>
                <w:rFonts w:cs="Arial"/>
                <w:color w:val="000000"/>
                <w:sz w:val="20"/>
                <w:szCs w:val="20"/>
              </w:rPr>
              <w:t>irect activities – are distinct and separable activities that occur outside an episode of care but are directed towards skills and knowledge development (in the case of teaching and training). Direct activities may include lectures, tutorials, simulations and workshops.</w:t>
            </w:r>
          </w:p>
        </w:tc>
      </w:tr>
      <w:tr w:rsidR="006411BA" w:rsidRPr="006411BA" w14:paraId="219EAA7B" w14:textId="77777777" w:rsidTr="0064124E">
        <w:trPr>
          <w:trHeight w:val="397"/>
        </w:trPr>
        <w:tc>
          <w:tcPr>
            <w:tcW w:w="2709" w:type="dxa"/>
            <w:vMerge/>
            <w:tcBorders>
              <w:top w:val="nil"/>
              <w:left w:val="nil"/>
              <w:bottom w:val="nil"/>
              <w:right w:val="nil"/>
            </w:tcBorders>
            <w:vAlign w:val="center"/>
            <w:hideMark/>
          </w:tcPr>
          <w:p w14:paraId="1F57AB11"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014A7CB4" w14:textId="572372CA" w:rsidR="006411BA" w:rsidRPr="00392998" w:rsidRDefault="00392998" w:rsidP="00C11AC6">
            <w:pPr>
              <w:pStyle w:val="ListParagraph"/>
              <w:numPr>
                <w:ilvl w:val="1"/>
                <w:numId w:val="30"/>
              </w:numPr>
              <w:spacing w:before="0" w:after="160" w:line="240" w:lineRule="auto"/>
              <w:rPr>
                <w:rFonts w:cs="Arial"/>
                <w:color w:val="000000"/>
                <w:sz w:val="20"/>
                <w:szCs w:val="20"/>
              </w:rPr>
            </w:pPr>
            <w:r>
              <w:rPr>
                <w:rFonts w:cs="Arial"/>
                <w:color w:val="000000"/>
                <w:sz w:val="20"/>
                <w:szCs w:val="20"/>
              </w:rPr>
              <w:t>i</w:t>
            </w:r>
            <w:r w:rsidR="006411BA" w:rsidRPr="00392998">
              <w:rPr>
                <w:rFonts w:cs="Arial"/>
                <w:color w:val="000000"/>
                <w:sz w:val="20"/>
                <w:szCs w:val="20"/>
              </w:rPr>
              <w:t>ndirect (overhead) activities – are those ‘back office’ administrative and coordination activities undertaken by a health service that are essential to facilitate teaching and training activities. These activities may include the coordination of pre-entry student placements, rotations, educational program development or negotiation with higher education providers. The medical, nursing, and allied health administration departments usually coordinate these activities within health services.</w:t>
            </w:r>
          </w:p>
        </w:tc>
      </w:tr>
      <w:tr w:rsidR="006411BA" w:rsidRPr="006411BA" w14:paraId="4E2B5D31" w14:textId="77777777" w:rsidTr="0064124E">
        <w:trPr>
          <w:trHeight w:val="397"/>
        </w:trPr>
        <w:tc>
          <w:tcPr>
            <w:tcW w:w="2709" w:type="dxa"/>
            <w:vMerge/>
            <w:tcBorders>
              <w:top w:val="nil"/>
              <w:left w:val="nil"/>
              <w:bottom w:val="nil"/>
              <w:right w:val="nil"/>
            </w:tcBorders>
            <w:vAlign w:val="center"/>
            <w:hideMark/>
          </w:tcPr>
          <w:p w14:paraId="5EFF0727"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78C239AB" w14:textId="6BAE5D19" w:rsidR="006411BA" w:rsidRPr="00392998" w:rsidRDefault="00392998" w:rsidP="00C11AC6">
            <w:pPr>
              <w:pStyle w:val="ListParagraph"/>
              <w:numPr>
                <w:ilvl w:val="1"/>
                <w:numId w:val="30"/>
              </w:numPr>
              <w:spacing w:before="0" w:after="160" w:line="240" w:lineRule="auto"/>
              <w:rPr>
                <w:rFonts w:cs="Arial"/>
                <w:color w:val="000000"/>
                <w:sz w:val="20"/>
                <w:szCs w:val="20"/>
              </w:rPr>
            </w:pPr>
            <w:r>
              <w:rPr>
                <w:rFonts w:cs="Arial"/>
                <w:color w:val="000000"/>
                <w:sz w:val="20"/>
                <w:szCs w:val="20"/>
              </w:rPr>
              <w:t>e</w:t>
            </w:r>
            <w:r w:rsidR="006411BA" w:rsidRPr="00392998">
              <w:rPr>
                <w:rFonts w:cs="Arial"/>
                <w:color w:val="000000"/>
                <w:sz w:val="20"/>
                <w:szCs w:val="20"/>
              </w:rPr>
              <w:t>mbedded act</w:t>
            </w:r>
            <w:r w:rsidR="00C11AC6">
              <w:rPr>
                <w:rFonts w:cs="Arial"/>
                <w:color w:val="000000"/>
                <w:sz w:val="20"/>
                <w:szCs w:val="20"/>
              </w:rPr>
              <w:t>ivities – which describe where teaching and t</w:t>
            </w:r>
            <w:r w:rsidR="006411BA" w:rsidRPr="00392998">
              <w:rPr>
                <w:rFonts w:cs="Arial"/>
                <w:color w:val="000000"/>
                <w:sz w:val="20"/>
                <w:szCs w:val="20"/>
              </w:rPr>
              <w:t>raining occurs in conjunction with patient care.</w:t>
            </w:r>
          </w:p>
        </w:tc>
      </w:tr>
      <w:tr w:rsidR="006411BA" w:rsidRPr="006411BA" w14:paraId="4964A383" w14:textId="77777777" w:rsidTr="0064124E">
        <w:trPr>
          <w:trHeight w:val="397"/>
        </w:trPr>
        <w:tc>
          <w:tcPr>
            <w:tcW w:w="2709" w:type="dxa"/>
            <w:tcBorders>
              <w:top w:val="nil"/>
              <w:left w:val="nil"/>
              <w:bottom w:val="nil"/>
              <w:right w:val="nil"/>
            </w:tcBorders>
            <w:shd w:val="clear" w:color="auto" w:fill="auto"/>
            <w:hideMark/>
          </w:tcPr>
          <w:p w14:paraId="70A2F53E" w14:textId="77777777"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lastRenderedPageBreak/>
              <w:t>Third party expenses</w:t>
            </w:r>
          </w:p>
        </w:tc>
        <w:tc>
          <w:tcPr>
            <w:tcW w:w="6945" w:type="dxa"/>
            <w:tcBorders>
              <w:top w:val="nil"/>
              <w:left w:val="nil"/>
              <w:bottom w:val="nil"/>
              <w:right w:val="nil"/>
            </w:tcBorders>
            <w:shd w:val="clear" w:color="auto" w:fill="auto"/>
            <w:hideMark/>
          </w:tcPr>
          <w:p w14:paraId="36A74090" w14:textId="77777777"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Third party expenses are those expenses incurred by a third party on behalf of an organisation for the production of the organisation’s outputs. Third party expenses are not recorded in an organisation’s general ledger as they are not incurred by that organisation.</w:t>
            </w:r>
          </w:p>
        </w:tc>
      </w:tr>
      <w:tr w:rsidR="006411BA" w:rsidRPr="006411BA" w14:paraId="77039D91" w14:textId="77777777" w:rsidTr="00392998">
        <w:trPr>
          <w:trHeight w:val="397"/>
        </w:trPr>
        <w:tc>
          <w:tcPr>
            <w:tcW w:w="2709" w:type="dxa"/>
            <w:tcBorders>
              <w:top w:val="nil"/>
              <w:left w:val="nil"/>
              <w:right w:val="nil"/>
            </w:tcBorders>
            <w:shd w:val="clear" w:color="auto" w:fill="auto"/>
            <w:hideMark/>
          </w:tcPr>
          <w:p w14:paraId="34E1B235" w14:textId="77777777"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Traceable costs</w:t>
            </w:r>
          </w:p>
        </w:tc>
        <w:tc>
          <w:tcPr>
            <w:tcW w:w="6945" w:type="dxa"/>
            <w:tcBorders>
              <w:top w:val="nil"/>
              <w:left w:val="nil"/>
              <w:right w:val="nil"/>
            </w:tcBorders>
            <w:shd w:val="clear" w:color="auto" w:fill="auto"/>
            <w:hideMark/>
          </w:tcPr>
          <w:p w14:paraId="517E5805" w14:textId="77777777"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Traceable costs are costs that are incurred solely for particular activities or to particular cost objects. They are usually the actual cost (such as the price paid to obtain the resource) and can be matched (traced) to the activity, intermediate product or patient activity.</w:t>
            </w:r>
          </w:p>
        </w:tc>
      </w:tr>
      <w:tr w:rsidR="00392998" w:rsidRPr="006411BA" w14:paraId="75B520E5" w14:textId="77777777" w:rsidTr="00392998">
        <w:trPr>
          <w:trHeight w:val="397"/>
        </w:trPr>
        <w:tc>
          <w:tcPr>
            <w:tcW w:w="2709" w:type="dxa"/>
            <w:shd w:val="clear" w:color="auto" w:fill="auto"/>
          </w:tcPr>
          <w:p w14:paraId="563CCF49" w14:textId="77777777" w:rsidR="00392998" w:rsidRDefault="00392998" w:rsidP="00392998">
            <w:pPr>
              <w:numPr>
                <w:ilvl w:val="0"/>
                <w:numId w:val="0"/>
              </w:numPr>
              <w:spacing w:before="0" w:after="160" w:line="240" w:lineRule="auto"/>
              <w:rPr>
                <w:rFonts w:cs="Arial"/>
                <w:b/>
                <w:bCs/>
                <w:color w:val="000000"/>
                <w:sz w:val="20"/>
                <w:szCs w:val="20"/>
              </w:rPr>
            </w:pPr>
            <w:r w:rsidRPr="006411BA">
              <w:rPr>
                <w:rFonts w:cs="Arial"/>
                <w:b/>
                <w:bCs/>
                <w:color w:val="000000"/>
                <w:sz w:val="20"/>
                <w:szCs w:val="20"/>
              </w:rPr>
              <w:t>Useful life</w:t>
            </w:r>
          </w:p>
          <w:p w14:paraId="56A9ED3A" w14:textId="77777777" w:rsidR="00392998" w:rsidRPr="006411BA" w:rsidRDefault="00392998" w:rsidP="00F13D07">
            <w:pPr>
              <w:numPr>
                <w:ilvl w:val="0"/>
                <w:numId w:val="0"/>
              </w:numPr>
              <w:spacing w:before="0" w:after="160" w:line="240" w:lineRule="auto"/>
              <w:rPr>
                <w:rFonts w:cs="Arial"/>
                <w:b/>
                <w:bCs/>
                <w:color w:val="000000"/>
                <w:sz w:val="20"/>
                <w:szCs w:val="20"/>
              </w:rPr>
            </w:pPr>
          </w:p>
        </w:tc>
        <w:tc>
          <w:tcPr>
            <w:tcW w:w="6945" w:type="dxa"/>
            <w:shd w:val="clear" w:color="auto" w:fill="auto"/>
          </w:tcPr>
          <w:p w14:paraId="4FFE9C0B" w14:textId="08DDAA85" w:rsidR="00392998" w:rsidRPr="006411BA" w:rsidRDefault="00392998" w:rsidP="00392998">
            <w:pPr>
              <w:numPr>
                <w:ilvl w:val="0"/>
                <w:numId w:val="0"/>
              </w:numPr>
              <w:spacing w:before="0" w:after="160" w:line="240" w:lineRule="auto"/>
              <w:rPr>
                <w:rFonts w:cs="Arial"/>
                <w:color w:val="000000"/>
                <w:sz w:val="20"/>
                <w:szCs w:val="20"/>
              </w:rPr>
            </w:pPr>
            <w:r w:rsidRPr="006411BA">
              <w:rPr>
                <w:rFonts w:cs="Arial"/>
                <w:color w:val="000000"/>
                <w:sz w:val="20"/>
                <w:szCs w:val="20"/>
              </w:rPr>
              <w:t>Useful life refers to the period over which an asset is expected to be available for use by an entity.</w:t>
            </w:r>
          </w:p>
        </w:tc>
      </w:tr>
      <w:tr w:rsidR="006411BA" w:rsidRPr="006411BA" w14:paraId="6CEB03FD" w14:textId="77777777" w:rsidTr="00392998">
        <w:trPr>
          <w:trHeight w:val="397"/>
        </w:trPr>
        <w:tc>
          <w:tcPr>
            <w:tcW w:w="2709" w:type="dxa"/>
            <w:shd w:val="clear" w:color="auto" w:fill="auto"/>
            <w:hideMark/>
          </w:tcPr>
          <w:p w14:paraId="60C0B723" w14:textId="1A4E61A1" w:rsidR="009B1AB1" w:rsidRPr="006411BA" w:rsidRDefault="009B1AB1" w:rsidP="00F13D07">
            <w:pPr>
              <w:numPr>
                <w:ilvl w:val="0"/>
                <w:numId w:val="0"/>
              </w:numPr>
              <w:spacing w:before="0" w:after="160" w:line="240" w:lineRule="auto"/>
              <w:rPr>
                <w:rFonts w:cs="Arial"/>
                <w:b/>
                <w:bCs/>
                <w:color w:val="000000"/>
                <w:sz w:val="20"/>
                <w:szCs w:val="20"/>
              </w:rPr>
            </w:pPr>
            <w:r>
              <w:rPr>
                <w:rFonts w:cs="Arial"/>
                <w:b/>
                <w:bCs/>
                <w:color w:val="000000"/>
                <w:sz w:val="20"/>
                <w:szCs w:val="20"/>
              </w:rPr>
              <w:t>Variable lease payments</w:t>
            </w:r>
          </w:p>
        </w:tc>
        <w:tc>
          <w:tcPr>
            <w:tcW w:w="6945" w:type="dxa"/>
            <w:shd w:val="clear" w:color="auto" w:fill="auto"/>
            <w:hideMark/>
          </w:tcPr>
          <w:p w14:paraId="5C3EB678" w14:textId="32FB05C0" w:rsidR="00916611" w:rsidRPr="006411BA" w:rsidRDefault="00916611" w:rsidP="00F13D07">
            <w:pPr>
              <w:numPr>
                <w:ilvl w:val="0"/>
                <w:numId w:val="0"/>
              </w:numPr>
              <w:spacing w:before="0" w:after="160" w:line="240" w:lineRule="auto"/>
              <w:rPr>
                <w:rFonts w:cs="Arial"/>
                <w:color w:val="000000"/>
                <w:sz w:val="20"/>
                <w:szCs w:val="20"/>
              </w:rPr>
            </w:pPr>
            <w:r>
              <w:rPr>
                <w:rFonts w:cs="Arial"/>
                <w:color w:val="000000"/>
                <w:sz w:val="20"/>
                <w:szCs w:val="20"/>
              </w:rPr>
              <w:t xml:space="preserve">The </w:t>
            </w:r>
            <w:r w:rsidRPr="00916611">
              <w:rPr>
                <w:rFonts w:cs="Arial"/>
                <w:color w:val="000000"/>
                <w:sz w:val="20"/>
                <w:szCs w:val="20"/>
              </w:rPr>
              <w:t>portion of payments made by a lessee for the right to use an underlying asset during the lease term that varies because of changes in facts or circumstances occurring after the commencement date, other than the passage of time.</w:t>
            </w:r>
            <w:r w:rsidR="00237F7A">
              <w:rPr>
                <w:rFonts w:cs="Arial"/>
                <w:color w:val="000000"/>
                <w:sz w:val="20"/>
                <w:szCs w:val="20"/>
              </w:rPr>
              <w:t xml:space="preserve"> For example, payment driven by performance (payment based on percentage of sales) or usage of an underlying asset (payment based on the number of units produced).</w:t>
            </w:r>
          </w:p>
        </w:tc>
      </w:tr>
      <w:tr w:rsidR="006411BA" w:rsidRPr="006411BA" w14:paraId="3653D173" w14:textId="77777777" w:rsidTr="00392998">
        <w:trPr>
          <w:trHeight w:val="397"/>
        </w:trPr>
        <w:tc>
          <w:tcPr>
            <w:tcW w:w="2709" w:type="dxa"/>
            <w:tcBorders>
              <w:left w:val="nil"/>
              <w:bottom w:val="nil"/>
              <w:right w:val="nil"/>
            </w:tcBorders>
            <w:shd w:val="clear" w:color="auto" w:fill="auto"/>
            <w:hideMark/>
          </w:tcPr>
          <w:p w14:paraId="0F04FE6B" w14:textId="71BB51DB" w:rsidR="006411BA" w:rsidRPr="006411BA" w:rsidRDefault="006411BA" w:rsidP="00342B27">
            <w:pPr>
              <w:numPr>
                <w:ilvl w:val="0"/>
                <w:numId w:val="0"/>
              </w:numPr>
              <w:spacing w:before="0" w:after="160" w:line="240" w:lineRule="auto"/>
              <w:rPr>
                <w:rFonts w:cs="Arial"/>
                <w:b/>
                <w:bCs/>
                <w:color w:val="000000"/>
                <w:sz w:val="20"/>
                <w:szCs w:val="20"/>
              </w:rPr>
            </w:pPr>
            <w:r w:rsidRPr="006411BA">
              <w:rPr>
                <w:rFonts w:cs="Arial"/>
                <w:b/>
                <w:bCs/>
                <w:color w:val="000000"/>
                <w:sz w:val="20"/>
                <w:szCs w:val="20"/>
              </w:rPr>
              <w:t xml:space="preserve">Visiting </w:t>
            </w:r>
            <w:r w:rsidR="00392998">
              <w:rPr>
                <w:rFonts w:cs="Arial"/>
                <w:b/>
                <w:bCs/>
                <w:color w:val="000000"/>
                <w:sz w:val="20"/>
                <w:szCs w:val="20"/>
              </w:rPr>
              <w:t>m</w:t>
            </w:r>
            <w:r w:rsidRPr="006411BA">
              <w:rPr>
                <w:rFonts w:cs="Arial"/>
                <w:b/>
                <w:bCs/>
                <w:color w:val="000000"/>
                <w:sz w:val="20"/>
                <w:szCs w:val="20"/>
              </w:rPr>
              <w:t xml:space="preserve">edical </w:t>
            </w:r>
            <w:r w:rsidR="00392998">
              <w:rPr>
                <w:rFonts w:cs="Arial"/>
                <w:b/>
                <w:bCs/>
                <w:color w:val="000000"/>
                <w:sz w:val="20"/>
                <w:szCs w:val="20"/>
              </w:rPr>
              <w:t>o</w:t>
            </w:r>
            <w:r w:rsidRPr="006411BA">
              <w:rPr>
                <w:rFonts w:cs="Arial"/>
                <w:b/>
                <w:bCs/>
                <w:color w:val="000000"/>
                <w:sz w:val="20"/>
                <w:szCs w:val="20"/>
              </w:rPr>
              <w:t xml:space="preserve">fficers </w:t>
            </w:r>
          </w:p>
        </w:tc>
        <w:tc>
          <w:tcPr>
            <w:tcW w:w="6945" w:type="dxa"/>
            <w:tcBorders>
              <w:left w:val="nil"/>
              <w:bottom w:val="nil"/>
              <w:right w:val="nil"/>
            </w:tcBorders>
            <w:shd w:val="clear" w:color="auto" w:fill="auto"/>
            <w:hideMark/>
          </w:tcPr>
          <w:p w14:paraId="4DA10BF0" w14:textId="1EA9E304" w:rsidR="006411BA" w:rsidRPr="006411BA" w:rsidRDefault="006411BA" w:rsidP="00392998">
            <w:pPr>
              <w:numPr>
                <w:ilvl w:val="0"/>
                <w:numId w:val="0"/>
              </w:numPr>
              <w:spacing w:before="0" w:after="160" w:line="240" w:lineRule="auto"/>
              <w:rPr>
                <w:rFonts w:cs="Arial"/>
                <w:color w:val="000000"/>
                <w:sz w:val="20"/>
                <w:szCs w:val="20"/>
              </w:rPr>
            </w:pPr>
            <w:r w:rsidRPr="006411BA">
              <w:rPr>
                <w:rFonts w:cs="Arial"/>
                <w:color w:val="000000"/>
                <w:sz w:val="20"/>
                <w:szCs w:val="20"/>
              </w:rPr>
              <w:t xml:space="preserve">Visiting </w:t>
            </w:r>
            <w:r w:rsidR="00392998">
              <w:rPr>
                <w:rFonts w:cs="Arial"/>
                <w:color w:val="000000"/>
                <w:sz w:val="20"/>
                <w:szCs w:val="20"/>
              </w:rPr>
              <w:t>m</w:t>
            </w:r>
            <w:r w:rsidRPr="006411BA">
              <w:rPr>
                <w:rFonts w:cs="Arial"/>
                <w:color w:val="000000"/>
                <w:sz w:val="20"/>
                <w:szCs w:val="20"/>
              </w:rPr>
              <w:t xml:space="preserve">edical </w:t>
            </w:r>
            <w:r w:rsidR="00392998">
              <w:rPr>
                <w:rFonts w:cs="Arial"/>
                <w:color w:val="000000"/>
                <w:sz w:val="20"/>
                <w:szCs w:val="20"/>
              </w:rPr>
              <w:t>o</w:t>
            </w:r>
            <w:r w:rsidRPr="006411BA">
              <w:rPr>
                <w:rFonts w:cs="Arial"/>
                <w:color w:val="000000"/>
                <w:sz w:val="20"/>
                <w:szCs w:val="20"/>
              </w:rPr>
              <w:t xml:space="preserve">fficers (VMOs) are defined as ‘a medical practitioner appointed by the hospital to provide medical services for hospital (public) patients in an honorary, </w:t>
            </w:r>
            <w:r w:rsidR="00F41CA1" w:rsidRPr="006411BA">
              <w:rPr>
                <w:rFonts w:cs="Arial"/>
                <w:color w:val="000000"/>
                <w:sz w:val="20"/>
                <w:szCs w:val="20"/>
              </w:rPr>
              <w:t>sessional</w:t>
            </w:r>
            <w:r w:rsidRPr="006411BA">
              <w:rPr>
                <w:rFonts w:cs="Arial"/>
                <w:color w:val="000000"/>
                <w:sz w:val="20"/>
                <w:szCs w:val="20"/>
              </w:rPr>
              <w:t xml:space="preserve"> paid or fee-for-service basis’. VMOs are entitled to on-call and call-back allowance and public holiday allowance on top of their ‘contracted’ services payments.</w:t>
            </w:r>
          </w:p>
        </w:tc>
      </w:tr>
      <w:tr w:rsidR="006411BA" w:rsidRPr="006411BA" w14:paraId="68C4B796" w14:textId="77777777" w:rsidTr="0064124E">
        <w:trPr>
          <w:trHeight w:val="397"/>
        </w:trPr>
        <w:tc>
          <w:tcPr>
            <w:tcW w:w="2709" w:type="dxa"/>
            <w:vMerge w:val="restart"/>
            <w:tcBorders>
              <w:top w:val="nil"/>
              <w:left w:val="nil"/>
              <w:bottom w:val="nil"/>
              <w:right w:val="nil"/>
            </w:tcBorders>
            <w:shd w:val="clear" w:color="auto" w:fill="auto"/>
            <w:hideMark/>
          </w:tcPr>
          <w:p w14:paraId="48970BC2" w14:textId="2F8D845F" w:rsidR="006411BA" w:rsidRPr="006411BA" w:rsidRDefault="006411BA" w:rsidP="00F13D07">
            <w:pPr>
              <w:numPr>
                <w:ilvl w:val="0"/>
                <w:numId w:val="0"/>
              </w:numPr>
              <w:spacing w:before="0" w:after="160" w:line="240" w:lineRule="auto"/>
              <w:rPr>
                <w:rFonts w:cs="Arial"/>
                <w:b/>
                <w:bCs/>
                <w:color w:val="000000"/>
                <w:sz w:val="20"/>
                <w:szCs w:val="20"/>
              </w:rPr>
            </w:pPr>
            <w:r w:rsidRPr="006411BA">
              <w:rPr>
                <w:rFonts w:cs="Arial"/>
                <w:b/>
                <w:bCs/>
                <w:color w:val="000000"/>
                <w:sz w:val="20"/>
                <w:szCs w:val="20"/>
              </w:rPr>
              <w:t xml:space="preserve">Wages and </w:t>
            </w:r>
            <w:r w:rsidR="00631701">
              <w:rPr>
                <w:rFonts w:cs="Arial"/>
                <w:b/>
                <w:bCs/>
                <w:color w:val="000000"/>
                <w:sz w:val="20"/>
                <w:szCs w:val="20"/>
              </w:rPr>
              <w:t>s</w:t>
            </w:r>
            <w:r w:rsidRPr="006411BA">
              <w:rPr>
                <w:rFonts w:cs="Arial"/>
                <w:b/>
                <w:bCs/>
                <w:color w:val="000000"/>
                <w:sz w:val="20"/>
                <w:szCs w:val="20"/>
              </w:rPr>
              <w:t>alaries</w:t>
            </w:r>
          </w:p>
        </w:tc>
        <w:tc>
          <w:tcPr>
            <w:tcW w:w="6945" w:type="dxa"/>
            <w:tcBorders>
              <w:top w:val="nil"/>
              <w:left w:val="nil"/>
              <w:bottom w:val="nil"/>
              <w:right w:val="nil"/>
            </w:tcBorders>
            <w:shd w:val="clear" w:color="auto" w:fill="auto"/>
            <w:hideMark/>
          </w:tcPr>
          <w:p w14:paraId="65AAE94A" w14:textId="77777777"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Salaries and wages are the remuneration, in cash or in kind, payable to a person counted on the payroll and paid in return for work done during the accounting period.</w:t>
            </w:r>
          </w:p>
        </w:tc>
      </w:tr>
      <w:tr w:rsidR="006411BA" w:rsidRPr="006411BA" w14:paraId="5D354BDD" w14:textId="77777777" w:rsidTr="0064124E">
        <w:trPr>
          <w:trHeight w:val="397"/>
        </w:trPr>
        <w:tc>
          <w:tcPr>
            <w:tcW w:w="2709" w:type="dxa"/>
            <w:vMerge/>
            <w:tcBorders>
              <w:top w:val="nil"/>
              <w:left w:val="nil"/>
              <w:bottom w:val="nil"/>
              <w:right w:val="nil"/>
            </w:tcBorders>
            <w:vAlign w:val="center"/>
            <w:hideMark/>
          </w:tcPr>
          <w:p w14:paraId="5DC3F16C"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4111A6B5" w14:textId="77777777" w:rsidR="006411BA" w:rsidRPr="006411BA" w:rsidRDefault="006411BA" w:rsidP="00F13D07">
            <w:pPr>
              <w:numPr>
                <w:ilvl w:val="0"/>
                <w:numId w:val="0"/>
              </w:numPr>
              <w:spacing w:before="0" w:after="160" w:line="240" w:lineRule="auto"/>
              <w:rPr>
                <w:rFonts w:cs="Arial"/>
                <w:color w:val="000000"/>
                <w:sz w:val="20"/>
                <w:szCs w:val="20"/>
              </w:rPr>
            </w:pPr>
            <w:r w:rsidRPr="006411BA">
              <w:rPr>
                <w:rFonts w:cs="Arial"/>
                <w:color w:val="000000"/>
                <w:sz w:val="20"/>
                <w:szCs w:val="20"/>
              </w:rPr>
              <w:t>These include payments or in kind benefits received by a person in return for work done, including:</w:t>
            </w:r>
          </w:p>
        </w:tc>
      </w:tr>
      <w:tr w:rsidR="006411BA" w:rsidRPr="006411BA" w14:paraId="266C3D21" w14:textId="77777777" w:rsidTr="0064124E">
        <w:trPr>
          <w:trHeight w:val="397"/>
        </w:trPr>
        <w:tc>
          <w:tcPr>
            <w:tcW w:w="2709" w:type="dxa"/>
            <w:vMerge/>
            <w:tcBorders>
              <w:top w:val="nil"/>
              <w:left w:val="nil"/>
              <w:bottom w:val="nil"/>
              <w:right w:val="nil"/>
            </w:tcBorders>
            <w:vAlign w:val="center"/>
            <w:hideMark/>
          </w:tcPr>
          <w:p w14:paraId="60AC3C84"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35E19801" w14:textId="434500CC" w:rsidR="00C11AC6" w:rsidRDefault="00C11AC6" w:rsidP="00392998">
            <w:pPr>
              <w:pStyle w:val="ListParagraph"/>
              <w:numPr>
                <w:ilvl w:val="0"/>
                <w:numId w:val="31"/>
              </w:numPr>
              <w:spacing w:before="0" w:after="160" w:line="240" w:lineRule="auto"/>
              <w:rPr>
                <w:rFonts w:cs="Arial"/>
                <w:color w:val="000000"/>
                <w:sz w:val="20"/>
                <w:szCs w:val="20"/>
              </w:rPr>
            </w:pPr>
            <w:r w:rsidRPr="00392998">
              <w:rPr>
                <w:rFonts w:cs="Arial"/>
                <w:color w:val="000000"/>
                <w:sz w:val="20"/>
                <w:szCs w:val="20"/>
              </w:rPr>
              <w:t>all salary sacrificed (inclu</w:t>
            </w:r>
            <w:r w:rsidR="004716F7">
              <w:rPr>
                <w:rFonts w:cs="Arial"/>
                <w:color w:val="000000"/>
                <w:sz w:val="20"/>
                <w:szCs w:val="20"/>
              </w:rPr>
              <w:t xml:space="preserve">ding associated taxes such as fringe benefits tax </w:t>
            </w:r>
            <w:r w:rsidRPr="00392998">
              <w:rPr>
                <w:rFonts w:cs="Arial"/>
                <w:color w:val="000000"/>
                <w:sz w:val="20"/>
                <w:szCs w:val="20"/>
              </w:rPr>
              <w:t>and superannuation contribution tax).</w:t>
            </w:r>
          </w:p>
          <w:p w14:paraId="4183C27A" w14:textId="5724757B" w:rsidR="00C11AC6" w:rsidRDefault="00C11AC6" w:rsidP="00392998">
            <w:pPr>
              <w:pStyle w:val="ListParagraph"/>
              <w:numPr>
                <w:ilvl w:val="0"/>
                <w:numId w:val="31"/>
              </w:numPr>
              <w:spacing w:before="0" w:after="160" w:line="240" w:lineRule="auto"/>
              <w:rPr>
                <w:rFonts w:cs="Arial"/>
                <w:color w:val="000000"/>
                <w:sz w:val="20"/>
                <w:szCs w:val="20"/>
              </w:rPr>
            </w:pPr>
            <w:r w:rsidRPr="00392998">
              <w:rPr>
                <w:rFonts w:cs="Arial"/>
                <w:color w:val="000000"/>
                <w:sz w:val="20"/>
                <w:szCs w:val="20"/>
              </w:rPr>
              <w:t>attendance fees</w:t>
            </w:r>
          </w:p>
          <w:p w14:paraId="4FA8B1C1" w14:textId="49B17EAC" w:rsidR="00C11AC6" w:rsidRDefault="00C11AC6" w:rsidP="00392998">
            <w:pPr>
              <w:pStyle w:val="ListParagraph"/>
              <w:numPr>
                <w:ilvl w:val="0"/>
                <w:numId w:val="31"/>
              </w:numPr>
              <w:spacing w:before="0" w:after="160" w:line="240" w:lineRule="auto"/>
              <w:rPr>
                <w:rFonts w:cs="Arial"/>
                <w:color w:val="000000"/>
                <w:sz w:val="20"/>
                <w:szCs w:val="20"/>
              </w:rPr>
            </w:pPr>
            <w:r w:rsidRPr="00392998">
              <w:rPr>
                <w:rFonts w:cs="Arial"/>
                <w:color w:val="000000"/>
                <w:sz w:val="20"/>
                <w:szCs w:val="20"/>
              </w:rPr>
              <w:t>bonuses or incentive payments</w:t>
            </w:r>
          </w:p>
          <w:p w14:paraId="7D0D9F5C" w14:textId="77777777" w:rsidR="00C11AC6" w:rsidRDefault="00C11AC6" w:rsidP="00392998">
            <w:pPr>
              <w:pStyle w:val="ListParagraph"/>
              <w:numPr>
                <w:ilvl w:val="0"/>
                <w:numId w:val="31"/>
              </w:numPr>
              <w:spacing w:before="0" w:after="160" w:line="240" w:lineRule="auto"/>
              <w:rPr>
                <w:rFonts w:cs="Arial"/>
                <w:color w:val="000000"/>
                <w:sz w:val="20"/>
                <w:szCs w:val="20"/>
              </w:rPr>
            </w:pPr>
            <w:r w:rsidRPr="00392998">
              <w:rPr>
                <w:rFonts w:cs="Arial"/>
                <w:color w:val="000000"/>
                <w:sz w:val="20"/>
                <w:szCs w:val="20"/>
              </w:rPr>
              <w:t xml:space="preserve">ex gratia payments </w:t>
            </w:r>
          </w:p>
          <w:p w14:paraId="3955687F" w14:textId="4AE2E23A" w:rsidR="00C11AC6" w:rsidRDefault="00C11AC6" w:rsidP="00392998">
            <w:pPr>
              <w:pStyle w:val="ListParagraph"/>
              <w:numPr>
                <w:ilvl w:val="0"/>
                <w:numId w:val="31"/>
              </w:numPr>
              <w:spacing w:before="0" w:after="160" w:line="240" w:lineRule="auto"/>
              <w:rPr>
                <w:rFonts w:cs="Arial"/>
                <w:color w:val="000000"/>
                <w:sz w:val="20"/>
                <w:szCs w:val="20"/>
              </w:rPr>
            </w:pPr>
            <w:r w:rsidRPr="00392998">
              <w:rPr>
                <w:rFonts w:cs="Arial"/>
                <w:color w:val="000000"/>
                <w:sz w:val="20"/>
                <w:szCs w:val="20"/>
              </w:rPr>
              <w:t>gratuities, commissions and tips</w:t>
            </w:r>
          </w:p>
          <w:p w14:paraId="1D51BB8B" w14:textId="1B6B16FF" w:rsidR="00C11AC6" w:rsidRDefault="00C11AC6" w:rsidP="00392998">
            <w:pPr>
              <w:pStyle w:val="ListParagraph"/>
              <w:numPr>
                <w:ilvl w:val="0"/>
                <w:numId w:val="31"/>
              </w:numPr>
              <w:spacing w:before="0" w:after="160" w:line="240" w:lineRule="auto"/>
              <w:rPr>
                <w:rFonts w:cs="Arial"/>
                <w:color w:val="000000"/>
                <w:sz w:val="20"/>
                <w:szCs w:val="20"/>
              </w:rPr>
            </w:pPr>
            <w:r w:rsidRPr="00392998">
              <w:rPr>
                <w:rFonts w:cs="Arial"/>
                <w:color w:val="000000"/>
                <w:sz w:val="20"/>
                <w:szCs w:val="20"/>
              </w:rPr>
              <w:t>lodging, transport or cost-of-living</w:t>
            </w:r>
          </w:p>
          <w:p w14:paraId="4A9A8EFC" w14:textId="2C9E4ACF" w:rsidR="006411BA" w:rsidRPr="00392998" w:rsidRDefault="00392998" w:rsidP="00392998">
            <w:pPr>
              <w:pStyle w:val="ListParagraph"/>
              <w:numPr>
                <w:ilvl w:val="0"/>
                <w:numId w:val="31"/>
              </w:numPr>
              <w:spacing w:before="0" w:after="160" w:line="240" w:lineRule="auto"/>
              <w:rPr>
                <w:rFonts w:cs="Arial"/>
                <w:color w:val="000000"/>
                <w:sz w:val="20"/>
                <w:szCs w:val="20"/>
              </w:rPr>
            </w:pPr>
            <w:r>
              <w:rPr>
                <w:rFonts w:cs="Arial"/>
                <w:color w:val="000000"/>
                <w:sz w:val="20"/>
                <w:szCs w:val="20"/>
              </w:rPr>
              <w:t>o</w:t>
            </w:r>
            <w:r w:rsidR="006411BA" w:rsidRPr="00392998">
              <w:rPr>
                <w:rFonts w:cs="Arial"/>
                <w:color w:val="000000"/>
                <w:sz w:val="20"/>
                <w:szCs w:val="20"/>
              </w:rPr>
              <w:t>rdinary time and overtime payments</w:t>
            </w:r>
          </w:p>
        </w:tc>
      </w:tr>
      <w:tr w:rsidR="006411BA" w:rsidRPr="006411BA" w14:paraId="49C94EE5" w14:textId="77777777" w:rsidTr="0064124E">
        <w:trPr>
          <w:trHeight w:val="397"/>
        </w:trPr>
        <w:tc>
          <w:tcPr>
            <w:tcW w:w="2709" w:type="dxa"/>
            <w:vMerge/>
            <w:tcBorders>
              <w:top w:val="nil"/>
              <w:left w:val="nil"/>
              <w:bottom w:val="nil"/>
              <w:right w:val="nil"/>
            </w:tcBorders>
            <w:vAlign w:val="center"/>
            <w:hideMark/>
          </w:tcPr>
          <w:p w14:paraId="2171DDD4"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5A65429A" w14:textId="77777777" w:rsidR="006411BA" w:rsidRDefault="00392998" w:rsidP="00392998">
            <w:pPr>
              <w:pStyle w:val="ListParagraph"/>
              <w:numPr>
                <w:ilvl w:val="0"/>
                <w:numId w:val="31"/>
              </w:numPr>
              <w:spacing w:before="0" w:after="160" w:line="240" w:lineRule="auto"/>
              <w:rPr>
                <w:rFonts w:cs="Arial"/>
                <w:color w:val="000000"/>
                <w:sz w:val="20"/>
                <w:szCs w:val="20"/>
              </w:rPr>
            </w:pPr>
            <w:r>
              <w:rPr>
                <w:rFonts w:cs="Arial"/>
                <w:color w:val="000000"/>
                <w:sz w:val="20"/>
                <w:szCs w:val="20"/>
              </w:rPr>
              <w:t>p</w:t>
            </w:r>
            <w:r w:rsidR="006411BA" w:rsidRPr="00392998">
              <w:rPr>
                <w:rFonts w:cs="Arial"/>
                <w:color w:val="000000"/>
                <w:sz w:val="20"/>
                <w:szCs w:val="20"/>
              </w:rPr>
              <w:t xml:space="preserve">ayments by results </w:t>
            </w:r>
          </w:p>
          <w:p w14:paraId="2857C264" w14:textId="7FB5F65D" w:rsidR="00C11AC6" w:rsidRPr="00392998" w:rsidRDefault="00C11AC6" w:rsidP="00392998">
            <w:pPr>
              <w:pStyle w:val="ListParagraph"/>
              <w:numPr>
                <w:ilvl w:val="0"/>
                <w:numId w:val="31"/>
              </w:numPr>
              <w:spacing w:before="0" w:after="160" w:line="240" w:lineRule="auto"/>
              <w:rPr>
                <w:rFonts w:cs="Arial"/>
                <w:color w:val="000000"/>
                <w:sz w:val="20"/>
                <w:szCs w:val="20"/>
              </w:rPr>
            </w:pPr>
            <w:r w:rsidRPr="00392998">
              <w:rPr>
                <w:rFonts w:cs="Arial"/>
                <w:color w:val="000000"/>
                <w:sz w:val="20"/>
                <w:szCs w:val="20"/>
              </w:rPr>
              <w:t>payments under profit sharing schemes</w:t>
            </w:r>
          </w:p>
        </w:tc>
      </w:tr>
      <w:tr w:rsidR="006411BA" w:rsidRPr="006411BA" w14:paraId="0A4B321E" w14:textId="77777777" w:rsidTr="0064124E">
        <w:trPr>
          <w:trHeight w:val="397"/>
        </w:trPr>
        <w:tc>
          <w:tcPr>
            <w:tcW w:w="2709" w:type="dxa"/>
            <w:vMerge/>
            <w:tcBorders>
              <w:top w:val="nil"/>
              <w:left w:val="nil"/>
              <w:bottom w:val="nil"/>
              <w:right w:val="nil"/>
            </w:tcBorders>
            <w:vAlign w:val="center"/>
            <w:hideMark/>
          </w:tcPr>
          <w:p w14:paraId="736D145E"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3AB3442C" w14:textId="77777777" w:rsidR="006411BA" w:rsidRPr="00392998" w:rsidRDefault="006411BA" w:rsidP="00392998">
            <w:pPr>
              <w:pStyle w:val="ListParagraph"/>
              <w:numPr>
                <w:ilvl w:val="0"/>
                <w:numId w:val="31"/>
              </w:numPr>
              <w:spacing w:before="0" w:after="160" w:line="240" w:lineRule="auto"/>
              <w:rPr>
                <w:rFonts w:cs="Arial"/>
                <w:color w:val="000000"/>
                <w:sz w:val="20"/>
                <w:szCs w:val="20"/>
              </w:rPr>
            </w:pPr>
            <w:r w:rsidRPr="00392998">
              <w:rPr>
                <w:rFonts w:cs="Arial"/>
                <w:color w:val="000000"/>
                <w:sz w:val="20"/>
                <w:szCs w:val="20"/>
              </w:rPr>
              <w:t>severance payments</w:t>
            </w:r>
          </w:p>
        </w:tc>
      </w:tr>
      <w:tr w:rsidR="006411BA" w:rsidRPr="006411BA" w14:paraId="1E403FB1" w14:textId="77777777" w:rsidTr="0064124E">
        <w:trPr>
          <w:trHeight w:val="397"/>
        </w:trPr>
        <w:tc>
          <w:tcPr>
            <w:tcW w:w="2709" w:type="dxa"/>
            <w:vMerge/>
            <w:tcBorders>
              <w:top w:val="nil"/>
              <w:left w:val="nil"/>
              <w:bottom w:val="nil"/>
              <w:right w:val="nil"/>
            </w:tcBorders>
            <w:vAlign w:val="center"/>
            <w:hideMark/>
          </w:tcPr>
          <w:p w14:paraId="6ED0247A" w14:textId="77777777" w:rsidR="006411BA" w:rsidRPr="006411BA" w:rsidRDefault="006411BA" w:rsidP="00F13D07">
            <w:pPr>
              <w:numPr>
                <w:ilvl w:val="0"/>
                <w:numId w:val="0"/>
              </w:numPr>
              <w:spacing w:before="0" w:after="160" w:line="240" w:lineRule="auto"/>
              <w:rPr>
                <w:rFonts w:cs="Arial"/>
                <w:b/>
                <w:bCs/>
                <w:color w:val="000000"/>
                <w:sz w:val="20"/>
                <w:szCs w:val="20"/>
              </w:rPr>
            </w:pPr>
          </w:p>
        </w:tc>
        <w:tc>
          <w:tcPr>
            <w:tcW w:w="6945" w:type="dxa"/>
            <w:tcBorders>
              <w:top w:val="nil"/>
              <w:left w:val="nil"/>
              <w:bottom w:val="nil"/>
              <w:right w:val="nil"/>
            </w:tcBorders>
            <w:shd w:val="clear" w:color="auto" w:fill="auto"/>
            <w:hideMark/>
          </w:tcPr>
          <w:p w14:paraId="4214424C" w14:textId="303CAEC8" w:rsidR="006411BA" w:rsidRPr="00392998" w:rsidRDefault="006411BA" w:rsidP="00392998">
            <w:pPr>
              <w:pStyle w:val="ListParagraph"/>
              <w:numPr>
                <w:ilvl w:val="0"/>
                <w:numId w:val="31"/>
              </w:numPr>
              <w:spacing w:before="0" w:after="160" w:line="240" w:lineRule="auto"/>
              <w:rPr>
                <w:rFonts w:cs="Arial"/>
                <w:color w:val="000000"/>
                <w:sz w:val="20"/>
                <w:szCs w:val="20"/>
              </w:rPr>
            </w:pPr>
            <w:r w:rsidRPr="00392998">
              <w:rPr>
                <w:rFonts w:cs="Arial"/>
                <w:color w:val="000000"/>
                <w:sz w:val="20"/>
                <w:szCs w:val="20"/>
              </w:rPr>
              <w:t>taxable allowances</w:t>
            </w:r>
            <w:r w:rsidR="00C11AC6">
              <w:rPr>
                <w:rFonts w:cs="Arial"/>
                <w:color w:val="000000"/>
                <w:sz w:val="20"/>
                <w:szCs w:val="20"/>
              </w:rPr>
              <w:t>.</w:t>
            </w:r>
          </w:p>
        </w:tc>
      </w:tr>
    </w:tbl>
    <w:p w14:paraId="31199194" w14:textId="776BC418" w:rsidR="006411BA" w:rsidRDefault="006411BA" w:rsidP="00F031AC">
      <w:pPr>
        <w:pStyle w:val="Intro"/>
        <w:rPr>
          <w:highlight w:val="yellow"/>
        </w:rPr>
      </w:pPr>
    </w:p>
    <w:p w14:paraId="3A59DA36" w14:textId="631BFDE9" w:rsidR="0047601C" w:rsidRDefault="0047601C" w:rsidP="00F031AC">
      <w:pPr>
        <w:pStyle w:val="Intro"/>
        <w:sectPr w:rsidR="0047601C" w:rsidSect="006922B3">
          <w:pgSz w:w="11906" w:h="16838" w:code="9"/>
          <w:pgMar w:top="1701" w:right="1440" w:bottom="1021" w:left="1021" w:header="680" w:footer="510" w:gutter="0"/>
          <w:cols w:space="708"/>
          <w:docGrid w:linePitch="360"/>
        </w:sectPr>
      </w:pPr>
    </w:p>
    <w:p w14:paraId="24151080" w14:textId="07BD21B4" w:rsidR="0059283C" w:rsidRPr="00350852" w:rsidRDefault="004971D5" w:rsidP="004971D5">
      <w:pPr>
        <w:numPr>
          <w:ilvl w:val="0"/>
          <w:numId w:val="0"/>
        </w:numPr>
      </w:pPr>
      <w:r>
        <w:rPr>
          <w:noProof/>
        </w:rPr>
        <w:lastRenderedPageBreak/>
        <mc:AlternateContent>
          <mc:Choice Requires="wps">
            <w:drawing>
              <wp:anchor distT="0" distB="0" distL="114300" distR="114300" simplePos="0" relativeHeight="251665408" behindDoc="0" locked="0" layoutInCell="1" allowOverlap="1" wp14:anchorId="4841BB33" wp14:editId="7DAF6549">
                <wp:simplePos x="0" y="0"/>
                <wp:positionH relativeFrom="column">
                  <wp:align>left</wp:align>
                </wp:positionH>
                <wp:positionV relativeFrom="margin">
                  <wp:align>bottom</wp:align>
                </wp:positionV>
                <wp:extent cx="1943280" cy="1257480"/>
                <wp:effectExtent l="0" t="0" r="12700" b="12700"/>
                <wp:wrapSquare wrapText="bothSides"/>
                <wp:docPr id="3" name="Text Box 3" descr="Independent Hospital Pricing Authority&#10; &#10;Eora nation, Level 6 &#10;1 Oxford Street&#10;Sydney NSW 2000&#10;&#10;Phone 02 8215 1100&#10;Email enquiries.ihpa@ihpa.gov.au&#10;Twitter @IHPAnews&#10;" title="IHPA's contact details"/>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DF35834" w14:textId="77777777" w:rsidR="005003BA" w:rsidRPr="0098702F" w:rsidRDefault="005003BA" w:rsidP="004971D5">
                            <w:pPr>
                              <w:pStyle w:val="Address"/>
                              <w:numPr>
                                <w:ilvl w:val="0"/>
                                <w:numId w:val="0"/>
                              </w:numPr>
                              <w:rPr>
                                <w:color w:val="006700" w:themeColor="accent2" w:themeShade="BF"/>
                              </w:rPr>
                            </w:pPr>
                            <w:r w:rsidRPr="0098702F">
                              <w:rPr>
                                <w:color w:val="006700" w:themeColor="accent2" w:themeShade="BF"/>
                              </w:rPr>
                              <w:t>Independent Hospital Pricing Authority</w:t>
                            </w:r>
                          </w:p>
                          <w:p w14:paraId="1B8B8727" w14:textId="77777777" w:rsidR="005003BA" w:rsidRPr="0098702F" w:rsidRDefault="005003BA" w:rsidP="004971D5">
                            <w:pPr>
                              <w:pStyle w:val="Address"/>
                              <w:numPr>
                                <w:ilvl w:val="0"/>
                                <w:numId w:val="0"/>
                              </w:numPr>
                              <w:rPr>
                                <w:color w:val="006700" w:themeColor="accent2" w:themeShade="BF"/>
                              </w:rPr>
                            </w:pPr>
                            <w:r w:rsidRPr="0098702F">
                              <w:rPr>
                                <w:color w:val="006700" w:themeColor="accent2" w:themeShade="BF"/>
                              </w:rPr>
                              <w:t> </w:t>
                            </w:r>
                          </w:p>
                          <w:p w14:paraId="55604BC9" w14:textId="77777777" w:rsidR="005003BA" w:rsidRDefault="005003BA" w:rsidP="004971D5">
                            <w:pPr>
                              <w:pStyle w:val="Address"/>
                              <w:numPr>
                                <w:ilvl w:val="0"/>
                                <w:numId w:val="0"/>
                              </w:numPr>
                              <w:rPr>
                                <w:color w:val="000000" w:themeColor="text1"/>
                              </w:rPr>
                            </w:pPr>
                            <w:r>
                              <w:rPr>
                                <w:color w:val="000000" w:themeColor="text1"/>
                              </w:rPr>
                              <w:t xml:space="preserve">Eora nation, </w:t>
                            </w:r>
                            <w:r w:rsidRPr="0098702F">
                              <w:rPr>
                                <w:color w:val="000000" w:themeColor="text1"/>
                              </w:rPr>
                              <w:t xml:space="preserve">Level 6 </w:t>
                            </w:r>
                          </w:p>
                          <w:p w14:paraId="52CCA8DA" w14:textId="48468B71" w:rsidR="005003BA" w:rsidRPr="0098702F" w:rsidRDefault="005003BA" w:rsidP="004971D5">
                            <w:pPr>
                              <w:pStyle w:val="Address"/>
                              <w:numPr>
                                <w:ilvl w:val="0"/>
                                <w:numId w:val="0"/>
                              </w:numPr>
                              <w:rPr>
                                <w:color w:val="000000" w:themeColor="text1"/>
                              </w:rPr>
                            </w:pPr>
                            <w:r w:rsidRPr="0098702F">
                              <w:rPr>
                                <w:color w:val="000000" w:themeColor="text1"/>
                              </w:rPr>
                              <w:t>1 Oxford Street</w:t>
                            </w:r>
                          </w:p>
                          <w:p w14:paraId="10768A31" w14:textId="77777777" w:rsidR="005003BA" w:rsidRPr="0098702F" w:rsidRDefault="005003BA" w:rsidP="004971D5">
                            <w:pPr>
                              <w:pStyle w:val="Address"/>
                              <w:numPr>
                                <w:ilvl w:val="0"/>
                                <w:numId w:val="0"/>
                              </w:numPr>
                              <w:rPr>
                                <w:color w:val="006700" w:themeColor="accent2" w:themeShade="BF"/>
                              </w:rPr>
                            </w:pPr>
                            <w:r w:rsidRPr="0098702F">
                              <w:rPr>
                                <w:color w:val="000000" w:themeColor="text1"/>
                              </w:rPr>
                              <w:t>Sydney NSW 2000</w:t>
                            </w:r>
                          </w:p>
                          <w:p w14:paraId="2EA028DB" w14:textId="77777777" w:rsidR="005003BA" w:rsidRPr="0098702F" w:rsidRDefault="005003BA" w:rsidP="004971D5">
                            <w:pPr>
                              <w:pStyle w:val="Address"/>
                              <w:numPr>
                                <w:ilvl w:val="0"/>
                                <w:numId w:val="0"/>
                              </w:numPr>
                              <w:rPr>
                                <w:color w:val="006700" w:themeColor="accent2" w:themeShade="BF"/>
                              </w:rPr>
                            </w:pPr>
                          </w:p>
                          <w:p w14:paraId="514C3618" w14:textId="77777777" w:rsidR="005003BA" w:rsidRPr="0098702F" w:rsidRDefault="005003BA" w:rsidP="004971D5">
                            <w:pPr>
                              <w:pStyle w:val="Address"/>
                              <w:numPr>
                                <w:ilvl w:val="0"/>
                                <w:numId w:val="0"/>
                              </w:numPr>
                              <w:rPr>
                                <w:color w:val="006700" w:themeColor="accent2" w:themeShade="BF"/>
                              </w:rPr>
                            </w:pPr>
                            <w:r w:rsidRPr="0098702F">
                              <w:rPr>
                                <w:color w:val="006700" w:themeColor="accent2" w:themeShade="BF"/>
                              </w:rPr>
                              <w:t xml:space="preserve">Phone </w:t>
                            </w:r>
                            <w:r w:rsidRPr="0098702F">
                              <w:rPr>
                                <w:color w:val="000000" w:themeColor="text1"/>
                              </w:rPr>
                              <w:t>02 8215 1100</w:t>
                            </w:r>
                          </w:p>
                          <w:p w14:paraId="73C41D11" w14:textId="77777777" w:rsidR="005003BA" w:rsidRPr="0098702F" w:rsidRDefault="005003BA" w:rsidP="004971D5">
                            <w:pPr>
                              <w:pStyle w:val="Address"/>
                              <w:numPr>
                                <w:ilvl w:val="0"/>
                                <w:numId w:val="0"/>
                              </w:numPr>
                              <w:rPr>
                                <w:color w:val="006700" w:themeColor="accent2" w:themeShade="BF"/>
                              </w:rPr>
                            </w:pPr>
                            <w:r w:rsidRPr="0098702F">
                              <w:rPr>
                                <w:color w:val="006700" w:themeColor="accent2" w:themeShade="BF"/>
                              </w:rPr>
                              <w:t xml:space="preserve">Email </w:t>
                            </w:r>
                            <w:r w:rsidRPr="0098702F">
                              <w:rPr>
                                <w:color w:val="000000" w:themeColor="text1"/>
                              </w:rPr>
                              <w:t>enquiries.ihpa@ihpa.gov.au</w:t>
                            </w:r>
                          </w:p>
                          <w:p w14:paraId="459C1A06" w14:textId="77777777" w:rsidR="005003BA" w:rsidRPr="0098702F" w:rsidRDefault="005003BA" w:rsidP="004971D5">
                            <w:pPr>
                              <w:pStyle w:val="Address"/>
                              <w:numPr>
                                <w:ilvl w:val="0"/>
                                <w:numId w:val="0"/>
                              </w:numPr>
                              <w:rPr>
                                <w:color w:val="006700" w:themeColor="accent2" w:themeShade="BF"/>
                              </w:rPr>
                            </w:pPr>
                            <w:r w:rsidRPr="0098702F">
                              <w:rPr>
                                <w:color w:val="006700" w:themeColor="accent2" w:themeShade="BF"/>
                              </w:rPr>
                              <w:t xml:space="preserve">Twitter </w:t>
                            </w:r>
                            <w:r w:rsidRPr="0098702F">
                              <w:rPr>
                                <w:color w:val="000000" w:themeColor="text1"/>
                              </w:rPr>
                              <w:t>@IHPAnews</w:t>
                            </w:r>
                          </w:p>
                          <w:p w14:paraId="109F33F8" w14:textId="77777777" w:rsidR="005003BA" w:rsidRPr="0098702F" w:rsidRDefault="005003BA" w:rsidP="004971D5">
                            <w:pPr>
                              <w:pStyle w:val="Address"/>
                              <w:numPr>
                                <w:ilvl w:val="0"/>
                                <w:numId w:val="0"/>
                              </w:numPr>
                              <w:rPr>
                                <w:color w:val="006700" w:themeColor="accent2" w:themeShade="BF"/>
                              </w:rPr>
                            </w:pPr>
                          </w:p>
                          <w:p w14:paraId="46997820" w14:textId="77777777" w:rsidR="005003BA" w:rsidRPr="0098702F" w:rsidRDefault="005003BA" w:rsidP="004971D5">
                            <w:pPr>
                              <w:pStyle w:val="Address"/>
                              <w:numPr>
                                <w:ilvl w:val="0"/>
                                <w:numId w:val="0"/>
                              </w:numPr>
                              <w:rPr>
                                <w:color w:val="006700" w:themeColor="accent2" w:themeShade="BF"/>
                              </w:rPr>
                            </w:pPr>
                            <w:r w:rsidRPr="0098702F">
                              <w:rPr>
                                <w:color w:val="006700" w:themeColor="accent2" w:themeShade="BF"/>
                              </w:rPr>
                              <w:t>www.ihpa.gov.au</w:t>
                            </w:r>
                          </w:p>
                          <w:p w14:paraId="08A244F6" w14:textId="77777777" w:rsidR="005003BA" w:rsidRPr="0098702F" w:rsidRDefault="005003BA" w:rsidP="004971D5">
                            <w:pPr>
                              <w:pStyle w:val="Address"/>
                              <w:numPr>
                                <w:ilvl w:val="0"/>
                                <w:numId w:val="0"/>
                              </w:numPr>
                              <w:rPr>
                                <w:color w:val="006700" w:themeColor="accent2"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1BB33" id="_x0000_t202" coordsize="21600,21600" o:spt="202" path="m,l,21600r21600,l21600,xe">
                <v:stroke joinstyle="miter"/>
                <v:path gradientshapeok="t" o:connecttype="rect"/>
              </v:shapetype>
              <v:shape id="Text Box 3" o:spid="_x0000_s1026" type="#_x0000_t202" alt="Title: IHPA's contact details - Description: Independent Hospital Pricing Authority&#10; &#10;Eora nation, Level 6 &#10;1 Oxford Street&#10;Sydney NSW 2000&#10;&#10;Phone 02 8215 1100&#10;Email enquiries.ihpa@ihpa.gov.au&#10;Twitter @IHPAnews&#10;" style="position:absolute;margin-left:0;margin-top:0;width:153pt;height:99pt;z-index:251665408;visibility:visible;mso-wrap-style:square;mso-width-percent:0;mso-height-percent:0;mso-wrap-distance-left:9pt;mso-wrap-distance-top:0;mso-wrap-distance-right:9pt;mso-wrap-distance-bottom:0;mso-position-horizontal:left;mso-position-horizontal-relative:text;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" filled="f" stroked="f">
                <v:textbox inset="0,0,0,0">
                  <w:txbxContent>
                    <w:p w14:paraId="1DF35834" w14:textId="77777777" w:rsidR="005003BA" w:rsidRPr="0098702F" w:rsidRDefault="005003BA" w:rsidP="004971D5">
                      <w:pPr>
                        <w:pStyle w:val="Address"/>
                        <w:numPr>
                          <w:ilvl w:val="0"/>
                          <w:numId w:val="0"/>
                        </w:numPr>
                        <w:rPr>
                          <w:color w:val="006700" w:themeColor="accent2" w:themeShade="BF"/>
                        </w:rPr>
                      </w:pPr>
                      <w:r w:rsidRPr="0098702F">
                        <w:rPr>
                          <w:color w:val="006700" w:themeColor="accent2" w:themeShade="BF"/>
                        </w:rPr>
                        <w:t>Independent Hospital Pricing Authority</w:t>
                      </w:r>
                    </w:p>
                    <w:p w14:paraId="1B8B8727" w14:textId="77777777" w:rsidR="005003BA" w:rsidRPr="0098702F" w:rsidRDefault="005003BA" w:rsidP="004971D5">
                      <w:pPr>
                        <w:pStyle w:val="Address"/>
                        <w:numPr>
                          <w:ilvl w:val="0"/>
                          <w:numId w:val="0"/>
                        </w:numPr>
                        <w:rPr>
                          <w:color w:val="006700" w:themeColor="accent2" w:themeShade="BF"/>
                        </w:rPr>
                      </w:pPr>
                      <w:r w:rsidRPr="0098702F">
                        <w:rPr>
                          <w:color w:val="006700" w:themeColor="accent2" w:themeShade="BF"/>
                        </w:rPr>
                        <w:t> </w:t>
                      </w:r>
                    </w:p>
                    <w:p w14:paraId="55604BC9" w14:textId="77777777" w:rsidR="005003BA" w:rsidRDefault="005003BA" w:rsidP="004971D5">
                      <w:pPr>
                        <w:pStyle w:val="Address"/>
                        <w:numPr>
                          <w:ilvl w:val="0"/>
                          <w:numId w:val="0"/>
                        </w:numPr>
                        <w:rPr>
                          <w:color w:val="000000" w:themeColor="text1"/>
                        </w:rPr>
                      </w:pPr>
                      <w:r>
                        <w:rPr>
                          <w:color w:val="000000" w:themeColor="text1"/>
                        </w:rPr>
                        <w:t xml:space="preserve">Eora nation, </w:t>
                      </w:r>
                      <w:r w:rsidRPr="0098702F">
                        <w:rPr>
                          <w:color w:val="000000" w:themeColor="text1"/>
                        </w:rPr>
                        <w:t xml:space="preserve">Level 6 </w:t>
                      </w:r>
                    </w:p>
                    <w:p w14:paraId="52CCA8DA" w14:textId="48468B71" w:rsidR="005003BA" w:rsidRPr="0098702F" w:rsidRDefault="005003BA" w:rsidP="004971D5">
                      <w:pPr>
                        <w:pStyle w:val="Address"/>
                        <w:numPr>
                          <w:ilvl w:val="0"/>
                          <w:numId w:val="0"/>
                        </w:numPr>
                        <w:rPr>
                          <w:color w:val="000000" w:themeColor="text1"/>
                        </w:rPr>
                      </w:pPr>
                      <w:r w:rsidRPr="0098702F">
                        <w:rPr>
                          <w:color w:val="000000" w:themeColor="text1"/>
                        </w:rPr>
                        <w:t>1 Oxford Street</w:t>
                      </w:r>
                    </w:p>
                    <w:p w14:paraId="10768A31" w14:textId="77777777" w:rsidR="005003BA" w:rsidRPr="0098702F" w:rsidRDefault="005003BA" w:rsidP="004971D5">
                      <w:pPr>
                        <w:pStyle w:val="Address"/>
                        <w:numPr>
                          <w:ilvl w:val="0"/>
                          <w:numId w:val="0"/>
                        </w:numPr>
                        <w:rPr>
                          <w:color w:val="006700" w:themeColor="accent2" w:themeShade="BF"/>
                        </w:rPr>
                      </w:pPr>
                      <w:r w:rsidRPr="0098702F">
                        <w:rPr>
                          <w:color w:val="000000" w:themeColor="text1"/>
                        </w:rPr>
                        <w:t>Sydney NSW 2000</w:t>
                      </w:r>
                    </w:p>
                    <w:p w14:paraId="2EA028DB" w14:textId="77777777" w:rsidR="005003BA" w:rsidRPr="0098702F" w:rsidRDefault="005003BA" w:rsidP="004971D5">
                      <w:pPr>
                        <w:pStyle w:val="Address"/>
                        <w:numPr>
                          <w:ilvl w:val="0"/>
                          <w:numId w:val="0"/>
                        </w:numPr>
                        <w:rPr>
                          <w:color w:val="006700" w:themeColor="accent2" w:themeShade="BF"/>
                        </w:rPr>
                      </w:pPr>
                    </w:p>
                    <w:p w14:paraId="514C3618" w14:textId="77777777" w:rsidR="005003BA" w:rsidRPr="0098702F" w:rsidRDefault="005003BA" w:rsidP="004971D5">
                      <w:pPr>
                        <w:pStyle w:val="Address"/>
                        <w:numPr>
                          <w:ilvl w:val="0"/>
                          <w:numId w:val="0"/>
                        </w:numPr>
                        <w:rPr>
                          <w:color w:val="006700" w:themeColor="accent2" w:themeShade="BF"/>
                        </w:rPr>
                      </w:pPr>
                      <w:r w:rsidRPr="0098702F">
                        <w:rPr>
                          <w:color w:val="006700" w:themeColor="accent2" w:themeShade="BF"/>
                        </w:rPr>
                        <w:t xml:space="preserve">Phone </w:t>
                      </w:r>
                      <w:r w:rsidRPr="0098702F">
                        <w:rPr>
                          <w:color w:val="000000" w:themeColor="text1"/>
                        </w:rPr>
                        <w:t>02 8215 1100</w:t>
                      </w:r>
                    </w:p>
                    <w:p w14:paraId="73C41D11" w14:textId="77777777" w:rsidR="005003BA" w:rsidRPr="0098702F" w:rsidRDefault="005003BA" w:rsidP="004971D5">
                      <w:pPr>
                        <w:pStyle w:val="Address"/>
                        <w:numPr>
                          <w:ilvl w:val="0"/>
                          <w:numId w:val="0"/>
                        </w:numPr>
                        <w:rPr>
                          <w:color w:val="006700" w:themeColor="accent2" w:themeShade="BF"/>
                        </w:rPr>
                      </w:pPr>
                      <w:r w:rsidRPr="0098702F">
                        <w:rPr>
                          <w:color w:val="006700" w:themeColor="accent2" w:themeShade="BF"/>
                        </w:rPr>
                        <w:t xml:space="preserve">Email </w:t>
                      </w:r>
                      <w:r w:rsidRPr="0098702F">
                        <w:rPr>
                          <w:color w:val="000000" w:themeColor="text1"/>
                        </w:rPr>
                        <w:t>enquiries.ihpa@ihpa.gov.au</w:t>
                      </w:r>
                    </w:p>
                    <w:p w14:paraId="459C1A06" w14:textId="77777777" w:rsidR="005003BA" w:rsidRPr="0098702F" w:rsidRDefault="005003BA" w:rsidP="004971D5">
                      <w:pPr>
                        <w:pStyle w:val="Address"/>
                        <w:numPr>
                          <w:ilvl w:val="0"/>
                          <w:numId w:val="0"/>
                        </w:numPr>
                        <w:rPr>
                          <w:color w:val="006700" w:themeColor="accent2" w:themeShade="BF"/>
                        </w:rPr>
                      </w:pPr>
                      <w:r w:rsidRPr="0098702F">
                        <w:rPr>
                          <w:color w:val="006700" w:themeColor="accent2" w:themeShade="BF"/>
                        </w:rPr>
                        <w:t xml:space="preserve">Twitter </w:t>
                      </w:r>
                      <w:r w:rsidRPr="0098702F">
                        <w:rPr>
                          <w:color w:val="000000" w:themeColor="text1"/>
                        </w:rPr>
                        <w:t>@IHPAnews</w:t>
                      </w:r>
                    </w:p>
                    <w:p w14:paraId="109F33F8" w14:textId="77777777" w:rsidR="005003BA" w:rsidRPr="0098702F" w:rsidRDefault="005003BA" w:rsidP="004971D5">
                      <w:pPr>
                        <w:pStyle w:val="Address"/>
                        <w:numPr>
                          <w:ilvl w:val="0"/>
                          <w:numId w:val="0"/>
                        </w:numPr>
                        <w:rPr>
                          <w:color w:val="006700" w:themeColor="accent2" w:themeShade="BF"/>
                        </w:rPr>
                      </w:pPr>
                    </w:p>
                    <w:p w14:paraId="46997820" w14:textId="77777777" w:rsidR="005003BA" w:rsidRPr="0098702F" w:rsidRDefault="005003BA" w:rsidP="004971D5">
                      <w:pPr>
                        <w:pStyle w:val="Address"/>
                        <w:numPr>
                          <w:ilvl w:val="0"/>
                          <w:numId w:val="0"/>
                        </w:numPr>
                        <w:rPr>
                          <w:color w:val="006700" w:themeColor="accent2" w:themeShade="BF"/>
                        </w:rPr>
                      </w:pPr>
                      <w:r w:rsidRPr="0098702F">
                        <w:rPr>
                          <w:color w:val="006700" w:themeColor="accent2" w:themeShade="BF"/>
                        </w:rPr>
                        <w:t>www.ihpa.gov.au</w:t>
                      </w:r>
                    </w:p>
                    <w:p w14:paraId="08A244F6" w14:textId="77777777" w:rsidR="005003BA" w:rsidRPr="0098702F" w:rsidRDefault="005003BA" w:rsidP="004971D5">
                      <w:pPr>
                        <w:pStyle w:val="Address"/>
                        <w:numPr>
                          <w:ilvl w:val="0"/>
                          <w:numId w:val="0"/>
                        </w:numPr>
                        <w:rPr>
                          <w:color w:val="006700" w:themeColor="accent2" w:themeShade="BF"/>
                        </w:rPr>
                      </w:pPr>
                    </w:p>
                  </w:txbxContent>
                </v:textbox>
                <w10:wrap type="square" anchory="margin"/>
              </v:shape>
            </w:pict>
          </mc:Fallback>
        </mc:AlternateContent>
      </w:r>
      <w:r>
        <w:rPr>
          <w:noProof/>
        </w:rPr>
        <w:drawing>
          <wp:anchor distT="0" distB="0" distL="114300" distR="114300" simplePos="0" relativeHeight="251664384" behindDoc="1" locked="0" layoutInCell="1" allowOverlap="1" wp14:anchorId="468662D1" wp14:editId="537D2903">
            <wp:simplePos x="0" y="0"/>
            <wp:positionH relativeFrom="page">
              <wp:align>left</wp:align>
            </wp:positionH>
            <wp:positionV relativeFrom="page">
              <wp:align>top</wp:align>
            </wp:positionV>
            <wp:extent cx="7593126" cy="10740600"/>
            <wp:effectExtent l="0" t="0" r="8255" b="3810"/>
            <wp:wrapNone/>
            <wp:docPr id="1" name="Picture 1" title="IHPA's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93126" cy="10740600"/>
                    </a:xfrm>
                    <a:prstGeom prst="rect">
                      <a:avLst/>
                    </a:prstGeom>
                  </pic:spPr>
                </pic:pic>
              </a:graphicData>
            </a:graphic>
            <wp14:sizeRelH relativeFrom="margin">
              <wp14:pctWidth>0</wp14:pctWidth>
            </wp14:sizeRelH>
            <wp14:sizeRelV relativeFrom="margin">
              <wp14:pctHeight>0</wp14:pctHeight>
            </wp14:sizeRelV>
          </wp:anchor>
        </w:drawing>
      </w:r>
    </w:p>
    <w:sectPr w:rsidR="0059283C" w:rsidRPr="00350852" w:rsidSect="00E403FA">
      <w:pgSz w:w="11906" w:h="16838" w:code="9"/>
      <w:pgMar w:top="2041" w:right="1440" w:bottom="1021" w:left="1021" w:header="680"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496ED" w14:textId="77777777" w:rsidR="005003BA" w:rsidRDefault="005003BA">
      <w:r>
        <w:separator/>
      </w:r>
    </w:p>
  </w:endnote>
  <w:endnote w:type="continuationSeparator" w:id="0">
    <w:p w14:paraId="52B36DB4" w14:textId="77777777" w:rsidR="005003BA" w:rsidRDefault="00500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val="0"/>
      </w:rPr>
      <w:id w:val="-1300144661"/>
      <w:docPartObj>
        <w:docPartGallery w:val="Page Numbers (Bottom of Page)"/>
        <w:docPartUnique/>
      </w:docPartObj>
    </w:sdtPr>
    <w:sdtEndPr>
      <w:rPr>
        <w:b/>
      </w:rPr>
    </w:sdtEndPr>
    <w:sdtContent>
      <w:sdt>
        <w:sdtPr>
          <w:rPr>
            <w:b w:val="0"/>
          </w:rPr>
          <w:id w:val="-1769616900"/>
          <w:docPartObj>
            <w:docPartGallery w:val="Page Numbers (Top of Page)"/>
            <w:docPartUnique/>
          </w:docPartObj>
        </w:sdtPr>
        <w:sdtEndPr>
          <w:rPr>
            <w:b/>
          </w:rPr>
        </w:sdtEndPr>
        <w:sdtContent>
          <w:p w14:paraId="0286C0BB" w14:textId="5D77BCC2" w:rsidR="006922B3" w:rsidRDefault="006922B3" w:rsidP="006922B3">
            <w:pPr>
              <w:pStyle w:val="Footer"/>
              <w:numPr>
                <w:ilvl w:val="0"/>
                <w:numId w:val="0"/>
              </w:numPr>
            </w:pPr>
            <w:r w:rsidRPr="004716F7">
              <w:rPr>
                <w:b w:val="0"/>
                <w:sz w:val="20"/>
                <w:szCs w:val="20"/>
              </w:rPr>
              <w:t xml:space="preserve">IHPA Australian Hospital Patient Costing Standards 4.1                                </w:t>
            </w:r>
            <w:r w:rsidR="004716F7" w:rsidRPr="004716F7">
              <w:rPr>
                <w:b w:val="0"/>
                <w:sz w:val="20"/>
                <w:szCs w:val="20"/>
              </w:rPr>
              <w:t xml:space="preserve">        </w:t>
            </w:r>
            <w:r w:rsidRPr="004716F7">
              <w:rPr>
                <w:b w:val="0"/>
                <w:sz w:val="20"/>
                <w:szCs w:val="20"/>
              </w:rPr>
              <w:t xml:space="preserve"> </w:t>
            </w:r>
            <w:r w:rsidR="004716F7" w:rsidRPr="004716F7">
              <w:rPr>
                <w:b w:val="0"/>
                <w:sz w:val="20"/>
                <w:szCs w:val="20"/>
              </w:rPr>
              <w:t xml:space="preserve">           </w:t>
            </w:r>
            <w:r w:rsidRPr="004716F7">
              <w:rPr>
                <w:b w:val="0"/>
                <w:sz w:val="20"/>
                <w:szCs w:val="20"/>
              </w:rPr>
              <w:t xml:space="preserve">Page </w:t>
            </w:r>
            <w:r w:rsidRPr="004716F7">
              <w:rPr>
                <w:b w:val="0"/>
                <w:bCs/>
                <w:sz w:val="20"/>
                <w:szCs w:val="20"/>
              </w:rPr>
              <w:fldChar w:fldCharType="begin"/>
            </w:r>
            <w:r w:rsidRPr="004716F7">
              <w:rPr>
                <w:b w:val="0"/>
                <w:bCs/>
                <w:sz w:val="20"/>
                <w:szCs w:val="20"/>
              </w:rPr>
              <w:instrText xml:space="preserve"> PAGE </w:instrText>
            </w:r>
            <w:r w:rsidRPr="004716F7">
              <w:rPr>
                <w:b w:val="0"/>
                <w:bCs/>
                <w:sz w:val="20"/>
                <w:szCs w:val="20"/>
              </w:rPr>
              <w:fldChar w:fldCharType="separate"/>
            </w:r>
            <w:r w:rsidR="00A97DAC">
              <w:rPr>
                <w:b w:val="0"/>
                <w:bCs/>
                <w:noProof/>
                <w:sz w:val="20"/>
                <w:szCs w:val="20"/>
              </w:rPr>
              <w:t>1</w:t>
            </w:r>
            <w:r w:rsidRPr="004716F7">
              <w:rPr>
                <w:b w:val="0"/>
                <w:bCs/>
                <w:sz w:val="20"/>
                <w:szCs w:val="20"/>
              </w:rPr>
              <w:fldChar w:fldCharType="end"/>
            </w:r>
            <w:r w:rsidRPr="004716F7">
              <w:rPr>
                <w:b w:val="0"/>
                <w:sz w:val="20"/>
                <w:szCs w:val="20"/>
              </w:rPr>
              <w:t xml:space="preserve"> of </w:t>
            </w:r>
            <w:r w:rsidRPr="004716F7">
              <w:rPr>
                <w:b w:val="0"/>
                <w:bCs/>
                <w:sz w:val="20"/>
                <w:szCs w:val="20"/>
              </w:rPr>
              <w:fldChar w:fldCharType="begin"/>
            </w:r>
            <w:r w:rsidRPr="004716F7">
              <w:rPr>
                <w:b w:val="0"/>
                <w:bCs/>
                <w:sz w:val="20"/>
                <w:szCs w:val="20"/>
              </w:rPr>
              <w:instrText xml:space="preserve"> NUMPAGES  </w:instrText>
            </w:r>
            <w:r w:rsidRPr="004716F7">
              <w:rPr>
                <w:b w:val="0"/>
                <w:bCs/>
                <w:sz w:val="20"/>
                <w:szCs w:val="20"/>
              </w:rPr>
              <w:fldChar w:fldCharType="separate"/>
            </w:r>
            <w:r w:rsidR="00A97DAC">
              <w:rPr>
                <w:b w:val="0"/>
                <w:bCs/>
                <w:noProof/>
                <w:sz w:val="20"/>
                <w:szCs w:val="20"/>
              </w:rPr>
              <w:t>77</w:t>
            </w:r>
            <w:r w:rsidRPr="004716F7">
              <w:rPr>
                <w:b w:val="0"/>
                <w:bCs/>
                <w:sz w:val="20"/>
                <w:szCs w:val="20"/>
              </w:rPr>
              <w:fldChar w:fldCharType="end"/>
            </w:r>
          </w:p>
        </w:sdtContent>
      </w:sdt>
    </w:sdtContent>
  </w:sdt>
  <w:p w14:paraId="3ECE90AE" w14:textId="77777777" w:rsidR="005003BA" w:rsidRDefault="005003BA" w:rsidP="00DA732C">
    <w:pPr>
      <w:pStyle w:val="Foote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DB9DF" w14:textId="77777777" w:rsidR="005003BA" w:rsidRDefault="005003BA">
      <w:r>
        <w:separator/>
      </w:r>
    </w:p>
  </w:footnote>
  <w:footnote w:type="continuationSeparator" w:id="0">
    <w:p w14:paraId="1BD2D445" w14:textId="77777777" w:rsidR="005003BA" w:rsidRDefault="00500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FDF66" w14:textId="5A1BF8A8" w:rsidR="005003BA" w:rsidRPr="004716F7" w:rsidRDefault="005003BA" w:rsidP="00342B27">
    <w:pPr>
      <w:pStyle w:val="Header"/>
      <w:numPr>
        <w:ilvl w:val="0"/>
        <w:numId w:val="0"/>
      </w:numPr>
      <w:tabs>
        <w:tab w:val="clear" w:pos="10319"/>
        <w:tab w:val="left" w:pos="9814"/>
        <w:tab w:val="right" w:pos="9923"/>
      </w:tabs>
      <w:ind w:right="5617"/>
      <w:rPr>
        <w:b w:val="0"/>
        <w:color w:val="008A00" w:themeColor="accent2"/>
        <w:sz w:val="20"/>
        <w:szCs w:val="20"/>
      </w:rPr>
    </w:pPr>
    <w:r w:rsidRPr="004716F7">
      <w:rPr>
        <w:b w:val="0"/>
        <w:color w:val="FFFFFF" w:themeColor="background1"/>
        <w:sz w:val="20"/>
        <w:szCs w:val="20"/>
      </w:rPr>
      <w:tab/>
    </w:r>
    <w:r w:rsidRPr="004716F7">
      <w:rPr>
        <w:b w:val="0"/>
        <w:color w:val="FFFFFF" w:themeColor="background1"/>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60C8C94"/>
    <w:lvl w:ilvl="0">
      <w:start w:val="1"/>
      <w:numFmt w:val="bullet"/>
      <w:pStyle w:val="Bullet-text"/>
      <w:lvlText w:val=""/>
      <w:lvlJc w:val="left"/>
      <w:pPr>
        <w:tabs>
          <w:tab w:val="num" w:pos="360"/>
        </w:tabs>
        <w:ind w:left="360" w:hanging="360"/>
      </w:pPr>
      <w:rPr>
        <w:rFonts w:ascii="Symbol" w:hAnsi="Symbol" w:hint="default"/>
      </w:rPr>
    </w:lvl>
  </w:abstractNum>
  <w:abstractNum w:abstractNumId="1" w15:restartNumberingAfterBreak="0">
    <w:nsid w:val="01BA74C9"/>
    <w:multiLevelType w:val="hybridMultilevel"/>
    <w:tmpl w:val="3780A714"/>
    <w:lvl w:ilvl="0" w:tplc="C20CCDB2">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1D329DD"/>
    <w:multiLevelType w:val="hybridMultilevel"/>
    <w:tmpl w:val="9992DD50"/>
    <w:lvl w:ilvl="0" w:tplc="0C090003">
      <w:start w:val="1"/>
      <w:numFmt w:val="bullet"/>
      <w:lvlText w:val="o"/>
      <w:lvlJc w:val="left"/>
      <w:pPr>
        <w:ind w:left="2548" w:hanging="360"/>
      </w:pPr>
      <w:rPr>
        <w:rFonts w:ascii="Courier New" w:hAnsi="Courier New" w:cs="Courier New" w:hint="default"/>
      </w:rPr>
    </w:lvl>
    <w:lvl w:ilvl="1" w:tplc="0C090003">
      <w:start w:val="1"/>
      <w:numFmt w:val="bullet"/>
      <w:lvlText w:val="o"/>
      <w:lvlJc w:val="left"/>
      <w:pPr>
        <w:ind w:left="3268" w:hanging="360"/>
      </w:pPr>
      <w:rPr>
        <w:rFonts w:ascii="Courier New" w:hAnsi="Courier New" w:cs="Courier New" w:hint="default"/>
      </w:rPr>
    </w:lvl>
    <w:lvl w:ilvl="2" w:tplc="0C090005" w:tentative="1">
      <w:start w:val="1"/>
      <w:numFmt w:val="bullet"/>
      <w:lvlText w:val=""/>
      <w:lvlJc w:val="left"/>
      <w:pPr>
        <w:ind w:left="3988" w:hanging="360"/>
      </w:pPr>
      <w:rPr>
        <w:rFonts w:ascii="Wingdings" w:hAnsi="Wingdings" w:hint="default"/>
      </w:rPr>
    </w:lvl>
    <w:lvl w:ilvl="3" w:tplc="0C090001">
      <w:start w:val="1"/>
      <w:numFmt w:val="bullet"/>
      <w:lvlText w:val=""/>
      <w:lvlJc w:val="left"/>
      <w:pPr>
        <w:ind w:left="4708" w:hanging="360"/>
      </w:pPr>
      <w:rPr>
        <w:rFonts w:ascii="Symbol" w:hAnsi="Symbol" w:hint="default"/>
      </w:rPr>
    </w:lvl>
    <w:lvl w:ilvl="4" w:tplc="0C090003" w:tentative="1">
      <w:start w:val="1"/>
      <w:numFmt w:val="bullet"/>
      <w:lvlText w:val="o"/>
      <w:lvlJc w:val="left"/>
      <w:pPr>
        <w:ind w:left="5428" w:hanging="360"/>
      </w:pPr>
      <w:rPr>
        <w:rFonts w:ascii="Courier New" w:hAnsi="Courier New" w:cs="Courier New" w:hint="default"/>
      </w:rPr>
    </w:lvl>
    <w:lvl w:ilvl="5" w:tplc="0C090005" w:tentative="1">
      <w:start w:val="1"/>
      <w:numFmt w:val="bullet"/>
      <w:lvlText w:val=""/>
      <w:lvlJc w:val="left"/>
      <w:pPr>
        <w:ind w:left="6148" w:hanging="360"/>
      </w:pPr>
      <w:rPr>
        <w:rFonts w:ascii="Wingdings" w:hAnsi="Wingdings" w:hint="default"/>
      </w:rPr>
    </w:lvl>
    <w:lvl w:ilvl="6" w:tplc="0C090001" w:tentative="1">
      <w:start w:val="1"/>
      <w:numFmt w:val="bullet"/>
      <w:lvlText w:val=""/>
      <w:lvlJc w:val="left"/>
      <w:pPr>
        <w:ind w:left="6868" w:hanging="360"/>
      </w:pPr>
      <w:rPr>
        <w:rFonts w:ascii="Symbol" w:hAnsi="Symbol" w:hint="default"/>
      </w:rPr>
    </w:lvl>
    <w:lvl w:ilvl="7" w:tplc="0C090003" w:tentative="1">
      <w:start w:val="1"/>
      <w:numFmt w:val="bullet"/>
      <w:lvlText w:val="o"/>
      <w:lvlJc w:val="left"/>
      <w:pPr>
        <w:ind w:left="7588" w:hanging="360"/>
      </w:pPr>
      <w:rPr>
        <w:rFonts w:ascii="Courier New" w:hAnsi="Courier New" w:cs="Courier New" w:hint="default"/>
      </w:rPr>
    </w:lvl>
    <w:lvl w:ilvl="8" w:tplc="0C090005" w:tentative="1">
      <w:start w:val="1"/>
      <w:numFmt w:val="bullet"/>
      <w:lvlText w:val=""/>
      <w:lvlJc w:val="left"/>
      <w:pPr>
        <w:ind w:left="8308" w:hanging="360"/>
      </w:pPr>
      <w:rPr>
        <w:rFonts w:ascii="Wingdings" w:hAnsi="Wingdings" w:hint="default"/>
      </w:rPr>
    </w:lvl>
  </w:abstractNum>
  <w:abstractNum w:abstractNumId="3" w15:restartNumberingAfterBreak="0">
    <w:nsid w:val="11313452"/>
    <w:multiLevelType w:val="hybridMultilevel"/>
    <w:tmpl w:val="D8B8AE34"/>
    <w:lvl w:ilvl="0" w:tplc="963CFB3E">
      <w:start w:val="1"/>
      <w:numFmt w:val="decimal"/>
      <w:lvlText w:val="Stage %1"/>
      <w:lvlJc w:val="left"/>
      <w:pPr>
        <w:ind w:left="1434" w:hanging="360"/>
      </w:pPr>
      <w:rPr>
        <w:rFonts w:hint="default"/>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 w15:restartNumberingAfterBreak="0">
    <w:nsid w:val="142F00DC"/>
    <w:multiLevelType w:val="hybridMultilevel"/>
    <w:tmpl w:val="3676AEF6"/>
    <w:lvl w:ilvl="0" w:tplc="0C090001">
      <w:start w:val="1"/>
      <w:numFmt w:val="bullet"/>
      <w:lvlText w:val=""/>
      <w:lvlJc w:val="left"/>
      <w:pPr>
        <w:ind w:left="2203" w:hanging="360"/>
      </w:pPr>
      <w:rPr>
        <w:rFonts w:ascii="Symbol" w:hAnsi="Symbol" w:hint="default"/>
      </w:rPr>
    </w:lvl>
    <w:lvl w:ilvl="1" w:tplc="0C090003" w:tentative="1">
      <w:start w:val="1"/>
      <w:numFmt w:val="bullet"/>
      <w:lvlText w:val="o"/>
      <w:lvlJc w:val="left"/>
      <w:pPr>
        <w:ind w:left="2923" w:hanging="360"/>
      </w:pPr>
      <w:rPr>
        <w:rFonts w:ascii="Courier New" w:hAnsi="Courier New" w:cs="Courier New" w:hint="default"/>
      </w:rPr>
    </w:lvl>
    <w:lvl w:ilvl="2" w:tplc="0C090005" w:tentative="1">
      <w:start w:val="1"/>
      <w:numFmt w:val="bullet"/>
      <w:lvlText w:val=""/>
      <w:lvlJc w:val="left"/>
      <w:pPr>
        <w:ind w:left="3643" w:hanging="360"/>
      </w:pPr>
      <w:rPr>
        <w:rFonts w:ascii="Wingdings" w:hAnsi="Wingdings" w:hint="default"/>
      </w:rPr>
    </w:lvl>
    <w:lvl w:ilvl="3" w:tplc="0C090001" w:tentative="1">
      <w:start w:val="1"/>
      <w:numFmt w:val="bullet"/>
      <w:lvlText w:val=""/>
      <w:lvlJc w:val="left"/>
      <w:pPr>
        <w:ind w:left="4363" w:hanging="360"/>
      </w:pPr>
      <w:rPr>
        <w:rFonts w:ascii="Symbol" w:hAnsi="Symbol" w:hint="default"/>
      </w:rPr>
    </w:lvl>
    <w:lvl w:ilvl="4" w:tplc="0C090003" w:tentative="1">
      <w:start w:val="1"/>
      <w:numFmt w:val="bullet"/>
      <w:lvlText w:val="o"/>
      <w:lvlJc w:val="left"/>
      <w:pPr>
        <w:ind w:left="5083" w:hanging="360"/>
      </w:pPr>
      <w:rPr>
        <w:rFonts w:ascii="Courier New" w:hAnsi="Courier New" w:cs="Courier New" w:hint="default"/>
      </w:rPr>
    </w:lvl>
    <w:lvl w:ilvl="5" w:tplc="0C090005" w:tentative="1">
      <w:start w:val="1"/>
      <w:numFmt w:val="bullet"/>
      <w:lvlText w:val=""/>
      <w:lvlJc w:val="left"/>
      <w:pPr>
        <w:ind w:left="5803" w:hanging="360"/>
      </w:pPr>
      <w:rPr>
        <w:rFonts w:ascii="Wingdings" w:hAnsi="Wingdings" w:hint="default"/>
      </w:rPr>
    </w:lvl>
    <w:lvl w:ilvl="6" w:tplc="0C090001" w:tentative="1">
      <w:start w:val="1"/>
      <w:numFmt w:val="bullet"/>
      <w:lvlText w:val=""/>
      <w:lvlJc w:val="left"/>
      <w:pPr>
        <w:ind w:left="6523" w:hanging="360"/>
      </w:pPr>
      <w:rPr>
        <w:rFonts w:ascii="Symbol" w:hAnsi="Symbol" w:hint="default"/>
      </w:rPr>
    </w:lvl>
    <w:lvl w:ilvl="7" w:tplc="0C090003" w:tentative="1">
      <w:start w:val="1"/>
      <w:numFmt w:val="bullet"/>
      <w:lvlText w:val="o"/>
      <w:lvlJc w:val="left"/>
      <w:pPr>
        <w:ind w:left="7243" w:hanging="360"/>
      </w:pPr>
      <w:rPr>
        <w:rFonts w:ascii="Courier New" w:hAnsi="Courier New" w:cs="Courier New" w:hint="default"/>
      </w:rPr>
    </w:lvl>
    <w:lvl w:ilvl="8" w:tplc="0C090005" w:tentative="1">
      <w:start w:val="1"/>
      <w:numFmt w:val="bullet"/>
      <w:lvlText w:val=""/>
      <w:lvlJc w:val="left"/>
      <w:pPr>
        <w:ind w:left="7963" w:hanging="360"/>
      </w:pPr>
      <w:rPr>
        <w:rFonts w:ascii="Wingdings" w:hAnsi="Wingdings" w:hint="default"/>
      </w:rPr>
    </w:lvl>
  </w:abstractNum>
  <w:abstractNum w:abstractNumId="5" w15:restartNumberingAfterBreak="0">
    <w:nsid w:val="16E73E4C"/>
    <w:multiLevelType w:val="hybridMultilevel"/>
    <w:tmpl w:val="CF6AC78E"/>
    <w:lvl w:ilvl="0" w:tplc="DA5EDFCA">
      <w:start w:val="1"/>
      <w:numFmt w:val="bullet"/>
      <w:lvlText w:val="-"/>
      <w:lvlJc w:val="left"/>
      <w:pPr>
        <w:ind w:left="2203" w:hanging="360"/>
      </w:pPr>
      <w:rPr>
        <w:rFonts w:ascii="Arial" w:eastAsia="Times New Roman" w:hAnsi="Arial" w:cs="Arial" w:hint="default"/>
      </w:rPr>
    </w:lvl>
    <w:lvl w:ilvl="1" w:tplc="0C090003" w:tentative="1">
      <w:start w:val="1"/>
      <w:numFmt w:val="bullet"/>
      <w:lvlText w:val="o"/>
      <w:lvlJc w:val="left"/>
      <w:pPr>
        <w:ind w:left="2923" w:hanging="360"/>
      </w:pPr>
      <w:rPr>
        <w:rFonts w:ascii="Courier New" w:hAnsi="Courier New" w:cs="Courier New" w:hint="default"/>
      </w:rPr>
    </w:lvl>
    <w:lvl w:ilvl="2" w:tplc="0C090005" w:tentative="1">
      <w:start w:val="1"/>
      <w:numFmt w:val="bullet"/>
      <w:lvlText w:val=""/>
      <w:lvlJc w:val="left"/>
      <w:pPr>
        <w:ind w:left="3643" w:hanging="360"/>
      </w:pPr>
      <w:rPr>
        <w:rFonts w:ascii="Wingdings" w:hAnsi="Wingdings" w:hint="default"/>
      </w:rPr>
    </w:lvl>
    <w:lvl w:ilvl="3" w:tplc="0C090001" w:tentative="1">
      <w:start w:val="1"/>
      <w:numFmt w:val="bullet"/>
      <w:lvlText w:val=""/>
      <w:lvlJc w:val="left"/>
      <w:pPr>
        <w:ind w:left="4363" w:hanging="360"/>
      </w:pPr>
      <w:rPr>
        <w:rFonts w:ascii="Symbol" w:hAnsi="Symbol" w:hint="default"/>
      </w:rPr>
    </w:lvl>
    <w:lvl w:ilvl="4" w:tplc="0C090003" w:tentative="1">
      <w:start w:val="1"/>
      <w:numFmt w:val="bullet"/>
      <w:lvlText w:val="o"/>
      <w:lvlJc w:val="left"/>
      <w:pPr>
        <w:ind w:left="5083" w:hanging="360"/>
      </w:pPr>
      <w:rPr>
        <w:rFonts w:ascii="Courier New" w:hAnsi="Courier New" w:cs="Courier New" w:hint="default"/>
      </w:rPr>
    </w:lvl>
    <w:lvl w:ilvl="5" w:tplc="0C090005" w:tentative="1">
      <w:start w:val="1"/>
      <w:numFmt w:val="bullet"/>
      <w:lvlText w:val=""/>
      <w:lvlJc w:val="left"/>
      <w:pPr>
        <w:ind w:left="5803" w:hanging="360"/>
      </w:pPr>
      <w:rPr>
        <w:rFonts w:ascii="Wingdings" w:hAnsi="Wingdings" w:hint="default"/>
      </w:rPr>
    </w:lvl>
    <w:lvl w:ilvl="6" w:tplc="0C090001" w:tentative="1">
      <w:start w:val="1"/>
      <w:numFmt w:val="bullet"/>
      <w:lvlText w:val=""/>
      <w:lvlJc w:val="left"/>
      <w:pPr>
        <w:ind w:left="6523" w:hanging="360"/>
      </w:pPr>
      <w:rPr>
        <w:rFonts w:ascii="Symbol" w:hAnsi="Symbol" w:hint="default"/>
      </w:rPr>
    </w:lvl>
    <w:lvl w:ilvl="7" w:tplc="0C090003" w:tentative="1">
      <w:start w:val="1"/>
      <w:numFmt w:val="bullet"/>
      <w:lvlText w:val="o"/>
      <w:lvlJc w:val="left"/>
      <w:pPr>
        <w:ind w:left="7243" w:hanging="360"/>
      </w:pPr>
      <w:rPr>
        <w:rFonts w:ascii="Courier New" w:hAnsi="Courier New" w:cs="Courier New" w:hint="default"/>
      </w:rPr>
    </w:lvl>
    <w:lvl w:ilvl="8" w:tplc="0C090005" w:tentative="1">
      <w:start w:val="1"/>
      <w:numFmt w:val="bullet"/>
      <w:lvlText w:val=""/>
      <w:lvlJc w:val="left"/>
      <w:pPr>
        <w:ind w:left="7963" w:hanging="360"/>
      </w:pPr>
      <w:rPr>
        <w:rFonts w:ascii="Wingdings" w:hAnsi="Wingdings" w:hint="default"/>
      </w:rPr>
    </w:lvl>
  </w:abstractNum>
  <w:abstractNum w:abstractNumId="6" w15:restartNumberingAfterBreak="0">
    <w:nsid w:val="1738074C"/>
    <w:multiLevelType w:val="hybridMultilevel"/>
    <w:tmpl w:val="31A02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0F13F9"/>
    <w:multiLevelType w:val="hybridMultilevel"/>
    <w:tmpl w:val="E2CEB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67036D"/>
    <w:multiLevelType w:val="hybridMultilevel"/>
    <w:tmpl w:val="2D94E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0F7077"/>
    <w:multiLevelType w:val="multilevel"/>
    <w:tmpl w:val="FFDE7968"/>
    <w:lvl w:ilvl="0">
      <w:start w:val="1"/>
      <w:numFmt w:val="decimal"/>
      <w:suff w:val="space"/>
      <w:lvlText w:val="Stage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upperLetter"/>
      <w:lvlText w:val="%1.%2%3"/>
      <w:lvlJc w:val="left"/>
      <w:pPr>
        <w:tabs>
          <w:tab w:val="num" w:pos="851"/>
        </w:tabs>
        <w:ind w:left="0" w:firstLine="0"/>
      </w:pPr>
      <w:rPr>
        <w:rFonts w:hint="default"/>
      </w:rPr>
    </w:lvl>
    <w:lvl w:ilvl="3">
      <w:start w:val="1"/>
      <w:numFmt w:val="decimal"/>
      <w:lvlText w:val="%1.%2%3.%4"/>
      <w:lvlJc w:val="left"/>
      <w:pPr>
        <w:ind w:left="851" w:hanging="851"/>
      </w:pPr>
      <w:rPr>
        <w:rFonts w:hint="default"/>
      </w:rPr>
    </w:lvl>
    <w:lvl w:ilvl="4">
      <w:start w:val="1"/>
      <w:numFmt w:val="none"/>
      <w:pStyle w:val="List"/>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41447E73"/>
    <w:multiLevelType w:val="multilevel"/>
    <w:tmpl w:val="B9220722"/>
    <w:lvl w:ilvl="0">
      <w:start w:val="1"/>
      <w:numFmt w:val="decimal"/>
      <w:pStyle w:val="Heading1"/>
      <w:suff w:val="space"/>
      <w:lvlText w:val="Stage %1:"/>
      <w:lvlJc w:val="left"/>
      <w:pPr>
        <w:ind w:left="0" w:firstLine="0"/>
      </w:pPr>
      <w:rPr>
        <w:rFonts w:hint="default"/>
      </w:rPr>
    </w:lvl>
    <w:lvl w:ilvl="1">
      <w:start w:val="1"/>
      <w:numFmt w:val="decimal"/>
      <w:pStyle w:val="Subtitle"/>
      <w:suff w:val="space"/>
      <w:lvlText w:val="%1.%2"/>
      <w:lvlJc w:val="left"/>
      <w:pPr>
        <w:ind w:left="0" w:firstLine="0"/>
      </w:pPr>
      <w:rPr>
        <w:rFonts w:hint="default"/>
      </w:rPr>
    </w:lvl>
    <w:lvl w:ilvl="2">
      <w:start w:val="1"/>
      <w:numFmt w:val="upperLetter"/>
      <w:pStyle w:val="Heading2"/>
      <w:lvlText w:val="%1.%2%3"/>
      <w:lvlJc w:val="left"/>
      <w:pPr>
        <w:ind w:left="0" w:firstLine="0"/>
      </w:pPr>
      <w:rPr>
        <w:rFonts w:hint="default"/>
      </w:rPr>
    </w:lvl>
    <w:lvl w:ilvl="3">
      <w:start w:val="1"/>
      <w:numFmt w:val="decimal"/>
      <w:pStyle w:val="Heading3"/>
      <w:lvlText w:val="%1.%2%3.%4"/>
      <w:lvlJc w:val="left"/>
      <w:pPr>
        <w:ind w:left="851" w:hanging="851"/>
      </w:pPr>
      <w:rPr>
        <w:rFonts w:hint="default"/>
      </w:rPr>
    </w:lvl>
    <w:lvl w:ilvl="4">
      <w:start w:val="1"/>
      <w:numFmt w:val="decimal"/>
      <w:pStyle w:val="Normal"/>
      <w:lvlText w:val="%1.%2%3.%4.%5"/>
      <w:lvlJc w:val="left"/>
      <w:pPr>
        <w:ind w:left="1984" w:hanging="992"/>
      </w:pPr>
      <w:rPr>
        <w:rFonts w:hint="default"/>
        <w:i w:val="0"/>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42E044DD"/>
    <w:multiLevelType w:val="hybridMultilevel"/>
    <w:tmpl w:val="08006232"/>
    <w:lvl w:ilvl="0" w:tplc="0C090001">
      <w:start w:val="1"/>
      <w:numFmt w:val="bullet"/>
      <w:lvlText w:val=""/>
      <w:lvlJc w:val="left"/>
      <w:pPr>
        <w:ind w:left="1720" w:hanging="360"/>
      </w:pPr>
      <w:rPr>
        <w:rFonts w:ascii="Symbol" w:hAnsi="Symbol" w:hint="default"/>
      </w:rPr>
    </w:lvl>
    <w:lvl w:ilvl="1" w:tplc="0C090003" w:tentative="1">
      <w:start w:val="1"/>
      <w:numFmt w:val="bullet"/>
      <w:lvlText w:val="o"/>
      <w:lvlJc w:val="left"/>
      <w:pPr>
        <w:ind w:left="2440" w:hanging="360"/>
      </w:pPr>
      <w:rPr>
        <w:rFonts w:ascii="Courier New" w:hAnsi="Courier New" w:cs="Courier New" w:hint="default"/>
      </w:rPr>
    </w:lvl>
    <w:lvl w:ilvl="2" w:tplc="0C090005" w:tentative="1">
      <w:start w:val="1"/>
      <w:numFmt w:val="bullet"/>
      <w:lvlText w:val=""/>
      <w:lvlJc w:val="left"/>
      <w:pPr>
        <w:ind w:left="3160" w:hanging="360"/>
      </w:pPr>
      <w:rPr>
        <w:rFonts w:ascii="Wingdings" w:hAnsi="Wingdings" w:hint="default"/>
      </w:rPr>
    </w:lvl>
    <w:lvl w:ilvl="3" w:tplc="0C090001" w:tentative="1">
      <w:start w:val="1"/>
      <w:numFmt w:val="bullet"/>
      <w:lvlText w:val=""/>
      <w:lvlJc w:val="left"/>
      <w:pPr>
        <w:ind w:left="3880" w:hanging="360"/>
      </w:pPr>
      <w:rPr>
        <w:rFonts w:ascii="Symbol" w:hAnsi="Symbol" w:hint="default"/>
      </w:rPr>
    </w:lvl>
    <w:lvl w:ilvl="4" w:tplc="0C090003" w:tentative="1">
      <w:start w:val="1"/>
      <w:numFmt w:val="bullet"/>
      <w:lvlText w:val="o"/>
      <w:lvlJc w:val="left"/>
      <w:pPr>
        <w:ind w:left="4600" w:hanging="360"/>
      </w:pPr>
      <w:rPr>
        <w:rFonts w:ascii="Courier New" w:hAnsi="Courier New" w:cs="Courier New" w:hint="default"/>
      </w:rPr>
    </w:lvl>
    <w:lvl w:ilvl="5" w:tplc="0C090005" w:tentative="1">
      <w:start w:val="1"/>
      <w:numFmt w:val="bullet"/>
      <w:lvlText w:val=""/>
      <w:lvlJc w:val="left"/>
      <w:pPr>
        <w:ind w:left="5320" w:hanging="360"/>
      </w:pPr>
      <w:rPr>
        <w:rFonts w:ascii="Wingdings" w:hAnsi="Wingdings" w:hint="default"/>
      </w:rPr>
    </w:lvl>
    <w:lvl w:ilvl="6" w:tplc="0C090001" w:tentative="1">
      <w:start w:val="1"/>
      <w:numFmt w:val="bullet"/>
      <w:lvlText w:val=""/>
      <w:lvlJc w:val="left"/>
      <w:pPr>
        <w:ind w:left="6040" w:hanging="360"/>
      </w:pPr>
      <w:rPr>
        <w:rFonts w:ascii="Symbol" w:hAnsi="Symbol" w:hint="default"/>
      </w:rPr>
    </w:lvl>
    <w:lvl w:ilvl="7" w:tplc="0C090003" w:tentative="1">
      <w:start w:val="1"/>
      <w:numFmt w:val="bullet"/>
      <w:lvlText w:val="o"/>
      <w:lvlJc w:val="left"/>
      <w:pPr>
        <w:ind w:left="6760" w:hanging="360"/>
      </w:pPr>
      <w:rPr>
        <w:rFonts w:ascii="Courier New" w:hAnsi="Courier New" w:cs="Courier New" w:hint="default"/>
      </w:rPr>
    </w:lvl>
    <w:lvl w:ilvl="8" w:tplc="0C090005" w:tentative="1">
      <w:start w:val="1"/>
      <w:numFmt w:val="bullet"/>
      <w:lvlText w:val=""/>
      <w:lvlJc w:val="left"/>
      <w:pPr>
        <w:ind w:left="7480" w:hanging="360"/>
      </w:pPr>
      <w:rPr>
        <w:rFonts w:ascii="Wingdings" w:hAnsi="Wingdings" w:hint="default"/>
      </w:rPr>
    </w:lvl>
  </w:abstractNum>
  <w:abstractNum w:abstractNumId="12" w15:restartNumberingAfterBreak="0">
    <w:nsid w:val="42F72EAB"/>
    <w:multiLevelType w:val="hybridMultilevel"/>
    <w:tmpl w:val="30F6C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008A00"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pStyle w:val="FigureHeading"/>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6019D2"/>
    <w:multiLevelType w:val="hybridMultilevel"/>
    <w:tmpl w:val="80FCE9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C85564"/>
    <w:multiLevelType w:val="hybridMultilevel"/>
    <w:tmpl w:val="62F6E884"/>
    <w:lvl w:ilvl="0" w:tplc="0C09000F">
      <w:start w:val="1"/>
      <w:numFmt w:val="decimal"/>
      <w:lvlText w:val="%1."/>
      <w:lvlJc w:val="left"/>
      <w:pPr>
        <w:ind w:left="720" w:hanging="360"/>
      </w:pPr>
    </w:lvl>
    <w:lvl w:ilvl="1" w:tplc="0C090019" w:tentative="1">
      <w:start w:val="1"/>
      <w:numFmt w:val="lowerLetter"/>
      <w:pStyle w:val="2ndleve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6996B0E"/>
    <w:multiLevelType w:val="hybridMultilevel"/>
    <w:tmpl w:val="72661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323A8B"/>
    <w:multiLevelType w:val="hybridMultilevel"/>
    <w:tmpl w:val="495A9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B30802"/>
    <w:multiLevelType w:val="hybridMultilevel"/>
    <w:tmpl w:val="C5420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5"/>
  </w:num>
  <w:num w:numId="4">
    <w:abstractNumId w:val="9"/>
  </w:num>
  <w:num w:numId="5">
    <w:abstractNumId w:val="2"/>
  </w:num>
  <w:num w:numId="6">
    <w:abstractNumId w:val="3"/>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1"/>
  </w:num>
  <w:num w:numId="18">
    <w:abstractNumId w:val="1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0"/>
  </w:num>
  <w:num w:numId="24">
    <w:abstractNumId w:val="10"/>
  </w:num>
  <w:num w:numId="2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4"/>
  </w:num>
  <w:num w:numId="28">
    <w:abstractNumId w:val="8"/>
  </w:num>
  <w:num w:numId="29">
    <w:abstractNumId w:val="6"/>
  </w:num>
  <w:num w:numId="30">
    <w:abstractNumId w:val="14"/>
  </w:num>
  <w:num w:numId="31">
    <w:abstractNumId w:val="17"/>
  </w:num>
  <w:num w:numId="32">
    <w:abstractNumId w:val="7"/>
  </w:num>
  <w:num w:numId="33">
    <w:abstractNumId w:val="12"/>
  </w:num>
  <w:num w:numId="34">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37"/>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8FF"/>
    <w:rsid w:val="000042D6"/>
    <w:rsid w:val="00005785"/>
    <w:rsid w:val="00006876"/>
    <w:rsid w:val="000079AD"/>
    <w:rsid w:val="00007D1F"/>
    <w:rsid w:val="00010D84"/>
    <w:rsid w:val="00010F15"/>
    <w:rsid w:val="000117C1"/>
    <w:rsid w:val="00011CE3"/>
    <w:rsid w:val="00012183"/>
    <w:rsid w:val="00014B5A"/>
    <w:rsid w:val="00022E9C"/>
    <w:rsid w:val="00024E9D"/>
    <w:rsid w:val="00024EF0"/>
    <w:rsid w:val="00025631"/>
    <w:rsid w:val="00027B26"/>
    <w:rsid w:val="00030705"/>
    <w:rsid w:val="00032861"/>
    <w:rsid w:val="00032B77"/>
    <w:rsid w:val="00035E5B"/>
    <w:rsid w:val="00042285"/>
    <w:rsid w:val="00042FA1"/>
    <w:rsid w:val="00043256"/>
    <w:rsid w:val="00045A89"/>
    <w:rsid w:val="00046F8E"/>
    <w:rsid w:val="00047524"/>
    <w:rsid w:val="0005040E"/>
    <w:rsid w:val="0005087D"/>
    <w:rsid w:val="00050F9E"/>
    <w:rsid w:val="00052874"/>
    <w:rsid w:val="000529C2"/>
    <w:rsid w:val="000547EF"/>
    <w:rsid w:val="00056004"/>
    <w:rsid w:val="00057B0D"/>
    <w:rsid w:val="0006075A"/>
    <w:rsid w:val="00061C84"/>
    <w:rsid w:val="00062484"/>
    <w:rsid w:val="00063129"/>
    <w:rsid w:val="00064EE9"/>
    <w:rsid w:val="00065022"/>
    <w:rsid w:val="000653A2"/>
    <w:rsid w:val="00065A5E"/>
    <w:rsid w:val="00070681"/>
    <w:rsid w:val="00071148"/>
    <w:rsid w:val="000746F8"/>
    <w:rsid w:val="0007493D"/>
    <w:rsid w:val="00080A09"/>
    <w:rsid w:val="00081CEB"/>
    <w:rsid w:val="00082158"/>
    <w:rsid w:val="00083082"/>
    <w:rsid w:val="00085097"/>
    <w:rsid w:val="00087B2C"/>
    <w:rsid w:val="00087DBD"/>
    <w:rsid w:val="000902F7"/>
    <w:rsid w:val="00090663"/>
    <w:rsid w:val="00090718"/>
    <w:rsid w:val="00091B4E"/>
    <w:rsid w:val="00091CD7"/>
    <w:rsid w:val="00093DD5"/>
    <w:rsid w:val="000A03DD"/>
    <w:rsid w:val="000A1A09"/>
    <w:rsid w:val="000A47A8"/>
    <w:rsid w:val="000A553A"/>
    <w:rsid w:val="000A5B07"/>
    <w:rsid w:val="000A73FB"/>
    <w:rsid w:val="000B0D5F"/>
    <w:rsid w:val="000B1FB0"/>
    <w:rsid w:val="000B218A"/>
    <w:rsid w:val="000B474B"/>
    <w:rsid w:val="000B6AE8"/>
    <w:rsid w:val="000C014D"/>
    <w:rsid w:val="000C29B4"/>
    <w:rsid w:val="000C5CD8"/>
    <w:rsid w:val="000C7A69"/>
    <w:rsid w:val="000D1158"/>
    <w:rsid w:val="000D4703"/>
    <w:rsid w:val="000D60B2"/>
    <w:rsid w:val="000D7E63"/>
    <w:rsid w:val="000E12D4"/>
    <w:rsid w:val="000E39EF"/>
    <w:rsid w:val="000E58A3"/>
    <w:rsid w:val="000E620E"/>
    <w:rsid w:val="000F2063"/>
    <w:rsid w:val="000F3D28"/>
    <w:rsid w:val="000F63C4"/>
    <w:rsid w:val="00100200"/>
    <w:rsid w:val="0010263D"/>
    <w:rsid w:val="00102824"/>
    <w:rsid w:val="0010300A"/>
    <w:rsid w:val="001131F0"/>
    <w:rsid w:val="001139C7"/>
    <w:rsid w:val="001149F9"/>
    <w:rsid w:val="00114A3B"/>
    <w:rsid w:val="00114EBC"/>
    <w:rsid w:val="00120629"/>
    <w:rsid w:val="0012427E"/>
    <w:rsid w:val="001247E0"/>
    <w:rsid w:val="00126750"/>
    <w:rsid w:val="001271A1"/>
    <w:rsid w:val="00127DBA"/>
    <w:rsid w:val="0013033B"/>
    <w:rsid w:val="00131C0F"/>
    <w:rsid w:val="00132449"/>
    <w:rsid w:val="001325BF"/>
    <w:rsid w:val="00132F0D"/>
    <w:rsid w:val="00133713"/>
    <w:rsid w:val="00135B7E"/>
    <w:rsid w:val="00140FC9"/>
    <w:rsid w:val="001413C5"/>
    <w:rsid w:val="00141F56"/>
    <w:rsid w:val="0014231B"/>
    <w:rsid w:val="00142956"/>
    <w:rsid w:val="00142D10"/>
    <w:rsid w:val="00144868"/>
    <w:rsid w:val="001452BC"/>
    <w:rsid w:val="0014706B"/>
    <w:rsid w:val="00147A4D"/>
    <w:rsid w:val="00150D2A"/>
    <w:rsid w:val="00150E25"/>
    <w:rsid w:val="00150EA9"/>
    <w:rsid w:val="0015159C"/>
    <w:rsid w:val="00151650"/>
    <w:rsid w:val="00152BEF"/>
    <w:rsid w:val="00155B98"/>
    <w:rsid w:val="00156EA3"/>
    <w:rsid w:val="00157001"/>
    <w:rsid w:val="00157709"/>
    <w:rsid w:val="0015774A"/>
    <w:rsid w:val="00160603"/>
    <w:rsid w:val="00160E91"/>
    <w:rsid w:val="00161CDB"/>
    <w:rsid w:val="00162027"/>
    <w:rsid w:val="00165626"/>
    <w:rsid w:val="00166808"/>
    <w:rsid w:val="00167CF4"/>
    <w:rsid w:val="001701AB"/>
    <w:rsid w:val="0017147C"/>
    <w:rsid w:val="0017194E"/>
    <w:rsid w:val="001719D5"/>
    <w:rsid w:val="00172234"/>
    <w:rsid w:val="0017249B"/>
    <w:rsid w:val="00173EF9"/>
    <w:rsid w:val="0017773E"/>
    <w:rsid w:val="00177EC4"/>
    <w:rsid w:val="00181533"/>
    <w:rsid w:val="001824C8"/>
    <w:rsid w:val="00182698"/>
    <w:rsid w:val="0018399B"/>
    <w:rsid w:val="001864FD"/>
    <w:rsid w:val="001943DD"/>
    <w:rsid w:val="00196BAC"/>
    <w:rsid w:val="00196EE7"/>
    <w:rsid w:val="001A13F6"/>
    <w:rsid w:val="001A1403"/>
    <w:rsid w:val="001A2D6E"/>
    <w:rsid w:val="001A2D78"/>
    <w:rsid w:val="001A7249"/>
    <w:rsid w:val="001B00C7"/>
    <w:rsid w:val="001B385A"/>
    <w:rsid w:val="001B3904"/>
    <w:rsid w:val="001B3AEC"/>
    <w:rsid w:val="001B3E8D"/>
    <w:rsid w:val="001B5259"/>
    <w:rsid w:val="001B60D4"/>
    <w:rsid w:val="001B6F28"/>
    <w:rsid w:val="001B797B"/>
    <w:rsid w:val="001C17DF"/>
    <w:rsid w:val="001C25DD"/>
    <w:rsid w:val="001C4F4F"/>
    <w:rsid w:val="001C5AFE"/>
    <w:rsid w:val="001C6A10"/>
    <w:rsid w:val="001C6BA1"/>
    <w:rsid w:val="001C6F04"/>
    <w:rsid w:val="001D141C"/>
    <w:rsid w:val="001D1C4F"/>
    <w:rsid w:val="001D23CB"/>
    <w:rsid w:val="001D2740"/>
    <w:rsid w:val="001D2904"/>
    <w:rsid w:val="001D5136"/>
    <w:rsid w:val="001D652D"/>
    <w:rsid w:val="001D693F"/>
    <w:rsid w:val="001D6F9E"/>
    <w:rsid w:val="001E38FB"/>
    <w:rsid w:val="001E418C"/>
    <w:rsid w:val="001E51A5"/>
    <w:rsid w:val="001E52C2"/>
    <w:rsid w:val="001E7256"/>
    <w:rsid w:val="001E7F5F"/>
    <w:rsid w:val="001F0BE1"/>
    <w:rsid w:val="001F101A"/>
    <w:rsid w:val="001F1DFB"/>
    <w:rsid w:val="001F1F98"/>
    <w:rsid w:val="001F24EF"/>
    <w:rsid w:val="001F56C7"/>
    <w:rsid w:val="00202647"/>
    <w:rsid w:val="00203039"/>
    <w:rsid w:val="00204B17"/>
    <w:rsid w:val="002069D2"/>
    <w:rsid w:val="00210FA1"/>
    <w:rsid w:val="00211DA2"/>
    <w:rsid w:val="00213098"/>
    <w:rsid w:val="00213693"/>
    <w:rsid w:val="00215CCB"/>
    <w:rsid w:val="00216CF5"/>
    <w:rsid w:val="0022037B"/>
    <w:rsid w:val="00222C8D"/>
    <w:rsid w:val="00222E89"/>
    <w:rsid w:val="002256A8"/>
    <w:rsid w:val="00230E6B"/>
    <w:rsid w:val="00232B97"/>
    <w:rsid w:val="002336CA"/>
    <w:rsid w:val="0023523A"/>
    <w:rsid w:val="002358BD"/>
    <w:rsid w:val="0023757C"/>
    <w:rsid w:val="00237C47"/>
    <w:rsid w:val="00237F7A"/>
    <w:rsid w:val="002402E4"/>
    <w:rsid w:val="002421A0"/>
    <w:rsid w:val="00242B98"/>
    <w:rsid w:val="00243A6A"/>
    <w:rsid w:val="002445A1"/>
    <w:rsid w:val="002467A5"/>
    <w:rsid w:val="00246FE6"/>
    <w:rsid w:val="002470E3"/>
    <w:rsid w:val="002506CD"/>
    <w:rsid w:val="00251C82"/>
    <w:rsid w:val="0025207D"/>
    <w:rsid w:val="00252715"/>
    <w:rsid w:val="00254DE9"/>
    <w:rsid w:val="00256C12"/>
    <w:rsid w:val="002615D3"/>
    <w:rsid w:val="0026576B"/>
    <w:rsid w:val="002672F1"/>
    <w:rsid w:val="00271414"/>
    <w:rsid w:val="00271922"/>
    <w:rsid w:val="00273412"/>
    <w:rsid w:val="0027373F"/>
    <w:rsid w:val="00274998"/>
    <w:rsid w:val="00274ACF"/>
    <w:rsid w:val="002761B7"/>
    <w:rsid w:val="0028159B"/>
    <w:rsid w:val="00281DFD"/>
    <w:rsid w:val="00282671"/>
    <w:rsid w:val="00282861"/>
    <w:rsid w:val="002843E2"/>
    <w:rsid w:val="00286BD1"/>
    <w:rsid w:val="00287BAA"/>
    <w:rsid w:val="00293489"/>
    <w:rsid w:val="00293D8F"/>
    <w:rsid w:val="002945BF"/>
    <w:rsid w:val="00296F5E"/>
    <w:rsid w:val="002A1D2E"/>
    <w:rsid w:val="002A30F0"/>
    <w:rsid w:val="002A4C1B"/>
    <w:rsid w:val="002A6D08"/>
    <w:rsid w:val="002A6DF5"/>
    <w:rsid w:val="002B5234"/>
    <w:rsid w:val="002B6335"/>
    <w:rsid w:val="002B6406"/>
    <w:rsid w:val="002B6809"/>
    <w:rsid w:val="002C4231"/>
    <w:rsid w:val="002C7080"/>
    <w:rsid w:val="002D00B0"/>
    <w:rsid w:val="002D2364"/>
    <w:rsid w:val="002D2E16"/>
    <w:rsid w:val="002D7FF1"/>
    <w:rsid w:val="002E1970"/>
    <w:rsid w:val="002E2D84"/>
    <w:rsid w:val="002E36E3"/>
    <w:rsid w:val="002E45F0"/>
    <w:rsid w:val="002E574D"/>
    <w:rsid w:val="002E7778"/>
    <w:rsid w:val="002F0E6F"/>
    <w:rsid w:val="002F1176"/>
    <w:rsid w:val="002F34F9"/>
    <w:rsid w:val="002F5C51"/>
    <w:rsid w:val="002F6ADE"/>
    <w:rsid w:val="0030300D"/>
    <w:rsid w:val="00304B3E"/>
    <w:rsid w:val="00304D97"/>
    <w:rsid w:val="0031180A"/>
    <w:rsid w:val="00313127"/>
    <w:rsid w:val="00313304"/>
    <w:rsid w:val="00313E1F"/>
    <w:rsid w:val="003153A6"/>
    <w:rsid w:val="003155F4"/>
    <w:rsid w:val="00320309"/>
    <w:rsid w:val="00321D1E"/>
    <w:rsid w:val="0032530E"/>
    <w:rsid w:val="003258AB"/>
    <w:rsid w:val="00325A61"/>
    <w:rsid w:val="00326976"/>
    <w:rsid w:val="00327CC4"/>
    <w:rsid w:val="003311D7"/>
    <w:rsid w:val="00332B8B"/>
    <w:rsid w:val="0033521E"/>
    <w:rsid w:val="003374E1"/>
    <w:rsid w:val="00337CA2"/>
    <w:rsid w:val="003403DB"/>
    <w:rsid w:val="003404A4"/>
    <w:rsid w:val="00342B27"/>
    <w:rsid w:val="00346354"/>
    <w:rsid w:val="00347104"/>
    <w:rsid w:val="00350852"/>
    <w:rsid w:val="0035096E"/>
    <w:rsid w:val="0035219F"/>
    <w:rsid w:val="00354B7E"/>
    <w:rsid w:val="00355D01"/>
    <w:rsid w:val="00356A84"/>
    <w:rsid w:val="00356C24"/>
    <w:rsid w:val="00360B81"/>
    <w:rsid w:val="0036374D"/>
    <w:rsid w:val="00364B49"/>
    <w:rsid w:val="00366283"/>
    <w:rsid w:val="0036708F"/>
    <w:rsid w:val="0036777E"/>
    <w:rsid w:val="003701FA"/>
    <w:rsid w:val="00372A26"/>
    <w:rsid w:val="0037484C"/>
    <w:rsid w:val="003749CD"/>
    <w:rsid w:val="00374A6C"/>
    <w:rsid w:val="00382718"/>
    <w:rsid w:val="00382B3B"/>
    <w:rsid w:val="00382EFB"/>
    <w:rsid w:val="00385ED2"/>
    <w:rsid w:val="0038749E"/>
    <w:rsid w:val="00390A15"/>
    <w:rsid w:val="00391F86"/>
    <w:rsid w:val="003923FB"/>
    <w:rsid w:val="00392998"/>
    <w:rsid w:val="00393E5F"/>
    <w:rsid w:val="00393F00"/>
    <w:rsid w:val="003945C0"/>
    <w:rsid w:val="003970DA"/>
    <w:rsid w:val="00397261"/>
    <w:rsid w:val="003A25A7"/>
    <w:rsid w:val="003A4229"/>
    <w:rsid w:val="003B2E88"/>
    <w:rsid w:val="003B36BB"/>
    <w:rsid w:val="003B465D"/>
    <w:rsid w:val="003B535C"/>
    <w:rsid w:val="003B6445"/>
    <w:rsid w:val="003C11E6"/>
    <w:rsid w:val="003C2120"/>
    <w:rsid w:val="003C29BB"/>
    <w:rsid w:val="003C2AE5"/>
    <w:rsid w:val="003C311A"/>
    <w:rsid w:val="003D030E"/>
    <w:rsid w:val="003D040D"/>
    <w:rsid w:val="003D1F49"/>
    <w:rsid w:val="003D2061"/>
    <w:rsid w:val="003D27F1"/>
    <w:rsid w:val="003D3C1B"/>
    <w:rsid w:val="003E1FE3"/>
    <w:rsid w:val="003E32A7"/>
    <w:rsid w:val="003E40A0"/>
    <w:rsid w:val="003E454D"/>
    <w:rsid w:val="003E65C9"/>
    <w:rsid w:val="003F1910"/>
    <w:rsid w:val="003F1A33"/>
    <w:rsid w:val="003F1BF5"/>
    <w:rsid w:val="003F26C7"/>
    <w:rsid w:val="003F2914"/>
    <w:rsid w:val="003F3072"/>
    <w:rsid w:val="003F3BEC"/>
    <w:rsid w:val="003F69E5"/>
    <w:rsid w:val="003F71A8"/>
    <w:rsid w:val="004024E4"/>
    <w:rsid w:val="00406289"/>
    <w:rsid w:val="00406578"/>
    <w:rsid w:val="004074EF"/>
    <w:rsid w:val="00407981"/>
    <w:rsid w:val="004102C3"/>
    <w:rsid w:val="00410532"/>
    <w:rsid w:val="0041307C"/>
    <w:rsid w:val="00413699"/>
    <w:rsid w:val="004167B4"/>
    <w:rsid w:val="004167BC"/>
    <w:rsid w:val="00416E51"/>
    <w:rsid w:val="0042032D"/>
    <w:rsid w:val="004225DC"/>
    <w:rsid w:val="00423A41"/>
    <w:rsid w:val="004255E1"/>
    <w:rsid w:val="00425FBA"/>
    <w:rsid w:val="0043056A"/>
    <w:rsid w:val="00430D7E"/>
    <w:rsid w:val="00432332"/>
    <w:rsid w:val="00432368"/>
    <w:rsid w:val="00433B04"/>
    <w:rsid w:val="004346B7"/>
    <w:rsid w:val="0043784D"/>
    <w:rsid w:val="00440256"/>
    <w:rsid w:val="004407EA"/>
    <w:rsid w:val="00440E22"/>
    <w:rsid w:val="004417A5"/>
    <w:rsid w:val="0044340D"/>
    <w:rsid w:val="0044547D"/>
    <w:rsid w:val="00445A2C"/>
    <w:rsid w:val="00446F93"/>
    <w:rsid w:val="00451A74"/>
    <w:rsid w:val="00452945"/>
    <w:rsid w:val="004552AB"/>
    <w:rsid w:val="0045622C"/>
    <w:rsid w:val="00463D56"/>
    <w:rsid w:val="004648A0"/>
    <w:rsid w:val="00464FB1"/>
    <w:rsid w:val="004650F6"/>
    <w:rsid w:val="00467185"/>
    <w:rsid w:val="00467736"/>
    <w:rsid w:val="0047050C"/>
    <w:rsid w:val="004716F7"/>
    <w:rsid w:val="004750DB"/>
    <w:rsid w:val="0047601C"/>
    <w:rsid w:val="004779DC"/>
    <w:rsid w:val="00480254"/>
    <w:rsid w:val="00480F21"/>
    <w:rsid w:val="0048108E"/>
    <w:rsid w:val="0048537F"/>
    <w:rsid w:val="00485C8E"/>
    <w:rsid w:val="00485F9B"/>
    <w:rsid w:val="004874E5"/>
    <w:rsid w:val="00487885"/>
    <w:rsid w:val="00490A21"/>
    <w:rsid w:val="00490A65"/>
    <w:rsid w:val="0049116C"/>
    <w:rsid w:val="00492BCD"/>
    <w:rsid w:val="004930C9"/>
    <w:rsid w:val="00493F62"/>
    <w:rsid w:val="00494832"/>
    <w:rsid w:val="004957C2"/>
    <w:rsid w:val="00495AF1"/>
    <w:rsid w:val="004971D5"/>
    <w:rsid w:val="00497A89"/>
    <w:rsid w:val="004A1164"/>
    <w:rsid w:val="004A4210"/>
    <w:rsid w:val="004A4CED"/>
    <w:rsid w:val="004A554A"/>
    <w:rsid w:val="004A6BE6"/>
    <w:rsid w:val="004B0828"/>
    <w:rsid w:val="004B0F3D"/>
    <w:rsid w:val="004B3304"/>
    <w:rsid w:val="004B3DF1"/>
    <w:rsid w:val="004B406A"/>
    <w:rsid w:val="004B4AE1"/>
    <w:rsid w:val="004B4BC0"/>
    <w:rsid w:val="004B5555"/>
    <w:rsid w:val="004C0484"/>
    <w:rsid w:val="004C21C6"/>
    <w:rsid w:val="004C4B31"/>
    <w:rsid w:val="004C777E"/>
    <w:rsid w:val="004C7C32"/>
    <w:rsid w:val="004D16A4"/>
    <w:rsid w:val="004D4A0D"/>
    <w:rsid w:val="004D4FFE"/>
    <w:rsid w:val="004D6235"/>
    <w:rsid w:val="004D7224"/>
    <w:rsid w:val="004D7BFA"/>
    <w:rsid w:val="004E2070"/>
    <w:rsid w:val="004E2724"/>
    <w:rsid w:val="004E3587"/>
    <w:rsid w:val="004E363C"/>
    <w:rsid w:val="004E5F01"/>
    <w:rsid w:val="004E6682"/>
    <w:rsid w:val="004E6D8A"/>
    <w:rsid w:val="004F15EF"/>
    <w:rsid w:val="004F22FE"/>
    <w:rsid w:val="004F51DF"/>
    <w:rsid w:val="004F774D"/>
    <w:rsid w:val="005003BA"/>
    <w:rsid w:val="005013B0"/>
    <w:rsid w:val="005015E4"/>
    <w:rsid w:val="005017A6"/>
    <w:rsid w:val="0050291D"/>
    <w:rsid w:val="005064CD"/>
    <w:rsid w:val="00506C00"/>
    <w:rsid w:val="00511016"/>
    <w:rsid w:val="00514137"/>
    <w:rsid w:val="005159B3"/>
    <w:rsid w:val="00522C03"/>
    <w:rsid w:val="005234CB"/>
    <w:rsid w:val="00525EA4"/>
    <w:rsid w:val="0052791F"/>
    <w:rsid w:val="00527AC6"/>
    <w:rsid w:val="00531794"/>
    <w:rsid w:val="005326F8"/>
    <w:rsid w:val="00532CFF"/>
    <w:rsid w:val="00532EF8"/>
    <w:rsid w:val="0053454B"/>
    <w:rsid w:val="00536880"/>
    <w:rsid w:val="00540AD0"/>
    <w:rsid w:val="00543A76"/>
    <w:rsid w:val="005452AF"/>
    <w:rsid w:val="00546DF5"/>
    <w:rsid w:val="00550913"/>
    <w:rsid w:val="005523D1"/>
    <w:rsid w:val="00554A66"/>
    <w:rsid w:val="00555173"/>
    <w:rsid w:val="0055532E"/>
    <w:rsid w:val="00555BC3"/>
    <w:rsid w:val="00557C8E"/>
    <w:rsid w:val="00561B2B"/>
    <w:rsid w:val="0056357E"/>
    <w:rsid w:val="00564952"/>
    <w:rsid w:val="00571AB1"/>
    <w:rsid w:val="00577E1C"/>
    <w:rsid w:val="00580DB1"/>
    <w:rsid w:val="005814AC"/>
    <w:rsid w:val="00584676"/>
    <w:rsid w:val="005854B7"/>
    <w:rsid w:val="005870D6"/>
    <w:rsid w:val="00587AB1"/>
    <w:rsid w:val="0059070B"/>
    <w:rsid w:val="0059283C"/>
    <w:rsid w:val="005930A1"/>
    <w:rsid w:val="005943CF"/>
    <w:rsid w:val="00594979"/>
    <w:rsid w:val="005A0D95"/>
    <w:rsid w:val="005A224B"/>
    <w:rsid w:val="005A2C96"/>
    <w:rsid w:val="005A6809"/>
    <w:rsid w:val="005B1225"/>
    <w:rsid w:val="005B17D8"/>
    <w:rsid w:val="005B1D82"/>
    <w:rsid w:val="005B4077"/>
    <w:rsid w:val="005B55EF"/>
    <w:rsid w:val="005C0661"/>
    <w:rsid w:val="005C28B0"/>
    <w:rsid w:val="005C2F01"/>
    <w:rsid w:val="005C2F23"/>
    <w:rsid w:val="005C5F3C"/>
    <w:rsid w:val="005D01BE"/>
    <w:rsid w:val="005D0BEF"/>
    <w:rsid w:val="005D1177"/>
    <w:rsid w:val="005D1D13"/>
    <w:rsid w:val="005D5460"/>
    <w:rsid w:val="005D5E63"/>
    <w:rsid w:val="005D5EBD"/>
    <w:rsid w:val="005E08CD"/>
    <w:rsid w:val="005E3025"/>
    <w:rsid w:val="005E37E8"/>
    <w:rsid w:val="005E74C5"/>
    <w:rsid w:val="005F219D"/>
    <w:rsid w:val="005F2437"/>
    <w:rsid w:val="005F318A"/>
    <w:rsid w:val="005F7710"/>
    <w:rsid w:val="006004F7"/>
    <w:rsid w:val="00600F10"/>
    <w:rsid w:val="00603261"/>
    <w:rsid w:val="00607597"/>
    <w:rsid w:val="00610414"/>
    <w:rsid w:val="00610F93"/>
    <w:rsid w:val="00611A9F"/>
    <w:rsid w:val="006127CC"/>
    <w:rsid w:val="006243C6"/>
    <w:rsid w:val="00625B13"/>
    <w:rsid w:val="006273BC"/>
    <w:rsid w:val="00627CA2"/>
    <w:rsid w:val="00631701"/>
    <w:rsid w:val="00632009"/>
    <w:rsid w:val="00633CF1"/>
    <w:rsid w:val="00635A6C"/>
    <w:rsid w:val="00635C7A"/>
    <w:rsid w:val="00636603"/>
    <w:rsid w:val="00637091"/>
    <w:rsid w:val="00640612"/>
    <w:rsid w:val="006411BA"/>
    <w:rsid w:val="0064124E"/>
    <w:rsid w:val="006416CF"/>
    <w:rsid w:val="00642169"/>
    <w:rsid w:val="00642839"/>
    <w:rsid w:val="00643920"/>
    <w:rsid w:val="006457F8"/>
    <w:rsid w:val="00645A17"/>
    <w:rsid w:val="00645CCB"/>
    <w:rsid w:val="00646180"/>
    <w:rsid w:val="0064700E"/>
    <w:rsid w:val="006478CB"/>
    <w:rsid w:val="00650B88"/>
    <w:rsid w:val="00652C58"/>
    <w:rsid w:val="006530EF"/>
    <w:rsid w:val="00653FEF"/>
    <w:rsid w:val="006554DD"/>
    <w:rsid w:val="00660436"/>
    <w:rsid w:val="0066062D"/>
    <w:rsid w:val="00660951"/>
    <w:rsid w:val="00663250"/>
    <w:rsid w:val="006636E2"/>
    <w:rsid w:val="00664505"/>
    <w:rsid w:val="00666273"/>
    <w:rsid w:val="00667FA9"/>
    <w:rsid w:val="00672023"/>
    <w:rsid w:val="0067233D"/>
    <w:rsid w:val="00672B2E"/>
    <w:rsid w:val="006745AE"/>
    <w:rsid w:val="00676870"/>
    <w:rsid w:val="00676AF3"/>
    <w:rsid w:val="00677895"/>
    <w:rsid w:val="00677BEF"/>
    <w:rsid w:val="0068056C"/>
    <w:rsid w:val="006814A3"/>
    <w:rsid w:val="00682AFC"/>
    <w:rsid w:val="00683344"/>
    <w:rsid w:val="00684FC9"/>
    <w:rsid w:val="00686FFF"/>
    <w:rsid w:val="0069072B"/>
    <w:rsid w:val="0069174B"/>
    <w:rsid w:val="006922B3"/>
    <w:rsid w:val="00693340"/>
    <w:rsid w:val="006936A0"/>
    <w:rsid w:val="00694360"/>
    <w:rsid w:val="00695FA0"/>
    <w:rsid w:val="006A04C7"/>
    <w:rsid w:val="006A4ACE"/>
    <w:rsid w:val="006B05E3"/>
    <w:rsid w:val="006B09BC"/>
    <w:rsid w:val="006B133B"/>
    <w:rsid w:val="006B6D5D"/>
    <w:rsid w:val="006B7B5A"/>
    <w:rsid w:val="006C0801"/>
    <w:rsid w:val="006C0C2C"/>
    <w:rsid w:val="006C1EAA"/>
    <w:rsid w:val="006C216F"/>
    <w:rsid w:val="006C45D4"/>
    <w:rsid w:val="006C6F0D"/>
    <w:rsid w:val="006D1D09"/>
    <w:rsid w:val="006D2042"/>
    <w:rsid w:val="006D66E3"/>
    <w:rsid w:val="006D69C5"/>
    <w:rsid w:val="006D7855"/>
    <w:rsid w:val="006D7BDA"/>
    <w:rsid w:val="006D7DE6"/>
    <w:rsid w:val="006E010C"/>
    <w:rsid w:val="006E1003"/>
    <w:rsid w:val="006E16BF"/>
    <w:rsid w:val="006E18F0"/>
    <w:rsid w:val="006E38AF"/>
    <w:rsid w:val="006E3908"/>
    <w:rsid w:val="006E4F93"/>
    <w:rsid w:val="006F463B"/>
    <w:rsid w:val="006F4CAA"/>
    <w:rsid w:val="00700135"/>
    <w:rsid w:val="00700FBE"/>
    <w:rsid w:val="00701473"/>
    <w:rsid w:val="00702703"/>
    <w:rsid w:val="00705180"/>
    <w:rsid w:val="00706408"/>
    <w:rsid w:val="00711605"/>
    <w:rsid w:val="00711DF6"/>
    <w:rsid w:val="007125E1"/>
    <w:rsid w:val="00712A56"/>
    <w:rsid w:val="0071414C"/>
    <w:rsid w:val="00716FBC"/>
    <w:rsid w:val="00717090"/>
    <w:rsid w:val="00720739"/>
    <w:rsid w:val="00721F5A"/>
    <w:rsid w:val="0072253E"/>
    <w:rsid w:val="007233AC"/>
    <w:rsid w:val="00723E1F"/>
    <w:rsid w:val="0072443D"/>
    <w:rsid w:val="007247E5"/>
    <w:rsid w:val="007248B7"/>
    <w:rsid w:val="007254CA"/>
    <w:rsid w:val="00730C60"/>
    <w:rsid w:val="00730CF8"/>
    <w:rsid w:val="007319B5"/>
    <w:rsid w:val="00731A90"/>
    <w:rsid w:val="00732608"/>
    <w:rsid w:val="00733251"/>
    <w:rsid w:val="00736DCA"/>
    <w:rsid w:val="007377F8"/>
    <w:rsid w:val="007403DE"/>
    <w:rsid w:val="00742301"/>
    <w:rsid w:val="0074264B"/>
    <w:rsid w:val="0074298B"/>
    <w:rsid w:val="00745C47"/>
    <w:rsid w:val="0075003D"/>
    <w:rsid w:val="00751D97"/>
    <w:rsid w:val="00752C55"/>
    <w:rsid w:val="00754C12"/>
    <w:rsid w:val="007562D4"/>
    <w:rsid w:val="007573FA"/>
    <w:rsid w:val="00761DBF"/>
    <w:rsid w:val="00761FCF"/>
    <w:rsid w:val="00765193"/>
    <w:rsid w:val="00765503"/>
    <w:rsid w:val="00767B7E"/>
    <w:rsid w:val="00771D7D"/>
    <w:rsid w:val="00773C68"/>
    <w:rsid w:val="007745B7"/>
    <w:rsid w:val="007750C8"/>
    <w:rsid w:val="00776538"/>
    <w:rsid w:val="00780164"/>
    <w:rsid w:val="007802BE"/>
    <w:rsid w:val="00780EEF"/>
    <w:rsid w:val="0078134C"/>
    <w:rsid w:val="00781C47"/>
    <w:rsid w:val="00781E08"/>
    <w:rsid w:val="007837C7"/>
    <w:rsid w:val="00784B44"/>
    <w:rsid w:val="00785465"/>
    <w:rsid w:val="00787656"/>
    <w:rsid w:val="00791767"/>
    <w:rsid w:val="0079268A"/>
    <w:rsid w:val="00794859"/>
    <w:rsid w:val="007957BE"/>
    <w:rsid w:val="00797BBC"/>
    <w:rsid w:val="00797C88"/>
    <w:rsid w:val="007A1013"/>
    <w:rsid w:val="007A4CA9"/>
    <w:rsid w:val="007A7D19"/>
    <w:rsid w:val="007A7EC2"/>
    <w:rsid w:val="007B042D"/>
    <w:rsid w:val="007B05BB"/>
    <w:rsid w:val="007B6E0A"/>
    <w:rsid w:val="007B764C"/>
    <w:rsid w:val="007C0B51"/>
    <w:rsid w:val="007C1077"/>
    <w:rsid w:val="007C118A"/>
    <w:rsid w:val="007C636F"/>
    <w:rsid w:val="007D39EB"/>
    <w:rsid w:val="007D7099"/>
    <w:rsid w:val="007E5015"/>
    <w:rsid w:val="007E6ADE"/>
    <w:rsid w:val="007E6B85"/>
    <w:rsid w:val="007E74E1"/>
    <w:rsid w:val="007E77A8"/>
    <w:rsid w:val="007F28F2"/>
    <w:rsid w:val="007F491C"/>
    <w:rsid w:val="00803BF8"/>
    <w:rsid w:val="00804C84"/>
    <w:rsid w:val="008061C9"/>
    <w:rsid w:val="008066D8"/>
    <w:rsid w:val="00807648"/>
    <w:rsid w:val="00811A18"/>
    <w:rsid w:val="00813711"/>
    <w:rsid w:val="00815B90"/>
    <w:rsid w:val="00821E64"/>
    <w:rsid w:val="008263C2"/>
    <w:rsid w:val="008307DB"/>
    <w:rsid w:val="0083211E"/>
    <w:rsid w:val="00833398"/>
    <w:rsid w:val="008357F7"/>
    <w:rsid w:val="00835D9D"/>
    <w:rsid w:val="00835FC9"/>
    <w:rsid w:val="008368F8"/>
    <w:rsid w:val="008370E3"/>
    <w:rsid w:val="0083716F"/>
    <w:rsid w:val="00837198"/>
    <w:rsid w:val="008418FA"/>
    <w:rsid w:val="00841ADE"/>
    <w:rsid w:val="00842959"/>
    <w:rsid w:val="00843390"/>
    <w:rsid w:val="00844101"/>
    <w:rsid w:val="00847C01"/>
    <w:rsid w:val="00847C95"/>
    <w:rsid w:val="0085235A"/>
    <w:rsid w:val="00853F94"/>
    <w:rsid w:val="00854138"/>
    <w:rsid w:val="00854410"/>
    <w:rsid w:val="008544DF"/>
    <w:rsid w:val="00854A1D"/>
    <w:rsid w:val="00857E46"/>
    <w:rsid w:val="00860AAD"/>
    <w:rsid w:val="00861AA6"/>
    <w:rsid w:val="008708F3"/>
    <w:rsid w:val="00871354"/>
    <w:rsid w:val="00873611"/>
    <w:rsid w:val="00873C8F"/>
    <w:rsid w:val="00874FB3"/>
    <w:rsid w:val="00876C8F"/>
    <w:rsid w:val="00880BE3"/>
    <w:rsid w:val="00881359"/>
    <w:rsid w:val="00881EE1"/>
    <w:rsid w:val="00882093"/>
    <w:rsid w:val="00882588"/>
    <w:rsid w:val="00884ADE"/>
    <w:rsid w:val="008856CF"/>
    <w:rsid w:val="00885864"/>
    <w:rsid w:val="00885E5C"/>
    <w:rsid w:val="00886A62"/>
    <w:rsid w:val="00890A1D"/>
    <w:rsid w:val="00893334"/>
    <w:rsid w:val="0089383B"/>
    <w:rsid w:val="0089534B"/>
    <w:rsid w:val="0089553E"/>
    <w:rsid w:val="0089616F"/>
    <w:rsid w:val="00897037"/>
    <w:rsid w:val="008977E3"/>
    <w:rsid w:val="00897907"/>
    <w:rsid w:val="008A0232"/>
    <w:rsid w:val="008A3FF9"/>
    <w:rsid w:val="008A433B"/>
    <w:rsid w:val="008B0470"/>
    <w:rsid w:val="008B06C5"/>
    <w:rsid w:val="008B164E"/>
    <w:rsid w:val="008B502A"/>
    <w:rsid w:val="008B57D8"/>
    <w:rsid w:val="008B7A65"/>
    <w:rsid w:val="008C008E"/>
    <w:rsid w:val="008C1219"/>
    <w:rsid w:val="008C123E"/>
    <w:rsid w:val="008C137D"/>
    <w:rsid w:val="008C22DD"/>
    <w:rsid w:val="008C3ED0"/>
    <w:rsid w:val="008C5E94"/>
    <w:rsid w:val="008D196A"/>
    <w:rsid w:val="008D2DA6"/>
    <w:rsid w:val="008D3A80"/>
    <w:rsid w:val="008D60AA"/>
    <w:rsid w:val="008D7982"/>
    <w:rsid w:val="008E3EF2"/>
    <w:rsid w:val="008E42DA"/>
    <w:rsid w:val="008E51C9"/>
    <w:rsid w:val="008E5B02"/>
    <w:rsid w:val="008E5BEB"/>
    <w:rsid w:val="008E6306"/>
    <w:rsid w:val="008E69BF"/>
    <w:rsid w:val="008F68F7"/>
    <w:rsid w:val="009005A6"/>
    <w:rsid w:val="009006CF"/>
    <w:rsid w:val="00900C71"/>
    <w:rsid w:val="00900E01"/>
    <w:rsid w:val="00902A1C"/>
    <w:rsid w:val="009037B6"/>
    <w:rsid w:val="0090616A"/>
    <w:rsid w:val="00906A0B"/>
    <w:rsid w:val="00906CBE"/>
    <w:rsid w:val="00906F64"/>
    <w:rsid w:val="00907F31"/>
    <w:rsid w:val="00910024"/>
    <w:rsid w:val="00910384"/>
    <w:rsid w:val="009121A0"/>
    <w:rsid w:val="0091643D"/>
    <w:rsid w:val="00916611"/>
    <w:rsid w:val="00916E33"/>
    <w:rsid w:val="0091742C"/>
    <w:rsid w:val="0092093B"/>
    <w:rsid w:val="009257F0"/>
    <w:rsid w:val="009264C1"/>
    <w:rsid w:val="00927533"/>
    <w:rsid w:val="00930669"/>
    <w:rsid w:val="00932C33"/>
    <w:rsid w:val="00935410"/>
    <w:rsid w:val="009427A1"/>
    <w:rsid w:val="00942FFE"/>
    <w:rsid w:val="00954041"/>
    <w:rsid w:val="009551E0"/>
    <w:rsid w:val="0095654E"/>
    <w:rsid w:val="00956F3C"/>
    <w:rsid w:val="00957D62"/>
    <w:rsid w:val="00964A8C"/>
    <w:rsid w:val="009662A6"/>
    <w:rsid w:val="00971197"/>
    <w:rsid w:val="00971C34"/>
    <w:rsid w:val="00972488"/>
    <w:rsid w:val="009726D0"/>
    <w:rsid w:val="0097421D"/>
    <w:rsid w:val="009750E4"/>
    <w:rsid w:val="00976117"/>
    <w:rsid w:val="00976A23"/>
    <w:rsid w:val="0097769A"/>
    <w:rsid w:val="009800BC"/>
    <w:rsid w:val="00980206"/>
    <w:rsid w:val="009816F6"/>
    <w:rsid w:val="0098262B"/>
    <w:rsid w:val="00983E4D"/>
    <w:rsid w:val="0098405A"/>
    <w:rsid w:val="009873D9"/>
    <w:rsid w:val="00990059"/>
    <w:rsid w:val="009900F0"/>
    <w:rsid w:val="00990B9B"/>
    <w:rsid w:val="00991769"/>
    <w:rsid w:val="00993236"/>
    <w:rsid w:val="00993D8C"/>
    <w:rsid w:val="00994E3D"/>
    <w:rsid w:val="009A297E"/>
    <w:rsid w:val="009A6127"/>
    <w:rsid w:val="009B0CC1"/>
    <w:rsid w:val="009B1AB1"/>
    <w:rsid w:val="009B44D6"/>
    <w:rsid w:val="009B713C"/>
    <w:rsid w:val="009C0F18"/>
    <w:rsid w:val="009C106C"/>
    <w:rsid w:val="009C12C6"/>
    <w:rsid w:val="009C2555"/>
    <w:rsid w:val="009C7778"/>
    <w:rsid w:val="009D06AE"/>
    <w:rsid w:val="009D09E2"/>
    <w:rsid w:val="009D1E42"/>
    <w:rsid w:val="009D1FA3"/>
    <w:rsid w:val="009D5892"/>
    <w:rsid w:val="009D5C24"/>
    <w:rsid w:val="009D7148"/>
    <w:rsid w:val="009D7218"/>
    <w:rsid w:val="009E02FD"/>
    <w:rsid w:val="009E242E"/>
    <w:rsid w:val="009E34CE"/>
    <w:rsid w:val="009E44E0"/>
    <w:rsid w:val="009E4C74"/>
    <w:rsid w:val="009E62B6"/>
    <w:rsid w:val="009F15D9"/>
    <w:rsid w:val="009F35DA"/>
    <w:rsid w:val="009F43D0"/>
    <w:rsid w:val="009F4E7B"/>
    <w:rsid w:val="00A00568"/>
    <w:rsid w:val="00A00884"/>
    <w:rsid w:val="00A018A3"/>
    <w:rsid w:val="00A02F62"/>
    <w:rsid w:val="00A02FA3"/>
    <w:rsid w:val="00A030C3"/>
    <w:rsid w:val="00A04370"/>
    <w:rsid w:val="00A04467"/>
    <w:rsid w:val="00A04729"/>
    <w:rsid w:val="00A04803"/>
    <w:rsid w:val="00A05D6A"/>
    <w:rsid w:val="00A07EEA"/>
    <w:rsid w:val="00A10147"/>
    <w:rsid w:val="00A11331"/>
    <w:rsid w:val="00A121BD"/>
    <w:rsid w:val="00A131E6"/>
    <w:rsid w:val="00A13556"/>
    <w:rsid w:val="00A13843"/>
    <w:rsid w:val="00A146A5"/>
    <w:rsid w:val="00A16134"/>
    <w:rsid w:val="00A17466"/>
    <w:rsid w:val="00A175F9"/>
    <w:rsid w:val="00A204B3"/>
    <w:rsid w:val="00A20576"/>
    <w:rsid w:val="00A21289"/>
    <w:rsid w:val="00A21593"/>
    <w:rsid w:val="00A221F7"/>
    <w:rsid w:val="00A22C21"/>
    <w:rsid w:val="00A25A3D"/>
    <w:rsid w:val="00A2604E"/>
    <w:rsid w:val="00A31041"/>
    <w:rsid w:val="00A31CCE"/>
    <w:rsid w:val="00A33AB5"/>
    <w:rsid w:val="00A33C95"/>
    <w:rsid w:val="00A33F4E"/>
    <w:rsid w:val="00A34FF3"/>
    <w:rsid w:val="00A35351"/>
    <w:rsid w:val="00A361C7"/>
    <w:rsid w:val="00A36723"/>
    <w:rsid w:val="00A46DF5"/>
    <w:rsid w:val="00A5149A"/>
    <w:rsid w:val="00A53650"/>
    <w:rsid w:val="00A53E51"/>
    <w:rsid w:val="00A57183"/>
    <w:rsid w:val="00A60693"/>
    <w:rsid w:val="00A6196D"/>
    <w:rsid w:val="00A619C0"/>
    <w:rsid w:val="00A61ADF"/>
    <w:rsid w:val="00A624CB"/>
    <w:rsid w:val="00A62AC0"/>
    <w:rsid w:val="00A62C0B"/>
    <w:rsid w:val="00A67CFE"/>
    <w:rsid w:val="00A713E1"/>
    <w:rsid w:val="00A72387"/>
    <w:rsid w:val="00A76946"/>
    <w:rsid w:val="00A76BD2"/>
    <w:rsid w:val="00A76E3B"/>
    <w:rsid w:val="00A77D6A"/>
    <w:rsid w:val="00A8267D"/>
    <w:rsid w:val="00A82E14"/>
    <w:rsid w:val="00A85487"/>
    <w:rsid w:val="00A867DA"/>
    <w:rsid w:val="00A8688E"/>
    <w:rsid w:val="00A8722B"/>
    <w:rsid w:val="00A901E9"/>
    <w:rsid w:val="00A917B6"/>
    <w:rsid w:val="00A91831"/>
    <w:rsid w:val="00A91B3B"/>
    <w:rsid w:val="00A93B4F"/>
    <w:rsid w:val="00A94C01"/>
    <w:rsid w:val="00A94F7A"/>
    <w:rsid w:val="00A95D3B"/>
    <w:rsid w:val="00A97341"/>
    <w:rsid w:val="00A97DAC"/>
    <w:rsid w:val="00AA0081"/>
    <w:rsid w:val="00AA1542"/>
    <w:rsid w:val="00AA4E4D"/>
    <w:rsid w:val="00AB09ED"/>
    <w:rsid w:val="00AB225A"/>
    <w:rsid w:val="00AB3DC0"/>
    <w:rsid w:val="00AB4CBB"/>
    <w:rsid w:val="00AB5895"/>
    <w:rsid w:val="00AC125E"/>
    <w:rsid w:val="00AC3F1D"/>
    <w:rsid w:val="00AC45DF"/>
    <w:rsid w:val="00AC474D"/>
    <w:rsid w:val="00AC4DFD"/>
    <w:rsid w:val="00AC5663"/>
    <w:rsid w:val="00AC58FD"/>
    <w:rsid w:val="00AC5C7F"/>
    <w:rsid w:val="00AC790F"/>
    <w:rsid w:val="00AD0AFD"/>
    <w:rsid w:val="00AD0F6D"/>
    <w:rsid w:val="00AD1166"/>
    <w:rsid w:val="00AD19D2"/>
    <w:rsid w:val="00AD1A96"/>
    <w:rsid w:val="00AD3042"/>
    <w:rsid w:val="00AD418C"/>
    <w:rsid w:val="00AD793A"/>
    <w:rsid w:val="00AE0120"/>
    <w:rsid w:val="00AE3038"/>
    <w:rsid w:val="00AE3D4A"/>
    <w:rsid w:val="00AE3DDF"/>
    <w:rsid w:val="00AE5956"/>
    <w:rsid w:val="00AE619F"/>
    <w:rsid w:val="00AE63A4"/>
    <w:rsid w:val="00AE7261"/>
    <w:rsid w:val="00AE7403"/>
    <w:rsid w:val="00AE7A88"/>
    <w:rsid w:val="00AF16ED"/>
    <w:rsid w:val="00AF2A56"/>
    <w:rsid w:val="00AF38EF"/>
    <w:rsid w:val="00AF4FA3"/>
    <w:rsid w:val="00AF63AB"/>
    <w:rsid w:val="00B01784"/>
    <w:rsid w:val="00B0388B"/>
    <w:rsid w:val="00B03BEE"/>
    <w:rsid w:val="00B0517E"/>
    <w:rsid w:val="00B05855"/>
    <w:rsid w:val="00B06B5E"/>
    <w:rsid w:val="00B1001F"/>
    <w:rsid w:val="00B102C9"/>
    <w:rsid w:val="00B11314"/>
    <w:rsid w:val="00B113E3"/>
    <w:rsid w:val="00B1156A"/>
    <w:rsid w:val="00B138E3"/>
    <w:rsid w:val="00B13FB5"/>
    <w:rsid w:val="00B164A6"/>
    <w:rsid w:val="00B166E2"/>
    <w:rsid w:val="00B178FA"/>
    <w:rsid w:val="00B17D8E"/>
    <w:rsid w:val="00B207C3"/>
    <w:rsid w:val="00B227E5"/>
    <w:rsid w:val="00B22C9E"/>
    <w:rsid w:val="00B23267"/>
    <w:rsid w:val="00B23906"/>
    <w:rsid w:val="00B24125"/>
    <w:rsid w:val="00B257BF"/>
    <w:rsid w:val="00B27149"/>
    <w:rsid w:val="00B30BE7"/>
    <w:rsid w:val="00B335BD"/>
    <w:rsid w:val="00B35B4D"/>
    <w:rsid w:val="00B362F0"/>
    <w:rsid w:val="00B36652"/>
    <w:rsid w:val="00B370DF"/>
    <w:rsid w:val="00B379BB"/>
    <w:rsid w:val="00B417C6"/>
    <w:rsid w:val="00B425AB"/>
    <w:rsid w:val="00B44515"/>
    <w:rsid w:val="00B47090"/>
    <w:rsid w:val="00B4727A"/>
    <w:rsid w:val="00B47E9B"/>
    <w:rsid w:val="00B532D1"/>
    <w:rsid w:val="00B61E3E"/>
    <w:rsid w:val="00B653EF"/>
    <w:rsid w:val="00B67A79"/>
    <w:rsid w:val="00B720FB"/>
    <w:rsid w:val="00B7263C"/>
    <w:rsid w:val="00B72D62"/>
    <w:rsid w:val="00B73421"/>
    <w:rsid w:val="00B75B89"/>
    <w:rsid w:val="00B760FF"/>
    <w:rsid w:val="00B767AF"/>
    <w:rsid w:val="00B76DA7"/>
    <w:rsid w:val="00B77AAC"/>
    <w:rsid w:val="00B80511"/>
    <w:rsid w:val="00B80798"/>
    <w:rsid w:val="00B80876"/>
    <w:rsid w:val="00B82C3C"/>
    <w:rsid w:val="00B82DE6"/>
    <w:rsid w:val="00B831CD"/>
    <w:rsid w:val="00B85329"/>
    <w:rsid w:val="00B91B9D"/>
    <w:rsid w:val="00B91C20"/>
    <w:rsid w:val="00B96DDA"/>
    <w:rsid w:val="00B97A8A"/>
    <w:rsid w:val="00BA13B1"/>
    <w:rsid w:val="00BA4563"/>
    <w:rsid w:val="00BA5E20"/>
    <w:rsid w:val="00BA607C"/>
    <w:rsid w:val="00BA6734"/>
    <w:rsid w:val="00BB14A3"/>
    <w:rsid w:val="00BB3E2A"/>
    <w:rsid w:val="00BB52D3"/>
    <w:rsid w:val="00BB5E5C"/>
    <w:rsid w:val="00BB7121"/>
    <w:rsid w:val="00BC0479"/>
    <w:rsid w:val="00BC1651"/>
    <w:rsid w:val="00BC16F5"/>
    <w:rsid w:val="00BC18FF"/>
    <w:rsid w:val="00BC287D"/>
    <w:rsid w:val="00BC2A38"/>
    <w:rsid w:val="00BC46EB"/>
    <w:rsid w:val="00BC643B"/>
    <w:rsid w:val="00BD0302"/>
    <w:rsid w:val="00BD09F2"/>
    <w:rsid w:val="00BD2651"/>
    <w:rsid w:val="00BD32E5"/>
    <w:rsid w:val="00BD36C4"/>
    <w:rsid w:val="00BD47FF"/>
    <w:rsid w:val="00BD6BF2"/>
    <w:rsid w:val="00BE1095"/>
    <w:rsid w:val="00BE14CD"/>
    <w:rsid w:val="00BE150A"/>
    <w:rsid w:val="00BE1A21"/>
    <w:rsid w:val="00BE1E66"/>
    <w:rsid w:val="00BE336B"/>
    <w:rsid w:val="00BE41A4"/>
    <w:rsid w:val="00BE5A30"/>
    <w:rsid w:val="00BE6767"/>
    <w:rsid w:val="00BE78EC"/>
    <w:rsid w:val="00BF1DF7"/>
    <w:rsid w:val="00BF46EE"/>
    <w:rsid w:val="00C0210B"/>
    <w:rsid w:val="00C04D92"/>
    <w:rsid w:val="00C05B5C"/>
    <w:rsid w:val="00C0613C"/>
    <w:rsid w:val="00C07975"/>
    <w:rsid w:val="00C10D05"/>
    <w:rsid w:val="00C11AC6"/>
    <w:rsid w:val="00C12AF2"/>
    <w:rsid w:val="00C13A7B"/>
    <w:rsid w:val="00C14FBA"/>
    <w:rsid w:val="00C151FA"/>
    <w:rsid w:val="00C15EA1"/>
    <w:rsid w:val="00C1615E"/>
    <w:rsid w:val="00C17A8E"/>
    <w:rsid w:val="00C22FE1"/>
    <w:rsid w:val="00C24F70"/>
    <w:rsid w:val="00C25DC2"/>
    <w:rsid w:val="00C303D7"/>
    <w:rsid w:val="00C30C01"/>
    <w:rsid w:val="00C33479"/>
    <w:rsid w:val="00C40170"/>
    <w:rsid w:val="00C40682"/>
    <w:rsid w:val="00C407F4"/>
    <w:rsid w:val="00C40ED2"/>
    <w:rsid w:val="00C41F10"/>
    <w:rsid w:val="00C432DD"/>
    <w:rsid w:val="00C43D61"/>
    <w:rsid w:val="00C4423A"/>
    <w:rsid w:val="00C501FE"/>
    <w:rsid w:val="00C5643B"/>
    <w:rsid w:val="00C5784B"/>
    <w:rsid w:val="00C639FF"/>
    <w:rsid w:val="00C6442A"/>
    <w:rsid w:val="00C64D15"/>
    <w:rsid w:val="00C64D88"/>
    <w:rsid w:val="00C66088"/>
    <w:rsid w:val="00C67074"/>
    <w:rsid w:val="00C67C4C"/>
    <w:rsid w:val="00C70920"/>
    <w:rsid w:val="00C70A93"/>
    <w:rsid w:val="00C70B7A"/>
    <w:rsid w:val="00C73015"/>
    <w:rsid w:val="00C74B5D"/>
    <w:rsid w:val="00C74F74"/>
    <w:rsid w:val="00C7554B"/>
    <w:rsid w:val="00C75795"/>
    <w:rsid w:val="00C779CE"/>
    <w:rsid w:val="00C80951"/>
    <w:rsid w:val="00C8205E"/>
    <w:rsid w:val="00C82EB5"/>
    <w:rsid w:val="00C86147"/>
    <w:rsid w:val="00C87966"/>
    <w:rsid w:val="00C902DE"/>
    <w:rsid w:val="00C916AE"/>
    <w:rsid w:val="00C9390B"/>
    <w:rsid w:val="00C93AAA"/>
    <w:rsid w:val="00C95FCD"/>
    <w:rsid w:val="00C97188"/>
    <w:rsid w:val="00C97CC7"/>
    <w:rsid w:val="00CA0639"/>
    <w:rsid w:val="00CA11D0"/>
    <w:rsid w:val="00CA2E02"/>
    <w:rsid w:val="00CA472F"/>
    <w:rsid w:val="00CA583A"/>
    <w:rsid w:val="00CA5EC6"/>
    <w:rsid w:val="00CB0DA1"/>
    <w:rsid w:val="00CB3013"/>
    <w:rsid w:val="00CB5744"/>
    <w:rsid w:val="00CB6A8E"/>
    <w:rsid w:val="00CB7022"/>
    <w:rsid w:val="00CB7371"/>
    <w:rsid w:val="00CB7BC5"/>
    <w:rsid w:val="00CC0118"/>
    <w:rsid w:val="00CC39C1"/>
    <w:rsid w:val="00CC49A5"/>
    <w:rsid w:val="00CC586D"/>
    <w:rsid w:val="00CC7DBC"/>
    <w:rsid w:val="00CC7DEE"/>
    <w:rsid w:val="00CD0467"/>
    <w:rsid w:val="00CD1BA3"/>
    <w:rsid w:val="00CD1D23"/>
    <w:rsid w:val="00CD26B0"/>
    <w:rsid w:val="00CD3612"/>
    <w:rsid w:val="00CD38B7"/>
    <w:rsid w:val="00CD3AFD"/>
    <w:rsid w:val="00CD3E69"/>
    <w:rsid w:val="00CD46BC"/>
    <w:rsid w:val="00CD52EE"/>
    <w:rsid w:val="00CD6B7D"/>
    <w:rsid w:val="00CD7B80"/>
    <w:rsid w:val="00CD7D29"/>
    <w:rsid w:val="00CE0847"/>
    <w:rsid w:val="00CE0B6C"/>
    <w:rsid w:val="00CE11D0"/>
    <w:rsid w:val="00CE39AA"/>
    <w:rsid w:val="00CE4708"/>
    <w:rsid w:val="00CE4C50"/>
    <w:rsid w:val="00CE6858"/>
    <w:rsid w:val="00CE7450"/>
    <w:rsid w:val="00CE770C"/>
    <w:rsid w:val="00CF50BE"/>
    <w:rsid w:val="00CF7625"/>
    <w:rsid w:val="00D00724"/>
    <w:rsid w:val="00D02711"/>
    <w:rsid w:val="00D0506A"/>
    <w:rsid w:val="00D10307"/>
    <w:rsid w:val="00D1289C"/>
    <w:rsid w:val="00D15B6E"/>
    <w:rsid w:val="00D1666F"/>
    <w:rsid w:val="00D17A32"/>
    <w:rsid w:val="00D2071A"/>
    <w:rsid w:val="00D215F6"/>
    <w:rsid w:val="00D24970"/>
    <w:rsid w:val="00D30F73"/>
    <w:rsid w:val="00D30F97"/>
    <w:rsid w:val="00D313A0"/>
    <w:rsid w:val="00D341F5"/>
    <w:rsid w:val="00D36FE0"/>
    <w:rsid w:val="00D40799"/>
    <w:rsid w:val="00D407C1"/>
    <w:rsid w:val="00D41A06"/>
    <w:rsid w:val="00D42ABF"/>
    <w:rsid w:val="00D42F40"/>
    <w:rsid w:val="00D45B67"/>
    <w:rsid w:val="00D5034A"/>
    <w:rsid w:val="00D51DEF"/>
    <w:rsid w:val="00D51F49"/>
    <w:rsid w:val="00D52C4D"/>
    <w:rsid w:val="00D55CDD"/>
    <w:rsid w:val="00D55EE8"/>
    <w:rsid w:val="00D562CB"/>
    <w:rsid w:val="00D569D1"/>
    <w:rsid w:val="00D56AD8"/>
    <w:rsid w:val="00D56C05"/>
    <w:rsid w:val="00D5785A"/>
    <w:rsid w:val="00D60DF6"/>
    <w:rsid w:val="00D61170"/>
    <w:rsid w:val="00D6375F"/>
    <w:rsid w:val="00D638F5"/>
    <w:rsid w:val="00D64C48"/>
    <w:rsid w:val="00D6680B"/>
    <w:rsid w:val="00D72DE1"/>
    <w:rsid w:val="00D72F4F"/>
    <w:rsid w:val="00D731C4"/>
    <w:rsid w:val="00D74EB4"/>
    <w:rsid w:val="00D760F4"/>
    <w:rsid w:val="00D801FC"/>
    <w:rsid w:val="00D85BE0"/>
    <w:rsid w:val="00D87FD7"/>
    <w:rsid w:val="00D91466"/>
    <w:rsid w:val="00D915ED"/>
    <w:rsid w:val="00D92300"/>
    <w:rsid w:val="00D93ADE"/>
    <w:rsid w:val="00D94AFC"/>
    <w:rsid w:val="00D950E6"/>
    <w:rsid w:val="00D97047"/>
    <w:rsid w:val="00DA2699"/>
    <w:rsid w:val="00DA3619"/>
    <w:rsid w:val="00DA4F24"/>
    <w:rsid w:val="00DA732C"/>
    <w:rsid w:val="00DB0B85"/>
    <w:rsid w:val="00DB0B88"/>
    <w:rsid w:val="00DB13AE"/>
    <w:rsid w:val="00DB1652"/>
    <w:rsid w:val="00DB2338"/>
    <w:rsid w:val="00DB32B9"/>
    <w:rsid w:val="00DB58A6"/>
    <w:rsid w:val="00DB58FF"/>
    <w:rsid w:val="00DB6B99"/>
    <w:rsid w:val="00DB6F7B"/>
    <w:rsid w:val="00DC001A"/>
    <w:rsid w:val="00DC1841"/>
    <w:rsid w:val="00DC2ACD"/>
    <w:rsid w:val="00DD265C"/>
    <w:rsid w:val="00DD4F44"/>
    <w:rsid w:val="00DD686C"/>
    <w:rsid w:val="00DE2AC3"/>
    <w:rsid w:val="00DE2E40"/>
    <w:rsid w:val="00DE3598"/>
    <w:rsid w:val="00DE3FBD"/>
    <w:rsid w:val="00DE436D"/>
    <w:rsid w:val="00DE43F5"/>
    <w:rsid w:val="00DE5952"/>
    <w:rsid w:val="00DE5973"/>
    <w:rsid w:val="00DE65FB"/>
    <w:rsid w:val="00DF420A"/>
    <w:rsid w:val="00E02472"/>
    <w:rsid w:val="00E03C10"/>
    <w:rsid w:val="00E041F0"/>
    <w:rsid w:val="00E05274"/>
    <w:rsid w:val="00E12826"/>
    <w:rsid w:val="00E128D8"/>
    <w:rsid w:val="00E130C3"/>
    <w:rsid w:val="00E13C1A"/>
    <w:rsid w:val="00E14E2E"/>
    <w:rsid w:val="00E15D40"/>
    <w:rsid w:val="00E17EDF"/>
    <w:rsid w:val="00E2082D"/>
    <w:rsid w:val="00E221E2"/>
    <w:rsid w:val="00E233E2"/>
    <w:rsid w:val="00E24303"/>
    <w:rsid w:val="00E24FEA"/>
    <w:rsid w:val="00E269D5"/>
    <w:rsid w:val="00E27A16"/>
    <w:rsid w:val="00E3402A"/>
    <w:rsid w:val="00E403FA"/>
    <w:rsid w:val="00E40F7B"/>
    <w:rsid w:val="00E418CF"/>
    <w:rsid w:val="00E46D60"/>
    <w:rsid w:val="00E47C33"/>
    <w:rsid w:val="00E47F58"/>
    <w:rsid w:val="00E50939"/>
    <w:rsid w:val="00E53AB6"/>
    <w:rsid w:val="00E54BFC"/>
    <w:rsid w:val="00E5600F"/>
    <w:rsid w:val="00E56D9D"/>
    <w:rsid w:val="00E60E2E"/>
    <w:rsid w:val="00E670C9"/>
    <w:rsid w:val="00E67960"/>
    <w:rsid w:val="00E71A2D"/>
    <w:rsid w:val="00E74A73"/>
    <w:rsid w:val="00E7726B"/>
    <w:rsid w:val="00E823C1"/>
    <w:rsid w:val="00E82DB7"/>
    <w:rsid w:val="00E85405"/>
    <w:rsid w:val="00E8579C"/>
    <w:rsid w:val="00E865FE"/>
    <w:rsid w:val="00E87DF0"/>
    <w:rsid w:val="00E9067C"/>
    <w:rsid w:val="00E91408"/>
    <w:rsid w:val="00E91759"/>
    <w:rsid w:val="00E9654B"/>
    <w:rsid w:val="00E979D9"/>
    <w:rsid w:val="00EA18DB"/>
    <w:rsid w:val="00EA2FBA"/>
    <w:rsid w:val="00EA3C32"/>
    <w:rsid w:val="00EA4DC5"/>
    <w:rsid w:val="00EA66DF"/>
    <w:rsid w:val="00EA6A78"/>
    <w:rsid w:val="00EA6ADC"/>
    <w:rsid w:val="00EB13A7"/>
    <w:rsid w:val="00EB14DF"/>
    <w:rsid w:val="00EB1A4D"/>
    <w:rsid w:val="00EB3A07"/>
    <w:rsid w:val="00EB5539"/>
    <w:rsid w:val="00EC09E8"/>
    <w:rsid w:val="00EC2C42"/>
    <w:rsid w:val="00EC3B1F"/>
    <w:rsid w:val="00EC3F31"/>
    <w:rsid w:val="00EC52E7"/>
    <w:rsid w:val="00EC6C92"/>
    <w:rsid w:val="00EC7171"/>
    <w:rsid w:val="00EC7B20"/>
    <w:rsid w:val="00ED3698"/>
    <w:rsid w:val="00ED4794"/>
    <w:rsid w:val="00EE265C"/>
    <w:rsid w:val="00EE5C63"/>
    <w:rsid w:val="00EE6AE8"/>
    <w:rsid w:val="00EF0D39"/>
    <w:rsid w:val="00F0095C"/>
    <w:rsid w:val="00F01129"/>
    <w:rsid w:val="00F0142F"/>
    <w:rsid w:val="00F01CCA"/>
    <w:rsid w:val="00F01F2C"/>
    <w:rsid w:val="00F02104"/>
    <w:rsid w:val="00F031AC"/>
    <w:rsid w:val="00F06C17"/>
    <w:rsid w:val="00F1314D"/>
    <w:rsid w:val="00F13D07"/>
    <w:rsid w:val="00F149DC"/>
    <w:rsid w:val="00F1632B"/>
    <w:rsid w:val="00F1723A"/>
    <w:rsid w:val="00F17A9B"/>
    <w:rsid w:val="00F21863"/>
    <w:rsid w:val="00F220C7"/>
    <w:rsid w:val="00F245E2"/>
    <w:rsid w:val="00F2585B"/>
    <w:rsid w:val="00F26345"/>
    <w:rsid w:val="00F27A6D"/>
    <w:rsid w:val="00F316B4"/>
    <w:rsid w:val="00F31F32"/>
    <w:rsid w:val="00F32AFA"/>
    <w:rsid w:val="00F334CB"/>
    <w:rsid w:val="00F3495A"/>
    <w:rsid w:val="00F34E2C"/>
    <w:rsid w:val="00F35F05"/>
    <w:rsid w:val="00F370BC"/>
    <w:rsid w:val="00F37143"/>
    <w:rsid w:val="00F37E1D"/>
    <w:rsid w:val="00F4148E"/>
    <w:rsid w:val="00F41CA1"/>
    <w:rsid w:val="00F41ED0"/>
    <w:rsid w:val="00F43E90"/>
    <w:rsid w:val="00F50562"/>
    <w:rsid w:val="00F50A92"/>
    <w:rsid w:val="00F50D01"/>
    <w:rsid w:val="00F516F9"/>
    <w:rsid w:val="00F555DE"/>
    <w:rsid w:val="00F56BC1"/>
    <w:rsid w:val="00F604EA"/>
    <w:rsid w:val="00F618C4"/>
    <w:rsid w:val="00F63F31"/>
    <w:rsid w:val="00F64050"/>
    <w:rsid w:val="00F65369"/>
    <w:rsid w:val="00F65774"/>
    <w:rsid w:val="00F65A34"/>
    <w:rsid w:val="00F65F4C"/>
    <w:rsid w:val="00F671D4"/>
    <w:rsid w:val="00F71A60"/>
    <w:rsid w:val="00F725DA"/>
    <w:rsid w:val="00F72926"/>
    <w:rsid w:val="00F7536E"/>
    <w:rsid w:val="00F75652"/>
    <w:rsid w:val="00F8168B"/>
    <w:rsid w:val="00F8177A"/>
    <w:rsid w:val="00F81974"/>
    <w:rsid w:val="00F81CF2"/>
    <w:rsid w:val="00F81F93"/>
    <w:rsid w:val="00F857D1"/>
    <w:rsid w:val="00F863F8"/>
    <w:rsid w:val="00F91B94"/>
    <w:rsid w:val="00F91C23"/>
    <w:rsid w:val="00F91DCC"/>
    <w:rsid w:val="00F9323F"/>
    <w:rsid w:val="00F9361B"/>
    <w:rsid w:val="00F93E37"/>
    <w:rsid w:val="00F943FE"/>
    <w:rsid w:val="00F95814"/>
    <w:rsid w:val="00F95CE9"/>
    <w:rsid w:val="00F97100"/>
    <w:rsid w:val="00F97E63"/>
    <w:rsid w:val="00FA01D9"/>
    <w:rsid w:val="00FB0537"/>
    <w:rsid w:val="00FB2CF4"/>
    <w:rsid w:val="00FB40A2"/>
    <w:rsid w:val="00FB5975"/>
    <w:rsid w:val="00FC008C"/>
    <w:rsid w:val="00FC1DFB"/>
    <w:rsid w:val="00FC1EF2"/>
    <w:rsid w:val="00FC2ADF"/>
    <w:rsid w:val="00FC3343"/>
    <w:rsid w:val="00FC33BA"/>
    <w:rsid w:val="00FC35AB"/>
    <w:rsid w:val="00FC49D0"/>
    <w:rsid w:val="00FC6134"/>
    <w:rsid w:val="00FC654D"/>
    <w:rsid w:val="00FC6587"/>
    <w:rsid w:val="00FC6F3C"/>
    <w:rsid w:val="00FD0555"/>
    <w:rsid w:val="00FD0606"/>
    <w:rsid w:val="00FD17D0"/>
    <w:rsid w:val="00FD25A2"/>
    <w:rsid w:val="00FD5961"/>
    <w:rsid w:val="00FD6D54"/>
    <w:rsid w:val="00FD774F"/>
    <w:rsid w:val="00FE3EFA"/>
    <w:rsid w:val="00FE4D9D"/>
    <w:rsid w:val="00FE5C56"/>
    <w:rsid w:val="00FE5E20"/>
    <w:rsid w:val="00FE6676"/>
    <w:rsid w:val="00FE7AAC"/>
    <w:rsid w:val="00FE7B06"/>
    <w:rsid w:val="00FE7E98"/>
    <w:rsid w:val="00FF06BC"/>
    <w:rsid w:val="00FF20AC"/>
    <w:rsid w:val="00FF3613"/>
    <w:rsid w:val="00FF3801"/>
    <w:rsid w:val="00FF3A27"/>
    <w:rsid w:val="00FF3B27"/>
    <w:rsid w:val="00FF5CFA"/>
    <w:rsid w:val="00FF77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609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3"/>
    <w:lsdException w:name="List 2" w:semiHidden="1" w:unhideWhenUsed="1"/>
    <w:lsdException w:name="List 3" w:semiHidden="1" w:unhideWhenUsed="1"/>
    <w:lsdException w:name="List 4" w:semiHidden="1"/>
    <w:lsdException w:name="List 5" w:semiHidden="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C2F23"/>
    <w:pPr>
      <w:numPr>
        <w:ilvl w:val="4"/>
        <w:numId w:val="10"/>
      </w:numPr>
      <w:spacing w:before="120" w:after="120" w:line="260" w:lineRule="atLeast"/>
      <w:ind w:left="1843"/>
    </w:pPr>
    <w:rPr>
      <w:rFonts w:ascii="Arial" w:hAnsi="Arial"/>
      <w:sz w:val="22"/>
      <w:szCs w:val="24"/>
    </w:rPr>
  </w:style>
  <w:style w:type="paragraph" w:styleId="Heading1">
    <w:name w:val="heading 1"/>
    <w:basedOn w:val="Normal"/>
    <w:next w:val="Normal"/>
    <w:link w:val="Heading1Char"/>
    <w:qFormat/>
    <w:rsid w:val="00BC18FF"/>
    <w:pPr>
      <w:keepNext/>
      <w:keepLines/>
      <w:numPr>
        <w:ilvl w:val="0"/>
      </w:numPr>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uiPriority w:val="9"/>
    <w:qFormat/>
    <w:rsid w:val="00994E3D"/>
    <w:pPr>
      <w:keepNext/>
      <w:keepLines/>
      <w:numPr>
        <w:ilvl w:val="2"/>
      </w:numPr>
      <w:spacing w:before="360"/>
      <w:contextualSpacing/>
      <w:outlineLvl w:val="1"/>
    </w:pPr>
    <w:rPr>
      <w:rFonts w:asciiTheme="majorHAnsi" w:hAnsiTheme="majorHAnsi"/>
      <w:b/>
      <w:sz w:val="28"/>
      <w:szCs w:val="44"/>
    </w:rPr>
  </w:style>
  <w:style w:type="paragraph" w:styleId="Heading3">
    <w:name w:val="heading 3"/>
    <w:basedOn w:val="Normal"/>
    <w:next w:val="Normal"/>
    <w:link w:val="Heading3Char"/>
    <w:qFormat/>
    <w:rsid w:val="005C2F23"/>
    <w:pPr>
      <w:keepNext/>
      <w:keepLines/>
      <w:numPr>
        <w:ilvl w:val="3"/>
      </w:numPr>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link w:val="Heading4Char"/>
    <w:qFormat/>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qFormat/>
    <w:rsid w:val="002672F1"/>
    <w:pPr>
      <w:keepNext/>
      <w:spacing w:before="240"/>
      <w:contextualSpacing/>
      <w:outlineLvl w:val="4"/>
    </w:pPr>
    <w:rPr>
      <w:b/>
      <w:szCs w:val="22"/>
    </w:rPr>
  </w:style>
  <w:style w:type="paragraph" w:styleId="Heading6">
    <w:name w:val="heading 6"/>
    <w:basedOn w:val="Normal"/>
    <w:next w:val="Normal"/>
    <w:link w:val="Heading6Char"/>
    <w:qFormat/>
    <w:rsid w:val="002672F1"/>
    <w:pPr>
      <w:keepNext/>
      <w:numPr>
        <w:ilvl w:val="5"/>
      </w:numPr>
      <w:spacing w:before="240"/>
      <w:contextualSpacing/>
      <w:outlineLvl w:val="5"/>
    </w:pPr>
    <w:rPr>
      <w:b/>
      <w:sz w:val="20"/>
      <w:szCs w:val="22"/>
    </w:rPr>
  </w:style>
  <w:style w:type="paragraph" w:styleId="Heading7">
    <w:name w:val="heading 7"/>
    <w:basedOn w:val="Normal"/>
    <w:next w:val="Normal"/>
    <w:link w:val="Heading7Char"/>
    <w:semiHidden/>
    <w:unhideWhenUsed/>
    <w:qFormat/>
    <w:rsid w:val="00AE7261"/>
    <w:pPr>
      <w:keepNext/>
      <w:keepLines/>
      <w:numPr>
        <w:ilvl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E7261"/>
    <w:pPr>
      <w:keepNext/>
      <w:keepLines/>
      <w:numPr>
        <w:ilvl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E7261"/>
    <w:pPr>
      <w:keepNext/>
      <w:keepLines/>
      <w:numPr>
        <w:ilvl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58FF"/>
    <w:rPr>
      <w:rFonts w:asciiTheme="majorHAnsi" w:hAnsiTheme="majorHAnsi"/>
      <w:b/>
      <w:sz w:val="64"/>
      <w:szCs w:val="44"/>
    </w:rPr>
  </w:style>
  <w:style w:type="character" w:customStyle="1" w:styleId="Heading2Char">
    <w:name w:val="Heading 2 Char"/>
    <w:basedOn w:val="DefaultParagraphFont"/>
    <w:link w:val="Heading2"/>
    <w:uiPriority w:val="9"/>
    <w:rsid w:val="00994E3D"/>
    <w:rPr>
      <w:rFonts w:asciiTheme="majorHAnsi" w:hAnsiTheme="majorHAnsi"/>
      <w:b/>
      <w:sz w:val="28"/>
      <w:szCs w:val="44"/>
    </w:rPr>
  </w:style>
  <w:style w:type="character" w:customStyle="1" w:styleId="Heading3Char">
    <w:name w:val="Heading 3 Char"/>
    <w:basedOn w:val="DefaultParagraphFont"/>
    <w:link w:val="Heading3"/>
    <w:rsid w:val="005C2F23"/>
    <w:rPr>
      <w:rFonts w:asciiTheme="majorHAnsi" w:hAnsiTheme="majorHAnsi"/>
      <w:b/>
      <w:color w:val="004200" w:themeColor="accent1"/>
      <w:sz w:val="24"/>
      <w:szCs w:val="28"/>
    </w:rPr>
  </w:style>
  <w:style w:type="character" w:customStyle="1" w:styleId="Heading4Char">
    <w:name w:val="Heading 4 Char"/>
    <w:basedOn w:val="DefaultParagraphFont"/>
    <w:link w:val="Heading4"/>
    <w:rsid w:val="00DB58FF"/>
    <w:rPr>
      <w:rFonts w:ascii="Arial" w:hAnsi="Arial"/>
      <w:color w:val="636466" w:themeColor="accent4"/>
      <w:sz w:val="22"/>
      <w:szCs w:val="24"/>
    </w:rPr>
  </w:style>
  <w:style w:type="character" w:customStyle="1" w:styleId="Heading5Char">
    <w:name w:val="Heading 5 Char"/>
    <w:basedOn w:val="DefaultParagraphFont"/>
    <w:link w:val="Heading5"/>
    <w:rsid w:val="001D2904"/>
    <w:rPr>
      <w:rFonts w:ascii="Arial" w:hAnsi="Arial"/>
      <w:b/>
      <w:sz w:val="22"/>
      <w:szCs w:val="22"/>
    </w:rPr>
  </w:style>
  <w:style w:type="character" w:customStyle="1" w:styleId="Heading6Char">
    <w:name w:val="Heading 6 Char"/>
    <w:basedOn w:val="DefaultParagraphFont"/>
    <w:link w:val="Heading6"/>
    <w:rsid w:val="001D2904"/>
    <w:rPr>
      <w:rFonts w:ascii="Arial" w:hAnsi="Arial"/>
      <w:b/>
      <w:szCs w:val="22"/>
    </w:rPr>
  </w:style>
  <w:style w:type="paragraph" w:styleId="Header">
    <w:name w:val="header"/>
    <w:basedOn w:val="Normal"/>
    <w:link w:val="HeaderChar"/>
    <w:uiPriority w:val="99"/>
    <w:rsid w:val="005F219D"/>
    <w:pPr>
      <w:tabs>
        <w:tab w:val="right" w:pos="10319"/>
      </w:tabs>
      <w:spacing w:before="0" w:after="0" w:line="240" w:lineRule="auto"/>
    </w:pPr>
    <w:rPr>
      <w:b/>
      <w:sz w:val="16"/>
    </w:rPr>
  </w:style>
  <w:style w:type="character" w:customStyle="1" w:styleId="HeaderChar">
    <w:name w:val="Header Char"/>
    <w:basedOn w:val="DefaultParagraphFont"/>
    <w:link w:val="Header"/>
    <w:uiPriority w:val="99"/>
    <w:rsid w:val="00DB58FF"/>
    <w:rPr>
      <w:rFonts w:ascii="Arial" w:hAnsi="Arial"/>
      <w:b/>
      <w:sz w:val="16"/>
      <w:szCs w:val="24"/>
    </w:rPr>
  </w:style>
  <w:style w:type="paragraph" w:styleId="Title">
    <w:name w:val="Title"/>
    <w:basedOn w:val="Normal"/>
    <w:next w:val="Subtitle"/>
    <w:link w:val="TitleChar"/>
    <w:qFormat/>
    <w:rsid w:val="001D6F9E"/>
    <w:pPr>
      <w:spacing w:before="480" w:after="360" w:line="204" w:lineRule="auto"/>
      <w:contextualSpacing/>
      <w:outlineLvl w:val="0"/>
    </w:pPr>
    <w:rPr>
      <w:rFonts w:ascii="Arial Bold" w:hAnsi="Arial Bold" w:cs="Arial"/>
      <w:b/>
      <w:bCs/>
      <w:color w:val="FFFFFF" w:themeColor="background1"/>
      <w:kern w:val="28"/>
      <w:sz w:val="84"/>
      <w:szCs w:val="32"/>
    </w:rPr>
  </w:style>
  <w:style w:type="paragraph" w:styleId="Subtitle">
    <w:name w:val="Subtitle"/>
    <w:basedOn w:val="Normal"/>
    <w:next w:val="Versionanddate"/>
    <w:link w:val="SubtitleChar"/>
    <w:qFormat/>
    <w:rsid w:val="00E15D40"/>
    <w:pPr>
      <w:numPr>
        <w:ilvl w:val="1"/>
      </w:numPr>
      <w:spacing w:before="480" w:after="360"/>
    </w:pPr>
    <w:rPr>
      <w:rFonts w:asciiTheme="majorHAnsi" w:eastAsiaTheme="majorEastAsia" w:hAnsiTheme="majorHAnsi" w:cstheme="majorBidi"/>
      <w:b/>
      <w:iCs/>
      <w:color w:val="FFFFFF" w:themeColor="background1"/>
      <w:sz w:val="40"/>
    </w:rPr>
  </w:style>
  <w:style w:type="paragraph" w:customStyle="1" w:styleId="Versionanddate">
    <w:name w:val="Version and date"/>
    <w:basedOn w:val="Subtitle"/>
    <w:uiPriority w:val="1"/>
    <w:qFormat/>
    <w:rsid w:val="00E15D40"/>
    <w:rPr>
      <w:color w:val="7EC352" w:themeColor="accent3"/>
      <w:sz w:val="28"/>
      <w:szCs w:val="28"/>
    </w:rPr>
  </w:style>
  <w:style w:type="character" w:customStyle="1" w:styleId="SubtitleChar">
    <w:name w:val="Subtitle Char"/>
    <w:basedOn w:val="DefaultParagraphFont"/>
    <w:link w:val="Subtitle"/>
    <w:rsid w:val="00E15D40"/>
    <w:rPr>
      <w:rFonts w:asciiTheme="majorHAnsi" w:eastAsiaTheme="majorEastAsia" w:hAnsiTheme="majorHAnsi" w:cstheme="majorBidi"/>
      <w:b/>
      <w:iCs/>
      <w:color w:val="FFFFFF" w:themeColor="background1"/>
      <w:sz w:val="40"/>
      <w:szCs w:val="24"/>
    </w:rPr>
  </w:style>
  <w:style w:type="character" w:customStyle="1" w:styleId="TitleChar">
    <w:name w:val="Title Char"/>
    <w:basedOn w:val="DefaultParagraphFont"/>
    <w:link w:val="Title"/>
    <w:rsid w:val="00DB58FF"/>
    <w:rPr>
      <w:rFonts w:ascii="Arial Bold" w:hAnsi="Arial Bold" w:cs="Arial"/>
      <w:b/>
      <w:bCs/>
      <w:color w:val="FFFFFF" w:themeColor="background1"/>
      <w:kern w:val="28"/>
      <w:sz w:val="84"/>
      <w:szCs w:val="32"/>
    </w:rPr>
  </w:style>
  <w:style w:type="paragraph" w:styleId="ListBullet">
    <w:name w:val="List Bullet"/>
    <w:basedOn w:val="Normal"/>
    <w:link w:val="ListBulletChar"/>
    <w:qFormat/>
    <w:rsid w:val="00636603"/>
    <w:pPr>
      <w:numPr>
        <w:numId w:val="1"/>
      </w:numPr>
      <w:spacing w:before="60" w:after="60"/>
    </w:pPr>
    <w:rPr>
      <w:lang w:eastAsia="ja-JP"/>
    </w:rPr>
  </w:style>
  <w:style w:type="paragraph" w:styleId="Footer">
    <w:name w:val="footer"/>
    <w:basedOn w:val="Header"/>
    <w:link w:val="FooterChar"/>
    <w:uiPriority w:val="99"/>
    <w:rsid w:val="00733251"/>
    <w:pPr>
      <w:tabs>
        <w:tab w:val="right" w:pos="9639"/>
      </w:tabs>
    </w:pPr>
  </w:style>
  <w:style w:type="character" w:customStyle="1" w:styleId="FooterChar">
    <w:name w:val="Footer Char"/>
    <w:basedOn w:val="DefaultParagraphFont"/>
    <w:link w:val="Footer"/>
    <w:uiPriority w:val="99"/>
    <w:rsid w:val="00DB58FF"/>
    <w:rPr>
      <w:rFonts w:ascii="Arial" w:hAnsi="Arial"/>
      <w:b/>
      <w:sz w:val="16"/>
      <w:szCs w:val="24"/>
    </w:rPr>
  </w:style>
  <w:style w:type="character" w:styleId="Hyperlink">
    <w:name w:val="Hyperlink"/>
    <w:basedOn w:val="DefaultParagraphFont"/>
    <w:uiPriority w:val="99"/>
    <w:rsid w:val="002A4C1B"/>
    <w:rPr>
      <w:color w:val="0000FF"/>
      <w:u w:val="single"/>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uiPriority w:val="99"/>
    <w:rsid w:val="00797C88"/>
    <w:rPr>
      <w:rFonts w:ascii="Arial" w:hAnsi="Arial"/>
      <w:sz w:val="22"/>
    </w:rPr>
  </w:style>
  <w:style w:type="character" w:styleId="FootnoteReference">
    <w:name w:val="footnote reference"/>
    <w:basedOn w:val="DefaultParagraphFont"/>
    <w:uiPriority w:val="99"/>
    <w:rsid w:val="00843390"/>
    <w:rPr>
      <w:vertAlign w:val="superscript"/>
    </w:rPr>
  </w:style>
  <w:style w:type="paragraph" w:styleId="ListParagraph">
    <w:name w:val="List Paragraph"/>
    <w:aliases w:val="Recommendation"/>
    <w:basedOn w:val="Normal"/>
    <w:link w:val="ListParagraphChar"/>
    <w:uiPriority w:val="34"/>
    <w:qFormat/>
    <w:rsid w:val="00010D84"/>
    <w:pPr>
      <w:ind w:left="720"/>
    </w:pPr>
  </w:style>
  <w:style w:type="character" w:customStyle="1" w:styleId="ListParagraphChar">
    <w:name w:val="List Paragraph Char"/>
    <w:aliases w:val="Recommendation Char"/>
    <w:link w:val="ListParagraph"/>
    <w:uiPriority w:val="34"/>
    <w:locked/>
    <w:rsid w:val="00DB58FF"/>
    <w:rPr>
      <w:rFonts w:ascii="Arial" w:hAnsi="Arial"/>
      <w:sz w:val="22"/>
      <w:szCs w:val="24"/>
    </w:rPr>
  </w:style>
  <w:style w:type="paragraph" w:styleId="TOC1">
    <w:name w:val="toc 1"/>
    <w:basedOn w:val="Normal"/>
    <w:next w:val="Normal"/>
    <w:autoRedefine/>
    <w:uiPriority w:val="39"/>
    <w:rsid w:val="00804C84"/>
    <w:pPr>
      <w:numPr>
        <w:ilvl w:val="0"/>
        <w:numId w:val="0"/>
      </w:numPr>
      <w:tabs>
        <w:tab w:val="left" w:pos="8364"/>
        <w:tab w:val="right" w:leader="dot" w:pos="8505"/>
      </w:tabs>
      <w:spacing w:before="240" w:after="60" w:line="240" w:lineRule="auto"/>
    </w:pPr>
    <w:rPr>
      <w:rFonts w:ascii="Arial Bold" w:hAnsi="Arial Bold"/>
      <w:b/>
      <w:noProof/>
    </w:rPr>
  </w:style>
  <w:style w:type="paragraph" w:styleId="TOC2">
    <w:name w:val="toc 2"/>
    <w:basedOn w:val="Normal"/>
    <w:next w:val="Normal"/>
    <w:autoRedefine/>
    <w:uiPriority w:val="39"/>
    <w:rsid w:val="00804C84"/>
    <w:pPr>
      <w:numPr>
        <w:ilvl w:val="0"/>
        <w:numId w:val="0"/>
      </w:numPr>
      <w:tabs>
        <w:tab w:val="left" w:pos="880"/>
        <w:tab w:val="right" w:leader="dot" w:pos="8505"/>
      </w:tabs>
      <w:spacing w:before="60" w:after="60" w:line="240" w:lineRule="auto"/>
      <w:ind w:right="851"/>
    </w:pPr>
    <w:rPr>
      <w:noProof/>
    </w:rPr>
  </w:style>
  <w:style w:type="paragraph" w:customStyle="1" w:styleId="TableText">
    <w:name w:val="Table Text"/>
    <w:basedOn w:val="Normal"/>
    <w:uiPriority w:val="99"/>
    <w:qFormat/>
    <w:rsid w:val="00C86147"/>
    <w:pPr>
      <w:numPr>
        <w:ilvl w:val="0"/>
        <w:numId w:val="0"/>
      </w:numPr>
      <w:spacing w:before="80" w:after="80" w:line="240" w:lineRule="atLeast"/>
    </w:pPr>
    <w:rPr>
      <w:sz w:val="20"/>
    </w:rPr>
  </w:style>
  <w:style w:type="character" w:styleId="Emphasis">
    <w:name w:val="Emphasis"/>
    <w:basedOn w:val="DefaultParagraphFont"/>
    <w:uiPriority w:val="20"/>
    <w:qFormat/>
    <w:rsid w:val="00D92300"/>
    <w:rPr>
      <w:i/>
      <w:iCs/>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A00"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uiPriority w:val="39"/>
    <w:qFormat/>
    <w:rsid w:val="002256A8"/>
    <w:pPr>
      <w:outlineLvl w:val="9"/>
    </w:pPr>
    <w:rPr>
      <w:rFonts w:eastAsiaTheme="majorEastAsia" w:cstheme="majorBidi"/>
      <w:bCs/>
      <w:szCs w:val="28"/>
    </w:rPr>
  </w:style>
  <w:style w:type="paragraph" w:customStyle="1" w:styleId="SourceNotesText">
    <w:name w:val="Source/Notes Text"/>
    <w:basedOn w:val="Normal"/>
    <w:uiPriority w:val="9"/>
    <w:qFormat/>
    <w:rsid w:val="007802BE"/>
    <w:pPr>
      <w:spacing w:line="240" w:lineRule="auto"/>
    </w:pPr>
    <w:rPr>
      <w:sz w:val="18"/>
      <w:szCs w:val="16"/>
    </w:rPr>
  </w:style>
  <w:style w:type="character" w:styleId="Strong">
    <w:name w:val="Strong"/>
    <w:basedOn w:val="DefaultParagraphFont"/>
    <w:qFormat/>
    <w:rsid w:val="00D45B67"/>
    <w:rPr>
      <w:b/>
      <w:bCs/>
    </w:rPr>
  </w:style>
  <w:style w:type="paragraph" w:customStyle="1" w:styleId="Intro">
    <w:name w:val="Intro"/>
    <w:basedOn w:val="Normal"/>
    <w:uiPriority w:val="2"/>
    <w:qFormat/>
    <w:rsid w:val="00F27A6D"/>
    <w:pPr>
      <w:numPr>
        <w:ilvl w:val="0"/>
        <w:numId w:val="0"/>
      </w:numPr>
    </w:pPr>
    <w:rPr>
      <w:color w:val="008A00"/>
      <w:szCs w:val="30"/>
    </w:rPr>
  </w:style>
  <w:style w:type="paragraph" w:styleId="BalloonText">
    <w:name w:val="Balloon Text"/>
    <w:basedOn w:val="Normal"/>
    <w:link w:val="BalloonTextChar"/>
    <w:uiPriority w:val="99"/>
    <w:rsid w:val="001B5259"/>
    <w:rPr>
      <w:rFonts w:ascii="Tahoma" w:hAnsi="Tahoma" w:cs="Tahoma"/>
      <w:sz w:val="16"/>
      <w:szCs w:val="16"/>
    </w:rPr>
  </w:style>
  <w:style w:type="character" w:customStyle="1" w:styleId="BalloonTextChar">
    <w:name w:val="Balloon Text Char"/>
    <w:basedOn w:val="DefaultParagraphFont"/>
    <w:link w:val="BalloonText"/>
    <w:uiPriority w:val="99"/>
    <w:rsid w:val="001D2904"/>
    <w:rPr>
      <w:rFonts w:ascii="Tahoma" w:hAnsi="Tahoma" w:cs="Tahoma"/>
      <w:sz w:val="16"/>
      <w:szCs w:val="16"/>
    </w:rPr>
  </w:style>
  <w:style w:type="paragraph" w:styleId="NoSpacing">
    <w:name w:val="No Spacing"/>
    <w:uiPriority w:val="1"/>
    <w:qFormat/>
    <w:rsid w:val="00406578"/>
    <w:rPr>
      <w:rFonts w:ascii="Arial" w:hAnsi="Arial"/>
      <w:sz w:val="22"/>
      <w:szCs w:val="24"/>
    </w:rPr>
  </w:style>
  <w:style w:type="paragraph" w:styleId="EndnoteText">
    <w:name w:val="endnote text"/>
    <w:basedOn w:val="Normal"/>
    <w:link w:val="EndnoteTextChar"/>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uiPriority w:val="99"/>
    <w:rsid w:val="000E39EF"/>
    <w:rPr>
      <w:color w:val="000000" w:themeColor="followedHyperlink"/>
      <w:u w:val="single"/>
    </w:rPr>
  </w:style>
  <w:style w:type="paragraph" w:customStyle="1" w:styleId="TableHeading">
    <w:name w:val="Table Heading"/>
    <w:basedOn w:val="Normal"/>
    <w:next w:val="TableText"/>
    <w:uiPriority w:val="99"/>
    <w:rsid w:val="00835FC9"/>
    <w:pPr>
      <w:keepNext/>
      <w:keepLines/>
      <w:spacing w:before="360"/>
      <w:contextualSpacing/>
    </w:pPr>
    <w:rPr>
      <w:b/>
      <w:szCs w:val="20"/>
    </w:rPr>
  </w:style>
  <w:style w:type="paragraph" w:customStyle="1" w:styleId="FigureHeading">
    <w:name w:val="Figure Heading"/>
    <w:basedOn w:val="Normal"/>
    <w:next w:val="Normal"/>
    <w:uiPriority w:val="99"/>
    <w:qFormat/>
    <w:rsid w:val="00E74A73"/>
    <w:pPr>
      <w:keepNext/>
      <w:keepLines/>
      <w:numPr>
        <w:numId w:val="2"/>
      </w:numPr>
      <w:tabs>
        <w:tab w:val="left" w:pos="907"/>
      </w:tabs>
      <w:ind w:left="907" w:hanging="907"/>
      <w:contextualSpacing/>
    </w:pPr>
  </w:style>
  <w:style w:type="paragraph" w:customStyle="1" w:styleId="FinancialsH1">
    <w:name w:val="Financials H1"/>
    <w:basedOn w:val="Heading1"/>
    <w:next w:val="Normal"/>
    <w:uiPriority w:val="1"/>
    <w:semiHidden/>
    <w:rsid w:val="00010D84"/>
    <w:pPr>
      <w:spacing w:after="360"/>
    </w:pPr>
    <w:rPr>
      <w:color w:val="008A00" w:themeColor="accent2"/>
      <w:sz w:val="44"/>
    </w:rPr>
  </w:style>
  <w:style w:type="paragraph" w:customStyle="1" w:styleId="FinancialsH2">
    <w:name w:val="Financials H2"/>
    <w:basedOn w:val="Heading2"/>
    <w:next w:val="Normal"/>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uiPriority w:val="1"/>
    <w:semiHidden/>
    <w:rsid w:val="00A00568"/>
    <w:rPr>
      <w:szCs w:val="22"/>
      <w:lang w:val="en-GB"/>
    </w:rPr>
  </w:style>
  <w:style w:type="paragraph" w:customStyle="1" w:styleId="FinancialsH4">
    <w:name w:val="Financials H4"/>
    <w:basedOn w:val="Heading4"/>
    <w:uiPriority w:val="1"/>
    <w:semiHidden/>
    <w:rsid w:val="00A00568"/>
    <w:pPr>
      <w:spacing w:before="120"/>
    </w:pPr>
    <w:rPr>
      <w:rFonts w:ascii="Arial Bold" w:hAnsi="Arial Bold"/>
      <w:lang w:val="en-GB"/>
    </w:rPr>
  </w:style>
  <w:style w:type="paragraph" w:customStyle="1" w:styleId="FinancialsH5">
    <w:name w:val="Financials H5"/>
    <w:basedOn w:val="Heading5"/>
    <w:uiPriority w:val="1"/>
    <w:semiHidden/>
    <w:rsid w:val="00A00568"/>
    <w:pPr>
      <w:spacing w:before="120"/>
    </w:pPr>
    <w:rPr>
      <w:bCs/>
      <w:lang w:val="en-GB"/>
    </w:rPr>
  </w:style>
  <w:style w:type="paragraph" w:customStyle="1" w:styleId="FinancialsTableH2">
    <w:name w:val="Financials Table H2"/>
    <w:basedOn w:val="TableText"/>
    <w:uiPriority w:val="1"/>
    <w:semiHidden/>
    <w:rsid w:val="00660951"/>
    <w:pPr>
      <w:spacing w:before="120" w:after="40" w:line="240" w:lineRule="auto"/>
    </w:pPr>
    <w:rPr>
      <w:b/>
      <w:color w:val="008A00" w:themeColor="accent2"/>
    </w:rPr>
  </w:style>
  <w:style w:type="paragraph" w:customStyle="1" w:styleId="FinancialsTableText">
    <w:name w:val="Financials Table Text"/>
    <w:basedOn w:val="TableText"/>
    <w:uiPriority w:val="1"/>
    <w:semiHidden/>
    <w:rsid w:val="00660951"/>
    <w:pPr>
      <w:spacing w:before="40" w:after="40" w:line="240" w:lineRule="auto"/>
    </w:pPr>
  </w:style>
  <w:style w:type="paragraph" w:customStyle="1" w:styleId="FinancialsTableTextIndented">
    <w:name w:val="Financials Table Text Indented"/>
    <w:basedOn w:val="TableText"/>
    <w:uiPriority w:val="1"/>
    <w:semiHidden/>
    <w:rsid w:val="00F3495A"/>
    <w:pPr>
      <w:spacing w:before="40" w:after="40" w:line="240" w:lineRule="auto"/>
      <w:ind w:left="170"/>
    </w:pPr>
    <w:rPr>
      <w:i/>
    </w:rPr>
  </w:style>
  <w:style w:type="paragraph" w:customStyle="1" w:styleId="FinancialsTableH1">
    <w:name w:val="Financials Table H1"/>
    <w:basedOn w:val="TableText"/>
    <w:uiPriority w:val="1"/>
    <w:semiHidden/>
    <w:rsid w:val="007A7D19"/>
    <w:pPr>
      <w:spacing w:before="160" w:after="40" w:line="240" w:lineRule="auto"/>
    </w:pPr>
    <w:rPr>
      <w:rFonts w:ascii="Arial Bold" w:hAnsi="Arial Bold"/>
      <w:b/>
      <w:caps/>
    </w:rPr>
  </w:style>
  <w:style w:type="paragraph" w:customStyle="1" w:styleId="NoParagraphStyle">
    <w:name w:val="[No Paragraph Styl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uiPriority w:val="1"/>
    <w:semiHidden/>
    <w:rsid w:val="00FC6134"/>
  </w:style>
  <w:style w:type="paragraph" w:customStyle="1" w:styleId="AppendixH2">
    <w:name w:val="Appendix H2"/>
    <w:basedOn w:val="FinancialsH2"/>
    <w:uiPriority w:val="1"/>
    <w:semiHidden/>
    <w:rsid w:val="00FC6134"/>
  </w:style>
  <w:style w:type="character" w:styleId="PageNumber">
    <w:name w:val="page number"/>
    <w:basedOn w:val="DefaultParagraphFont"/>
    <w:semiHidden/>
    <w:unhideWhenUsed/>
    <w:rsid w:val="005F219D"/>
    <w:rPr>
      <w:rFonts w:asciiTheme="minorHAnsi" w:hAnsiTheme="minorHAnsi"/>
      <w:b/>
      <w:color w:val="008A00" w:themeColor="accent2"/>
      <w:sz w:val="16"/>
    </w:rPr>
  </w:style>
  <w:style w:type="paragraph" w:customStyle="1" w:styleId="p1">
    <w:name w:val="p1"/>
    <w:basedOn w:val="Normal"/>
    <w:rsid w:val="00C303D7"/>
    <w:pPr>
      <w:spacing w:before="0" w:after="86" w:line="240" w:lineRule="auto"/>
    </w:pPr>
    <w:rPr>
      <w:rFonts w:cs="Arial"/>
      <w:sz w:val="12"/>
      <w:szCs w:val="12"/>
      <w:lang w:val="en-US" w:eastAsia="en-US"/>
    </w:rPr>
  </w:style>
  <w:style w:type="paragraph" w:customStyle="1" w:styleId="p2">
    <w:name w:val="p2"/>
    <w:basedOn w:val="Normal"/>
    <w:rsid w:val="00C303D7"/>
    <w:pPr>
      <w:spacing w:before="0" w:after="0" w:line="240" w:lineRule="auto"/>
    </w:pPr>
    <w:rPr>
      <w:rFonts w:cs="Arial"/>
      <w:color w:val="005100"/>
      <w:sz w:val="12"/>
      <w:szCs w:val="12"/>
      <w:lang w:val="en-US" w:eastAsia="en-US"/>
    </w:rPr>
  </w:style>
  <w:style w:type="paragraph" w:customStyle="1" w:styleId="p3">
    <w:name w:val="p3"/>
    <w:basedOn w:val="Normal"/>
    <w:rsid w:val="00C303D7"/>
    <w:pPr>
      <w:spacing w:before="0" w:after="86" w:line="240" w:lineRule="auto"/>
    </w:pPr>
    <w:rPr>
      <w:rFonts w:cs="Arial"/>
      <w:color w:val="005100"/>
      <w:sz w:val="12"/>
      <w:szCs w:val="12"/>
      <w:lang w:val="en-US" w:eastAsia="en-US"/>
    </w:rPr>
  </w:style>
  <w:style w:type="paragraph" w:customStyle="1" w:styleId="p4">
    <w:name w:val="p4"/>
    <w:basedOn w:val="Normal"/>
    <w:rsid w:val="00C303D7"/>
    <w:pPr>
      <w:spacing w:before="0" w:after="0" w:line="240" w:lineRule="auto"/>
    </w:pPr>
    <w:rPr>
      <w:rFonts w:cs="Arial"/>
      <w:sz w:val="12"/>
      <w:szCs w:val="12"/>
      <w:lang w:val="en-US" w:eastAsia="en-US"/>
    </w:rPr>
  </w:style>
  <w:style w:type="character" w:customStyle="1" w:styleId="s2">
    <w:name w:val="s2"/>
    <w:basedOn w:val="DefaultParagraphFont"/>
    <w:rsid w:val="00C303D7"/>
    <w:rPr>
      <w:color w:val="000000"/>
    </w:rPr>
  </w:style>
  <w:style w:type="character" w:customStyle="1" w:styleId="s1">
    <w:name w:val="s1"/>
    <w:basedOn w:val="DefaultParagraphFont"/>
    <w:rsid w:val="00C303D7"/>
  </w:style>
  <w:style w:type="character" w:customStyle="1" w:styleId="apple-converted-space">
    <w:name w:val="apple-converted-space"/>
    <w:basedOn w:val="DefaultParagraphFont"/>
    <w:rsid w:val="00C303D7"/>
  </w:style>
  <w:style w:type="paragraph" w:customStyle="1" w:styleId="Address">
    <w:name w:val="Address"/>
    <w:basedOn w:val="Normal"/>
    <w:uiPriority w:val="1"/>
    <w:qFormat/>
    <w:rsid w:val="00C303D7"/>
    <w:pPr>
      <w:spacing w:before="0" w:after="0" w:line="192" w:lineRule="exact"/>
    </w:pPr>
    <w:rPr>
      <w:b/>
      <w:bCs/>
      <w:color w:val="FFFFFF" w:themeColor="background1"/>
      <w:sz w:val="16"/>
      <w:szCs w:val="16"/>
    </w:rPr>
  </w:style>
  <w:style w:type="paragraph" w:customStyle="1" w:styleId="Act">
    <w:name w:val="Act"/>
    <w:basedOn w:val="Normal"/>
    <w:uiPriority w:val="1"/>
    <w:qFormat/>
    <w:rsid w:val="00E15D40"/>
    <w:pPr>
      <w:spacing w:before="0" w:after="0" w:line="240" w:lineRule="auto"/>
    </w:pPr>
    <w:rPr>
      <w:i/>
    </w:rPr>
  </w:style>
  <w:style w:type="paragraph" w:customStyle="1" w:styleId="Disclaimer">
    <w:name w:val="Disclaimer"/>
    <w:basedOn w:val="Normal"/>
    <w:uiPriority w:val="1"/>
    <w:qFormat/>
    <w:rsid w:val="00E15D40"/>
    <w:pPr>
      <w:spacing w:before="0" w:after="0" w:line="240" w:lineRule="auto"/>
    </w:pPr>
    <w:rPr>
      <w:i/>
    </w:rPr>
  </w:style>
  <w:style w:type="paragraph" w:customStyle="1" w:styleId="Organisationname">
    <w:name w:val="Organisation name"/>
    <w:basedOn w:val="CommentSubject"/>
    <w:autoRedefine/>
    <w:uiPriority w:val="1"/>
    <w:qFormat/>
    <w:rsid w:val="00AC5C7F"/>
    <w:pPr>
      <w:spacing w:before="0" w:after="1320" w:line="260" w:lineRule="atLeast"/>
    </w:pPr>
    <w:rPr>
      <w:noProof/>
      <w:color w:val="FFFFFF" w:themeColor="background1"/>
    </w:rPr>
  </w:style>
  <w:style w:type="paragraph" w:styleId="CommentSubject">
    <w:name w:val="annotation subject"/>
    <w:basedOn w:val="CommentText"/>
    <w:next w:val="CommentText"/>
    <w:link w:val="CommentSubjectChar"/>
    <w:uiPriority w:val="99"/>
    <w:unhideWhenUsed/>
    <w:rsid w:val="00E15D40"/>
    <w:rPr>
      <w:b/>
      <w:bCs/>
    </w:rPr>
  </w:style>
  <w:style w:type="paragraph" w:styleId="CommentText">
    <w:name w:val="annotation text"/>
    <w:basedOn w:val="Normal"/>
    <w:link w:val="CommentTextChar"/>
    <w:unhideWhenUsed/>
    <w:rsid w:val="00E15D40"/>
    <w:pPr>
      <w:spacing w:line="240" w:lineRule="auto"/>
    </w:pPr>
    <w:rPr>
      <w:sz w:val="20"/>
      <w:szCs w:val="20"/>
    </w:rPr>
  </w:style>
  <w:style w:type="character" w:customStyle="1" w:styleId="CommentTextChar">
    <w:name w:val="Comment Text Char"/>
    <w:basedOn w:val="DefaultParagraphFont"/>
    <w:link w:val="CommentText"/>
    <w:rsid w:val="00E15D40"/>
    <w:rPr>
      <w:rFonts w:ascii="Arial" w:hAnsi="Arial"/>
    </w:rPr>
  </w:style>
  <w:style w:type="character" w:customStyle="1" w:styleId="CommentSubjectChar">
    <w:name w:val="Comment Subject Char"/>
    <w:basedOn w:val="CommentTextChar"/>
    <w:link w:val="CommentSubject"/>
    <w:uiPriority w:val="99"/>
    <w:rsid w:val="00E15D40"/>
    <w:rPr>
      <w:rFonts w:ascii="Arial" w:hAnsi="Arial"/>
      <w:b/>
      <w:bCs/>
    </w:rPr>
  </w:style>
  <w:style w:type="paragraph" w:customStyle="1" w:styleId="Report">
    <w:name w:val="Report"/>
    <w:basedOn w:val="Normal"/>
    <w:next w:val="Normal"/>
    <w:uiPriority w:val="1"/>
    <w:qFormat/>
    <w:rsid w:val="002A4C1B"/>
    <w:pPr>
      <w:spacing w:before="4000" w:after="200" w:line="276" w:lineRule="auto"/>
    </w:pPr>
    <w:rPr>
      <w:b/>
    </w:rPr>
  </w:style>
  <w:style w:type="paragraph" w:styleId="NormalIndent">
    <w:name w:val="Normal Indent"/>
    <w:basedOn w:val="Normal"/>
    <w:unhideWhenUsed/>
    <w:rsid w:val="002A4C1B"/>
    <w:pPr>
      <w:ind w:left="720"/>
    </w:pPr>
  </w:style>
  <w:style w:type="paragraph" w:styleId="TOC3">
    <w:name w:val="toc 3"/>
    <w:basedOn w:val="Normal"/>
    <w:next w:val="Normal"/>
    <w:autoRedefine/>
    <w:uiPriority w:val="39"/>
    <w:unhideWhenUsed/>
    <w:rsid w:val="00600F10"/>
    <w:pPr>
      <w:spacing w:after="100"/>
      <w:ind w:left="440"/>
    </w:pPr>
  </w:style>
  <w:style w:type="character" w:styleId="CommentReference">
    <w:name w:val="annotation reference"/>
    <w:basedOn w:val="DefaultParagraphFont"/>
    <w:uiPriority w:val="99"/>
    <w:rsid w:val="00DB58FF"/>
    <w:rPr>
      <w:sz w:val="16"/>
      <w:szCs w:val="16"/>
    </w:rPr>
  </w:style>
  <w:style w:type="character" w:styleId="SubtleEmphasis">
    <w:name w:val="Subtle Emphasis"/>
    <w:basedOn w:val="DefaultParagraphFont"/>
    <w:uiPriority w:val="19"/>
    <w:qFormat/>
    <w:rsid w:val="00DB58FF"/>
    <w:rPr>
      <w:i/>
      <w:iCs/>
      <w:color w:val="808080" w:themeColor="text1" w:themeTint="7F"/>
    </w:rPr>
  </w:style>
  <w:style w:type="character" w:styleId="IntenseEmphasis">
    <w:name w:val="Intense Emphasis"/>
    <w:basedOn w:val="DefaultParagraphFont"/>
    <w:uiPriority w:val="21"/>
    <w:qFormat/>
    <w:rsid w:val="00DB58FF"/>
    <w:rPr>
      <w:b/>
      <w:bCs/>
      <w:i/>
      <w:iCs/>
      <w:color w:val="004200" w:themeColor="accent1"/>
    </w:rPr>
  </w:style>
  <w:style w:type="paragraph" w:styleId="Quote">
    <w:name w:val="Quote"/>
    <w:basedOn w:val="Normal"/>
    <w:next w:val="Normal"/>
    <w:link w:val="QuoteChar"/>
    <w:uiPriority w:val="29"/>
    <w:qFormat/>
    <w:rsid w:val="00DB58FF"/>
    <w:pPr>
      <w:spacing w:before="0" w:after="0" w:line="240" w:lineRule="auto"/>
    </w:pPr>
    <w:rPr>
      <w:rFonts w:ascii="Times New Roman" w:hAnsi="Times New Roman"/>
      <w:i/>
      <w:iCs/>
      <w:color w:val="000000" w:themeColor="text1"/>
      <w:sz w:val="24"/>
      <w:lang w:eastAsia="en-US"/>
    </w:rPr>
  </w:style>
  <w:style w:type="character" w:customStyle="1" w:styleId="QuoteChar">
    <w:name w:val="Quote Char"/>
    <w:basedOn w:val="DefaultParagraphFont"/>
    <w:link w:val="Quote"/>
    <w:uiPriority w:val="29"/>
    <w:rsid w:val="00DB58FF"/>
    <w:rPr>
      <w:i/>
      <w:iCs/>
      <w:color w:val="000000" w:themeColor="text1"/>
      <w:sz w:val="24"/>
      <w:szCs w:val="24"/>
      <w:lang w:eastAsia="en-US"/>
    </w:rPr>
  </w:style>
  <w:style w:type="paragraph" w:styleId="IntenseQuote">
    <w:name w:val="Intense Quote"/>
    <w:basedOn w:val="Normal"/>
    <w:next w:val="Normal"/>
    <w:link w:val="IntenseQuoteChar"/>
    <w:uiPriority w:val="30"/>
    <w:qFormat/>
    <w:rsid w:val="00DB58FF"/>
    <w:pPr>
      <w:pBdr>
        <w:bottom w:val="single" w:sz="4" w:space="4" w:color="004200" w:themeColor="accent1"/>
      </w:pBdr>
      <w:spacing w:before="200" w:after="280" w:line="240" w:lineRule="auto"/>
      <w:ind w:left="936" w:right="936"/>
    </w:pPr>
    <w:rPr>
      <w:rFonts w:ascii="Times New Roman" w:hAnsi="Times New Roman"/>
      <w:b/>
      <w:bCs/>
      <w:i/>
      <w:iCs/>
      <w:color w:val="004200" w:themeColor="accent1"/>
      <w:sz w:val="24"/>
      <w:lang w:eastAsia="en-US"/>
    </w:rPr>
  </w:style>
  <w:style w:type="character" w:customStyle="1" w:styleId="IntenseQuoteChar">
    <w:name w:val="Intense Quote Char"/>
    <w:basedOn w:val="DefaultParagraphFont"/>
    <w:link w:val="IntenseQuote"/>
    <w:uiPriority w:val="30"/>
    <w:rsid w:val="00DB58FF"/>
    <w:rPr>
      <w:b/>
      <w:bCs/>
      <w:i/>
      <w:iCs/>
      <w:color w:val="004200" w:themeColor="accent1"/>
      <w:sz w:val="24"/>
      <w:szCs w:val="24"/>
      <w:lang w:eastAsia="en-US"/>
    </w:rPr>
  </w:style>
  <w:style w:type="character" w:styleId="SubtleReference">
    <w:name w:val="Subtle Reference"/>
    <w:basedOn w:val="DefaultParagraphFont"/>
    <w:uiPriority w:val="31"/>
    <w:qFormat/>
    <w:rsid w:val="00DB58FF"/>
    <w:rPr>
      <w:smallCaps/>
      <w:color w:val="008A00" w:themeColor="accent2"/>
      <w:u w:val="single"/>
    </w:rPr>
  </w:style>
  <w:style w:type="character" w:styleId="IntenseReference">
    <w:name w:val="Intense Reference"/>
    <w:basedOn w:val="DefaultParagraphFont"/>
    <w:uiPriority w:val="32"/>
    <w:qFormat/>
    <w:rsid w:val="00DB58FF"/>
    <w:rPr>
      <w:b/>
      <w:bCs/>
      <w:i/>
      <w:smallCaps/>
      <w:color w:val="008A00" w:themeColor="accent2"/>
      <w:spacing w:val="5"/>
      <w:u w:val="none"/>
    </w:rPr>
  </w:style>
  <w:style w:type="character" w:styleId="BookTitle">
    <w:name w:val="Book Title"/>
    <w:basedOn w:val="DefaultParagraphFont"/>
    <w:uiPriority w:val="33"/>
    <w:qFormat/>
    <w:rsid w:val="00DB58FF"/>
    <w:rPr>
      <w:b/>
      <w:bCs/>
      <w:smallCaps/>
      <w:spacing w:val="5"/>
    </w:rPr>
  </w:style>
  <w:style w:type="paragraph" w:customStyle="1" w:styleId="Default">
    <w:name w:val="Default"/>
    <w:rsid w:val="00DB58FF"/>
    <w:pPr>
      <w:autoSpaceDE w:val="0"/>
      <w:autoSpaceDN w:val="0"/>
      <w:adjustRightInd w:val="0"/>
    </w:pPr>
    <w:rPr>
      <w:rFonts w:ascii="Arial" w:hAnsi="Arial" w:cs="Arial"/>
      <w:color w:val="000000"/>
      <w:sz w:val="24"/>
      <w:szCs w:val="24"/>
    </w:rPr>
  </w:style>
  <w:style w:type="paragraph" w:customStyle="1" w:styleId="Itemheading">
    <w:name w:val="Item heading"/>
    <w:basedOn w:val="ListParagraph"/>
    <w:link w:val="ItemheadingChar"/>
    <w:autoRedefine/>
    <w:qFormat/>
    <w:rsid w:val="00DB58FF"/>
    <w:pPr>
      <w:spacing w:before="0" w:after="0" w:line="240" w:lineRule="auto"/>
      <w:ind w:left="2417" w:hanging="432"/>
      <w:contextualSpacing/>
    </w:pPr>
    <w:rPr>
      <w:b/>
      <w:sz w:val="24"/>
      <w:lang w:eastAsia="en-US"/>
    </w:rPr>
  </w:style>
  <w:style w:type="character" w:customStyle="1" w:styleId="ItemheadingChar">
    <w:name w:val="Item heading Char"/>
    <w:basedOn w:val="ListParagraphChar"/>
    <w:link w:val="Itemheading"/>
    <w:rsid w:val="00DB58FF"/>
    <w:rPr>
      <w:rFonts w:ascii="Arial" w:hAnsi="Arial"/>
      <w:b/>
      <w:sz w:val="24"/>
      <w:szCs w:val="24"/>
      <w:lang w:eastAsia="en-US"/>
    </w:rPr>
  </w:style>
  <w:style w:type="paragraph" w:styleId="NormalWeb">
    <w:name w:val="Normal (Web)"/>
    <w:basedOn w:val="Normal"/>
    <w:uiPriority w:val="99"/>
    <w:unhideWhenUsed/>
    <w:rsid w:val="00DB58FF"/>
    <w:pPr>
      <w:spacing w:before="100" w:beforeAutospacing="1" w:after="100" w:afterAutospacing="1" w:line="240" w:lineRule="auto"/>
    </w:pPr>
    <w:rPr>
      <w:rFonts w:ascii="Times New Roman" w:hAnsi="Times New Roman"/>
      <w:sz w:val="24"/>
    </w:rPr>
  </w:style>
  <w:style w:type="paragraph" w:styleId="Revision">
    <w:name w:val="Revision"/>
    <w:hidden/>
    <w:uiPriority w:val="99"/>
    <w:semiHidden/>
    <w:rsid w:val="00DB58FF"/>
    <w:rPr>
      <w:sz w:val="24"/>
      <w:szCs w:val="24"/>
      <w:lang w:eastAsia="en-US"/>
    </w:rPr>
  </w:style>
  <w:style w:type="paragraph" w:customStyle="1" w:styleId="xl66">
    <w:name w:val="xl66"/>
    <w:basedOn w:val="Normal"/>
    <w:rsid w:val="00DB58FF"/>
    <w:pPr>
      <w:spacing w:before="100" w:beforeAutospacing="1" w:after="100" w:afterAutospacing="1" w:line="240" w:lineRule="auto"/>
    </w:pPr>
    <w:rPr>
      <w:rFonts w:ascii="Times New Roman" w:hAnsi="Times New Roman"/>
      <w:b/>
      <w:bCs/>
      <w:sz w:val="24"/>
    </w:rPr>
  </w:style>
  <w:style w:type="paragraph" w:customStyle="1" w:styleId="xl67">
    <w:name w:val="xl67"/>
    <w:basedOn w:val="Normal"/>
    <w:rsid w:val="00DB58FF"/>
    <w:pPr>
      <w:pBdr>
        <w:bottom w:val="single" w:sz="4" w:space="0" w:color="auto"/>
      </w:pBdr>
      <w:spacing w:before="100" w:beforeAutospacing="1" w:after="100" w:afterAutospacing="1" w:line="240" w:lineRule="auto"/>
    </w:pPr>
    <w:rPr>
      <w:rFonts w:ascii="Times New Roman" w:hAnsi="Times New Roman"/>
      <w:sz w:val="24"/>
    </w:rPr>
  </w:style>
  <w:style w:type="paragraph" w:customStyle="1" w:styleId="xl68">
    <w:name w:val="xl68"/>
    <w:basedOn w:val="Normal"/>
    <w:rsid w:val="00DB58FF"/>
    <w:pPr>
      <w:spacing w:before="100" w:beforeAutospacing="1" w:after="100" w:afterAutospacing="1" w:line="240" w:lineRule="auto"/>
    </w:pPr>
    <w:rPr>
      <w:rFonts w:ascii="Times New Roman" w:hAnsi="Times New Roman"/>
      <w:sz w:val="24"/>
    </w:rPr>
  </w:style>
  <w:style w:type="paragraph" w:customStyle="1" w:styleId="xl69">
    <w:name w:val="xl69"/>
    <w:basedOn w:val="Normal"/>
    <w:rsid w:val="00DB58FF"/>
    <w:pPr>
      <w:pBdr>
        <w:top w:val="single" w:sz="4" w:space="0" w:color="auto"/>
      </w:pBdr>
      <w:spacing w:before="100" w:beforeAutospacing="1" w:after="100" w:afterAutospacing="1" w:line="240" w:lineRule="auto"/>
    </w:pPr>
    <w:rPr>
      <w:rFonts w:ascii="Times New Roman" w:hAnsi="Times New Roman"/>
      <w:sz w:val="24"/>
    </w:rPr>
  </w:style>
  <w:style w:type="paragraph" w:customStyle="1" w:styleId="xl70">
    <w:name w:val="xl70"/>
    <w:basedOn w:val="Normal"/>
    <w:rsid w:val="00DB58FF"/>
    <w:pPr>
      <w:pBdr>
        <w:top w:val="single" w:sz="4" w:space="0" w:color="auto"/>
      </w:pBdr>
      <w:spacing w:before="100" w:beforeAutospacing="1" w:after="100" w:afterAutospacing="1" w:line="240" w:lineRule="auto"/>
    </w:pPr>
    <w:rPr>
      <w:rFonts w:ascii="Times New Roman" w:hAnsi="Times New Roman"/>
      <w:b/>
      <w:bCs/>
      <w:sz w:val="24"/>
    </w:rPr>
  </w:style>
  <w:style w:type="paragraph" w:customStyle="1" w:styleId="xl71">
    <w:name w:val="xl71"/>
    <w:basedOn w:val="Normal"/>
    <w:rsid w:val="00DB58FF"/>
    <w:pPr>
      <w:pBdr>
        <w:bottom w:val="single" w:sz="4" w:space="0" w:color="auto"/>
      </w:pBdr>
      <w:spacing w:before="100" w:beforeAutospacing="1" w:after="100" w:afterAutospacing="1" w:line="240" w:lineRule="auto"/>
    </w:pPr>
    <w:rPr>
      <w:rFonts w:ascii="Times New Roman" w:hAnsi="Times New Roman"/>
      <w:b/>
      <w:bCs/>
      <w:sz w:val="24"/>
    </w:rPr>
  </w:style>
  <w:style w:type="paragraph" w:customStyle="1" w:styleId="xl72">
    <w:name w:val="xl72"/>
    <w:basedOn w:val="Normal"/>
    <w:rsid w:val="00DB58FF"/>
    <w:pPr>
      <w:pBdr>
        <w:top w:val="single" w:sz="4" w:space="0" w:color="auto"/>
      </w:pBdr>
      <w:spacing w:before="100" w:beforeAutospacing="1" w:after="100" w:afterAutospacing="1" w:line="240" w:lineRule="auto"/>
      <w:textAlignment w:val="top"/>
    </w:pPr>
    <w:rPr>
      <w:rFonts w:ascii="Times New Roman" w:hAnsi="Times New Roman"/>
      <w:b/>
      <w:bCs/>
      <w:sz w:val="24"/>
    </w:rPr>
  </w:style>
  <w:style w:type="paragraph" w:customStyle="1" w:styleId="xl73">
    <w:name w:val="xl73"/>
    <w:basedOn w:val="Normal"/>
    <w:rsid w:val="00DB58FF"/>
    <w:pPr>
      <w:spacing w:before="100" w:beforeAutospacing="1" w:after="100" w:afterAutospacing="1" w:line="240" w:lineRule="auto"/>
      <w:textAlignment w:val="top"/>
    </w:pPr>
    <w:rPr>
      <w:rFonts w:ascii="Times New Roman" w:hAnsi="Times New Roman"/>
      <w:b/>
      <w:bCs/>
      <w:sz w:val="24"/>
    </w:rPr>
  </w:style>
  <w:style w:type="paragraph" w:customStyle="1" w:styleId="xl74">
    <w:name w:val="xl74"/>
    <w:basedOn w:val="Normal"/>
    <w:rsid w:val="00DB58FF"/>
    <w:pPr>
      <w:pBdr>
        <w:bottom w:val="dotted" w:sz="4" w:space="0" w:color="auto"/>
      </w:pBdr>
      <w:spacing w:before="100" w:beforeAutospacing="1" w:after="100" w:afterAutospacing="1" w:line="240" w:lineRule="auto"/>
    </w:pPr>
    <w:rPr>
      <w:rFonts w:ascii="Times New Roman" w:hAnsi="Times New Roman"/>
      <w:sz w:val="24"/>
    </w:rPr>
  </w:style>
  <w:style w:type="paragraph" w:customStyle="1" w:styleId="xl75">
    <w:name w:val="xl75"/>
    <w:basedOn w:val="Normal"/>
    <w:rsid w:val="00DB58FF"/>
    <w:pPr>
      <w:pBdr>
        <w:top w:val="dotted" w:sz="4" w:space="0" w:color="auto"/>
        <w:bottom w:val="dotted" w:sz="4" w:space="0" w:color="auto"/>
      </w:pBdr>
      <w:spacing w:before="100" w:beforeAutospacing="1" w:after="100" w:afterAutospacing="1" w:line="240" w:lineRule="auto"/>
    </w:pPr>
    <w:rPr>
      <w:rFonts w:ascii="Times New Roman" w:hAnsi="Times New Roman"/>
      <w:sz w:val="24"/>
    </w:rPr>
  </w:style>
  <w:style w:type="paragraph" w:customStyle="1" w:styleId="xl76">
    <w:name w:val="xl76"/>
    <w:basedOn w:val="Normal"/>
    <w:rsid w:val="00DB58FF"/>
    <w:pPr>
      <w:pBdr>
        <w:top w:val="dotted" w:sz="4" w:space="0" w:color="auto"/>
      </w:pBdr>
      <w:spacing w:before="100" w:beforeAutospacing="1" w:after="100" w:afterAutospacing="1" w:line="240" w:lineRule="auto"/>
    </w:pPr>
    <w:rPr>
      <w:rFonts w:ascii="Times New Roman" w:hAnsi="Times New Roman"/>
      <w:sz w:val="24"/>
    </w:rPr>
  </w:style>
  <w:style w:type="paragraph" w:customStyle="1" w:styleId="xl77">
    <w:name w:val="xl77"/>
    <w:basedOn w:val="Normal"/>
    <w:rsid w:val="00DB58FF"/>
    <w:pPr>
      <w:spacing w:before="100" w:beforeAutospacing="1" w:after="100" w:afterAutospacing="1" w:line="240" w:lineRule="auto"/>
      <w:jc w:val="center"/>
      <w:textAlignment w:val="top"/>
    </w:pPr>
    <w:rPr>
      <w:rFonts w:ascii="Times New Roman" w:hAnsi="Times New Roman"/>
      <w:b/>
      <w:bCs/>
      <w:sz w:val="24"/>
    </w:rPr>
  </w:style>
  <w:style w:type="paragraph" w:customStyle="1" w:styleId="xl78">
    <w:name w:val="xl78"/>
    <w:basedOn w:val="Normal"/>
    <w:rsid w:val="00DB58FF"/>
    <w:pPr>
      <w:pBdr>
        <w:top w:val="dotted" w:sz="4" w:space="0" w:color="auto"/>
        <w:bottom w:val="single" w:sz="4" w:space="0" w:color="auto"/>
      </w:pBdr>
      <w:spacing w:before="100" w:beforeAutospacing="1" w:after="100" w:afterAutospacing="1" w:line="240" w:lineRule="auto"/>
    </w:pPr>
    <w:rPr>
      <w:rFonts w:ascii="Times New Roman" w:hAnsi="Times New Roman"/>
      <w:sz w:val="24"/>
    </w:rPr>
  </w:style>
  <w:style w:type="paragraph" w:customStyle="1" w:styleId="xl79">
    <w:name w:val="xl79"/>
    <w:basedOn w:val="Normal"/>
    <w:rsid w:val="00DB58FF"/>
    <w:pPr>
      <w:spacing w:before="100" w:beforeAutospacing="1" w:after="100" w:afterAutospacing="1" w:line="240" w:lineRule="auto"/>
      <w:jc w:val="center"/>
      <w:textAlignment w:val="top"/>
    </w:pPr>
    <w:rPr>
      <w:rFonts w:ascii="Times New Roman" w:hAnsi="Times New Roman"/>
      <w:sz w:val="24"/>
    </w:rPr>
  </w:style>
  <w:style w:type="paragraph" w:styleId="Caption">
    <w:name w:val="caption"/>
    <w:basedOn w:val="Normal"/>
    <w:next w:val="Normal"/>
    <w:uiPriority w:val="35"/>
    <w:unhideWhenUsed/>
    <w:qFormat/>
    <w:rsid w:val="00DB58FF"/>
    <w:pPr>
      <w:spacing w:before="0" w:after="200" w:line="240" w:lineRule="auto"/>
    </w:pPr>
    <w:rPr>
      <w:rFonts w:ascii="Times New Roman" w:hAnsi="Times New Roman"/>
      <w:i/>
      <w:iCs/>
      <w:color w:val="333132" w:themeColor="text2"/>
      <w:sz w:val="18"/>
      <w:szCs w:val="18"/>
      <w:lang w:eastAsia="en-US"/>
    </w:rPr>
  </w:style>
  <w:style w:type="paragraph" w:styleId="TableofFigures">
    <w:name w:val="table of figures"/>
    <w:basedOn w:val="Normal"/>
    <w:next w:val="Normal"/>
    <w:uiPriority w:val="99"/>
    <w:unhideWhenUsed/>
    <w:rsid w:val="00DB58FF"/>
    <w:pPr>
      <w:spacing w:before="0" w:after="0" w:line="259" w:lineRule="auto"/>
    </w:pPr>
    <w:rPr>
      <w:rFonts w:asciiTheme="minorHAnsi" w:eastAsiaTheme="minorHAnsi" w:hAnsiTheme="minorHAnsi" w:cstheme="minorBidi"/>
      <w:szCs w:val="22"/>
      <w:lang w:eastAsia="en-US"/>
    </w:rPr>
  </w:style>
  <w:style w:type="paragraph" w:styleId="List">
    <w:name w:val="List"/>
    <w:basedOn w:val="Normal"/>
    <w:unhideWhenUsed/>
    <w:rsid w:val="00AE7261"/>
    <w:pPr>
      <w:numPr>
        <w:numId w:val="4"/>
      </w:numPr>
      <w:contextualSpacing/>
    </w:pPr>
  </w:style>
  <w:style w:type="character" w:customStyle="1" w:styleId="Heading7Char">
    <w:name w:val="Heading 7 Char"/>
    <w:basedOn w:val="DefaultParagraphFont"/>
    <w:link w:val="Heading7"/>
    <w:semiHidden/>
    <w:rsid w:val="00AE7261"/>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AE726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AE7261"/>
    <w:rPr>
      <w:rFonts w:asciiTheme="majorHAnsi" w:eastAsiaTheme="majorEastAsia" w:hAnsiTheme="majorHAnsi" w:cstheme="majorBidi"/>
      <w:i/>
      <w:iCs/>
      <w:color w:val="404040" w:themeColor="text1" w:themeTint="BF"/>
    </w:rPr>
  </w:style>
  <w:style w:type="paragraph" w:styleId="TOC4">
    <w:name w:val="toc 4"/>
    <w:basedOn w:val="Normal"/>
    <w:next w:val="Normal"/>
    <w:autoRedefine/>
    <w:uiPriority w:val="39"/>
    <w:unhideWhenUsed/>
    <w:rsid w:val="004B0F3D"/>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4B0F3D"/>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4B0F3D"/>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4B0F3D"/>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4B0F3D"/>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4B0F3D"/>
    <w:pPr>
      <w:spacing w:before="0" w:after="100" w:line="276" w:lineRule="auto"/>
      <w:ind w:left="1760"/>
    </w:pPr>
    <w:rPr>
      <w:rFonts w:asciiTheme="minorHAnsi" w:eastAsiaTheme="minorEastAsia" w:hAnsiTheme="minorHAnsi" w:cstheme="minorBidi"/>
      <w:szCs w:val="22"/>
    </w:rPr>
  </w:style>
  <w:style w:type="paragraph" w:customStyle="1" w:styleId="2ndlevel">
    <w:name w:val="2ndlevel"/>
    <w:basedOn w:val="ListParagraph"/>
    <w:qFormat/>
    <w:rsid w:val="008E69BF"/>
    <w:pPr>
      <w:numPr>
        <w:ilvl w:val="1"/>
        <w:numId w:val="3"/>
      </w:numPr>
      <w:spacing w:after="240" w:line="240" w:lineRule="auto"/>
      <w:ind w:left="1134" w:hanging="567"/>
    </w:pPr>
    <w:rPr>
      <w:rFonts w:cs="Arial"/>
      <w:b/>
      <w:sz w:val="20"/>
      <w:lang w:eastAsia="en-US"/>
    </w:rPr>
  </w:style>
  <w:style w:type="table" w:styleId="LightShading">
    <w:name w:val="Light Shading"/>
    <w:basedOn w:val="TableNormal"/>
    <w:uiPriority w:val="60"/>
    <w:rsid w:val="008E69B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ullet-text">
    <w:name w:val="Bullet - text"/>
    <w:basedOn w:val="ListBullet"/>
    <w:link w:val="Bullet-textChar"/>
    <w:uiPriority w:val="1"/>
    <w:qFormat/>
    <w:rsid w:val="00636603"/>
    <w:pPr>
      <w:tabs>
        <w:tab w:val="num" w:pos="2194"/>
      </w:tabs>
      <w:ind w:left="2194"/>
    </w:pPr>
  </w:style>
  <w:style w:type="character" w:customStyle="1" w:styleId="ListBulletChar">
    <w:name w:val="List Bullet Char"/>
    <w:basedOn w:val="DefaultParagraphFont"/>
    <w:link w:val="ListBullet"/>
    <w:rsid w:val="00636603"/>
    <w:rPr>
      <w:rFonts w:ascii="Arial" w:hAnsi="Arial"/>
      <w:sz w:val="22"/>
      <w:szCs w:val="24"/>
      <w:lang w:eastAsia="ja-JP"/>
    </w:rPr>
  </w:style>
  <w:style w:type="character" w:customStyle="1" w:styleId="Bullet-textChar">
    <w:name w:val="Bullet - text Char"/>
    <w:basedOn w:val="ListBulletChar"/>
    <w:link w:val="Bullet-text"/>
    <w:uiPriority w:val="1"/>
    <w:rsid w:val="00636603"/>
    <w:rPr>
      <w:rFonts w:ascii="Arial" w:hAnsi="Arial"/>
      <w:sz w:val="22"/>
      <w:szCs w:val="24"/>
      <w:lang w:eastAsia="ja-JP"/>
    </w:rPr>
  </w:style>
  <w:style w:type="paragraph" w:customStyle="1" w:styleId="TableNormal1">
    <w:name w:val="Table Normal1"/>
    <w:basedOn w:val="Normal"/>
    <w:link w:val="NormalTableChar"/>
    <w:uiPriority w:val="1"/>
    <w:qFormat/>
    <w:rsid w:val="00A018A3"/>
    <w:pPr>
      <w:numPr>
        <w:ilvl w:val="0"/>
        <w:numId w:val="0"/>
      </w:numPr>
    </w:pPr>
    <w:rPr>
      <w:lang w:eastAsia="ja-JP"/>
    </w:rPr>
  </w:style>
  <w:style w:type="character" w:customStyle="1" w:styleId="NormalTableChar">
    <w:name w:val="Normal Table Char"/>
    <w:basedOn w:val="DefaultParagraphFont"/>
    <w:link w:val="TableNormal1"/>
    <w:uiPriority w:val="1"/>
    <w:rsid w:val="00A018A3"/>
    <w:rPr>
      <w:rFonts w:ascii="Arial" w:hAnsi="Arial"/>
      <w:sz w:val="22"/>
      <w:szCs w:val="24"/>
      <w:lang w:eastAsia="ja-JP"/>
    </w:rPr>
  </w:style>
  <w:style w:type="paragraph" w:customStyle="1" w:styleId="Normal-Nonumbers">
    <w:name w:val="Normal - No numbers"/>
    <w:basedOn w:val="Normal"/>
    <w:link w:val="Normal-NonumbersChar"/>
    <w:uiPriority w:val="1"/>
    <w:qFormat/>
    <w:rsid w:val="00C0210B"/>
    <w:pPr>
      <w:numPr>
        <w:ilvl w:val="0"/>
        <w:numId w:val="0"/>
      </w:numPr>
    </w:pPr>
    <w:rPr>
      <w:rFonts w:eastAsia="Calibri"/>
    </w:rPr>
  </w:style>
  <w:style w:type="character" w:customStyle="1" w:styleId="Normal-NonumbersChar">
    <w:name w:val="Normal - No numbers Char"/>
    <w:basedOn w:val="DefaultParagraphFont"/>
    <w:link w:val="Normal-Nonumbers"/>
    <w:uiPriority w:val="1"/>
    <w:rsid w:val="00C0210B"/>
    <w:rPr>
      <w:rFonts w:ascii="Arial" w:eastAsia="Calibri" w:hAnsi="Arial"/>
      <w:sz w:val="22"/>
      <w:szCs w:val="24"/>
    </w:rPr>
  </w:style>
  <w:style w:type="paragraph" w:customStyle="1" w:styleId="Organisation">
    <w:name w:val="Organisation"/>
    <w:basedOn w:val="Normal"/>
    <w:next w:val="Title"/>
    <w:autoRedefine/>
    <w:uiPriority w:val="1"/>
    <w:qFormat/>
    <w:rsid w:val="007125E1"/>
    <w:pPr>
      <w:numPr>
        <w:ilvl w:val="0"/>
        <w:numId w:val="0"/>
      </w:numPr>
      <w:spacing w:before="0" w:after="1320"/>
    </w:pPr>
    <w:rPr>
      <w:b/>
      <w:noProof/>
      <w:color w:val="008A00" w:themeColor="accent2"/>
      <w:sz w:val="20"/>
      <w:szCs w:val="16"/>
    </w:rPr>
  </w:style>
  <w:style w:type="character" w:styleId="LineNumber">
    <w:name w:val="line number"/>
    <w:basedOn w:val="DefaultParagraphFont"/>
    <w:unhideWhenUsed/>
    <w:rsid w:val="00663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81817">
      <w:bodyDiv w:val="1"/>
      <w:marLeft w:val="0"/>
      <w:marRight w:val="0"/>
      <w:marTop w:val="0"/>
      <w:marBottom w:val="0"/>
      <w:divBdr>
        <w:top w:val="none" w:sz="0" w:space="0" w:color="auto"/>
        <w:left w:val="none" w:sz="0" w:space="0" w:color="auto"/>
        <w:bottom w:val="none" w:sz="0" w:space="0" w:color="auto"/>
        <w:right w:val="none" w:sz="0" w:space="0" w:color="auto"/>
      </w:divBdr>
    </w:div>
    <w:div w:id="544025849">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47864775">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299602256">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535459201">
      <w:bodyDiv w:val="1"/>
      <w:marLeft w:val="0"/>
      <w:marRight w:val="0"/>
      <w:marTop w:val="0"/>
      <w:marBottom w:val="0"/>
      <w:divBdr>
        <w:top w:val="none" w:sz="0" w:space="0" w:color="auto"/>
        <w:left w:val="none" w:sz="0" w:space="0" w:color="auto"/>
        <w:bottom w:val="none" w:sz="0" w:space="0" w:color="auto"/>
        <w:right w:val="none" w:sz="0" w:space="0" w:color="auto"/>
      </w:divBdr>
    </w:div>
    <w:div w:id="1806969044">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3.0/au/legalco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deed.en"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creativecommons.org/licenses/by/3.0/au/deed.en" TargetMode="External"/></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A00"/>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D6BFC-1620-4909-A512-F31C97BBB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22966</Words>
  <Characters>129710</Characters>
  <Application>Microsoft Office Word</Application>
  <DocSecurity>0</DocSecurity>
  <Lines>1080</Lines>
  <Paragraphs>304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2021-08-24T20:58:00Z</dcterms:created>
  <dcterms:modified xsi:type="dcterms:W3CDTF">2021-08-25T00:19:00Z</dcterms:modified>
</cp:coreProperties>
</file>