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6D" w:rsidRPr="00641A95" w:rsidRDefault="00641A95" w:rsidP="00600F10">
      <w:pPr>
        <w:pStyle w:val="Organisationname"/>
        <w:rPr>
          <w:color w:val="004200" w:themeColor="accent1"/>
        </w:rPr>
      </w:pPr>
      <w:bookmarkStart w:id="0" w:name="_GoBack"/>
      <w:bookmarkEnd w:id="0"/>
      <w:r w:rsidRPr="00641A95">
        <w:rPr>
          <w:b w:val="0"/>
          <w:color w:val="004200" w:themeColor="accent1"/>
          <w:sz w:val="16"/>
          <w:szCs w:val="16"/>
        </w:rPr>
        <w:drawing>
          <wp:anchor distT="0" distB="0" distL="114300" distR="114300" simplePos="0" relativeHeight="251660287" behindDoc="1" locked="1" layoutInCell="0" allowOverlap="1" wp14:anchorId="455DFC49" wp14:editId="41A4650B">
            <wp:simplePos x="0" y="0"/>
            <wp:positionH relativeFrom="page">
              <wp:posOffset>-17780</wp:posOffset>
            </wp:positionH>
            <wp:positionV relativeFrom="page">
              <wp:posOffset>1270</wp:posOffset>
            </wp:positionV>
            <wp:extent cx="7592060" cy="10738485"/>
            <wp:effectExtent l="0" t="0" r="8890" b="571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CC586D" w:rsidRPr="00641A95">
        <w:rPr>
          <w:color w:val="004200" w:themeColor="accent1"/>
        </w:rPr>
        <w:t>Independent Hospital Pricing Authority</w:t>
      </w:r>
    </w:p>
    <w:p w:rsidR="00102824" w:rsidRPr="00641A95" w:rsidRDefault="00154D81" w:rsidP="002445A1">
      <w:pPr>
        <w:pStyle w:val="Title"/>
        <w:rPr>
          <w:color w:val="004200" w:themeColor="accent1"/>
        </w:rPr>
      </w:pPr>
      <w:bookmarkStart w:id="1" w:name="_Toc490036919"/>
      <w:bookmarkStart w:id="2" w:name="_Toc490037061"/>
      <w:bookmarkStart w:id="3" w:name="_Toc514924106"/>
      <w:r w:rsidRPr="00641A95">
        <w:rPr>
          <w:color w:val="004200" w:themeColor="accent1"/>
        </w:rPr>
        <w:t>Australian Mental Health Care Classification v1.0</w:t>
      </w:r>
      <w:bookmarkEnd w:id="1"/>
      <w:bookmarkEnd w:id="2"/>
      <w:bookmarkEnd w:id="3"/>
    </w:p>
    <w:p w:rsidR="00E15D40" w:rsidRPr="00641A95" w:rsidRDefault="00154D81" w:rsidP="00E15D40">
      <w:pPr>
        <w:pStyle w:val="Subtitle"/>
        <w:rPr>
          <w:color w:val="004200" w:themeColor="accent1"/>
          <w:szCs w:val="40"/>
        </w:rPr>
      </w:pPr>
      <w:r w:rsidRPr="00641A95">
        <w:rPr>
          <w:color w:val="004200" w:themeColor="accent1"/>
          <w:szCs w:val="40"/>
        </w:rPr>
        <w:t>User Manual</w:t>
      </w:r>
    </w:p>
    <w:p w:rsidR="0035219F" w:rsidRPr="00641A95" w:rsidRDefault="003C032F" w:rsidP="00E15D40">
      <w:pPr>
        <w:pStyle w:val="Versionanddate"/>
        <w:contextualSpacing/>
        <w:rPr>
          <w:color w:val="008A00" w:themeColor="accent2"/>
          <w:szCs w:val="24"/>
        </w:rPr>
      </w:pPr>
      <w:r>
        <w:rPr>
          <w:color w:val="008A00" w:themeColor="accent2"/>
          <w:szCs w:val="24"/>
        </w:rPr>
        <w:t>May 2018</w:t>
      </w:r>
    </w:p>
    <w:p w:rsidR="0035219F" w:rsidRDefault="0035219F" w:rsidP="0035219F"/>
    <w:p w:rsidR="00EC2C42" w:rsidRDefault="00EC2C42" w:rsidP="00EC2C42">
      <w:pPr>
        <w:pStyle w:val="Versionanddate"/>
        <w:rPr>
          <w:color w:val="004200" w:themeColor="accent1"/>
        </w:rPr>
        <w:sectPr w:rsidR="00EC2C42" w:rsidSect="006D7DE6">
          <w:headerReference w:type="default" r:id="rId10"/>
          <w:pgSz w:w="11906" w:h="16838" w:code="9"/>
          <w:pgMar w:top="2041" w:right="3232" w:bottom="1021" w:left="1021" w:header="680" w:footer="510" w:gutter="0"/>
          <w:pgNumType w:start="1"/>
          <w:cols w:space="708"/>
          <w:docGrid w:linePitch="360"/>
        </w:sectPr>
      </w:pPr>
      <w:bookmarkStart w:id="4" w:name="_Toc432437392"/>
    </w:p>
    <w:bookmarkEnd w:id="4"/>
    <w:p w:rsidR="002A4C1B" w:rsidRPr="00EC2C42" w:rsidRDefault="00154D81" w:rsidP="00EC2C42">
      <w:pPr>
        <w:pStyle w:val="Report"/>
      </w:pPr>
      <w:r>
        <w:lastRenderedPageBreak/>
        <w:t xml:space="preserve">Australian Mental Health Care Classification v1.0 </w:t>
      </w:r>
      <w:r w:rsidR="002A4C1B" w:rsidRPr="00EC2C42">
        <w:t xml:space="preserve">– </w:t>
      </w:r>
      <w:r>
        <w:t xml:space="preserve">User Manual </w:t>
      </w:r>
      <w:r w:rsidR="002A4C1B" w:rsidRPr="00EC2C42">
        <w:t xml:space="preserve">– </w:t>
      </w:r>
      <w:r w:rsidR="00C86AAD">
        <w:t>May 2018</w:t>
      </w:r>
    </w:p>
    <w:p w:rsidR="002A4C1B" w:rsidRDefault="002A4C1B" w:rsidP="002A4C1B"/>
    <w:p w:rsidR="002A4C1B" w:rsidRDefault="002A4C1B" w:rsidP="002A4C1B">
      <w:r>
        <w:t xml:space="preserve">© Independent Hospital Pricing Authority </w:t>
      </w:r>
      <w:r w:rsidR="00C86AAD">
        <w:t>2018</w:t>
      </w:r>
    </w:p>
    <w:p w:rsidR="002A4C1B" w:rsidRDefault="002A4C1B" w:rsidP="002A4C1B">
      <w:r>
        <w:t xml:space="preserve">This publication is available for your use under a </w:t>
      </w:r>
      <w:hyperlink r:id="rId11" w:history="1">
        <w:r w:rsidRPr="002A4C1B">
          <w:rPr>
            <w:rStyle w:val="Hyperlink"/>
          </w:rPr>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2" w:history="1">
        <w:r w:rsidRPr="002A4C1B">
          <w:rPr>
            <w:rStyle w:val="Hyperlink"/>
          </w:rPr>
          <w:t>the Creative Commons website</w:t>
        </w:r>
      </w:hyperlink>
      <w:r>
        <w:t>.</w:t>
      </w:r>
    </w:p>
    <w:p w:rsidR="002A4C1B" w:rsidRDefault="002A4C1B" w:rsidP="002A4C1B">
      <w:r w:rsidRPr="006150B7">
        <w:rPr>
          <w:rFonts w:cs="Calibri"/>
          <w:noProof/>
          <w:sz w:val="24"/>
        </w:rPr>
        <w:drawing>
          <wp:inline distT="0" distB="0" distL="0" distR="0" wp14:anchorId="30B40F08" wp14:editId="06B16500">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2A4C1B" w:rsidRDefault="002A4C1B" w:rsidP="002A4C1B">
      <w:r>
        <w:t xml:space="preserve">Use of Independent Hospital Pricing Authority material under a </w:t>
      </w:r>
      <w:hyperlink r:id="rId14" w:history="1">
        <w:r w:rsidRPr="002A4C1B">
          <w:rPr>
            <w:rStyle w:val="Hyperlink"/>
          </w:rPr>
          <w:t>Creative Commons BY Attribution 3.0 Australia</w:t>
        </w:r>
      </w:hyperlink>
      <w:r>
        <w:t xml:space="preserve"> licence requires you to attribute the work (but not in any way that suggests that the Independent Hospital Pricing Authority endorses you or your use of the work).</w:t>
      </w:r>
    </w:p>
    <w:p w:rsidR="002A4C1B" w:rsidRPr="002A4C1B" w:rsidRDefault="002A4C1B" w:rsidP="002A4C1B">
      <w:pPr>
        <w:rPr>
          <w:i/>
        </w:rPr>
      </w:pPr>
      <w:r w:rsidRPr="002A4C1B">
        <w:rPr>
          <w:i/>
        </w:rPr>
        <w:t>Independent Hospital Pricing Authority material used 'as supplied'.</w:t>
      </w:r>
    </w:p>
    <w:p w:rsidR="002A4C1B" w:rsidRDefault="002A4C1B" w:rsidP="002A4C1B">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rsidR="00154D81" w:rsidRDefault="002A4C1B" w:rsidP="002A4C1B">
      <w:pPr>
        <w:pStyle w:val="NormalIndent"/>
        <w:rPr>
          <w:i/>
        </w:rPr>
      </w:pPr>
      <w:r w:rsidRPr="002A4C1B">
        <w:rPr>
          <w:i/>
        </w:rPr>
        <w:t>Source: The Independent Hospital Pricing Authority</w:t>
      </w:r>
    </w:p>
    <w:p w:rsidR="00154D81" w:rsidRDefault="00154D81">
      <w:pPr>
        <w:spacing w:before="0" w:after="0" w:line="240" w:lineRule="auto"/>
        <w:rPr>
          <w:i/>
        </w:rPr>
      </w:pPr>
      <w:r>
        <w:rPr>
          <w:i/>
        </w:rPr>
        <w:br w:type="page"/>
      </w:r>
    </w:p>
    <w:p w:rsidR="00154D81" w:rsidRPr="001904F9" w:rsidRDefault="001904F9" w:rsidP="00154D81">
      <w:pPr>
        <w:pStyle w:val="Heading1"/>
        <w:spacing w:after="120"/>
        <w:rPr>
          <w:sz w:val="24"/>
          <w:szCs w:val="22"/>
        </w:rPr>
      </w:pPr>
      <w:bookmarkStart w:id="5" w:name="_Toc405283634"/>
      <w:bookmarkStart w:id="6" w:name="_Toc452975642"/>
      <w:bookmarkStart w:id="7" w:name="_Toc483478572"/>
      <w:bookmarkStart w:id="8" w:name="_Toc514924107"/>
      <w:r w:rsidRPr="001904F9">
        <w:rPr>
          <w:sz w:val="24"/>
          <w:szCs w:val="22"/>
        </w:rPr>
        <w:lastRenderedPageBreak/>
        <w:t>Document Information</w:t>
      </w:r>
      <w:bookmarkEnd w:id="5"/>
      <w:bookmarkEnd w:id="6"/>
      <w:bookmarkEnd w:id="7"/>
      <w:bookmarkEnd w:id="8"/>
    </w:p>
    <w:p w:rsidR="00154D81" w:rsidRPr="00B115B1" w:rsidRDefault="00154D81" w:rsidP="00154D81">
      <w:pPr>
        <w:spacing w:before="360"/>
        <w:rPr>
          <w:rFonts w:cs="Arial"/>
          <w:b/>
        </w:rPr>
      </w:pPr>
      <w:bookmarkStart w:id="9" w:name="_Toc352144951"/>
      <w:bookmarkStart w:id="10" w:name="_Toc351349213"/>
      <w:r w:rsidRPr="00B115B1">
        <w:rPr>
          <w:rFonts w:cs="Arial"/>
          <w:b/>
        </w:rPr>
        <w:t>Approval and version history</w:t>
      </w:r>
      <w:bookmarkEnd w:id="9"/>
      <w:bookmarkEnd w:id="10"/>
    </w:p>
    <w:tbl>
      <w:tblPr>
        <w:tblStyle w:val="MediumShading1-Accent5"/>
        <w:tblW w:w="9833" w:type="dxa"/>
        <w:tblLook w:val="0620" w:firstRow="1" w:lastRow="0" w:firstColumn="0" w:lastColumn="0" w:noHBand="1" w:noVBand="1"/>
        <w:tblDescription w:val="Table demonstrating approval and version history of AMHCC User manual"/>
      </w:tblPr>
      <w:tblGrid>
        <w:gridCol w:w="1023"/>
        <w:gridCol w:w="1540"/>
        <w:gridCol w:w="2648"/>
        <w:gridCol w:w="1540"/>
        <w:gridCol w:w="1541"/>
        <w:gridCol w:w="1541"/>
      </w:tblGrid>
      <w:tr w:rsidR="00154D81" w:rsidRPr="00B115B1" w:rsidTr="003C032F">
        <w:trPr>
          <w:cnfStyle w:val="100000000000" w:firstRow="1" w:lastRow="0" w:firstColumn="0" w:lastColumn="0" w:oddVBand="0" w:evenVBand="0" w:oddHBand="0" w:evenHBand="0" w:firstRowFirstColumn="0" w:firstRowLastColumn="0" w:lastRowFirstColumn="0" w:lastRowLastColumn="0"/>
          <w:cantSplit/>
          <w:tblHeader/>
        </w:trPr>
        <w:tc>
          <w:tcPr>
            <w:tcW w:w="102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154D81" w:rsidRPr="00B115B1" w:rsidRDefault="00154D81" w:rsidP="00154D81">
            <w:pPr>
              <w:rPr>
                <w:rFonts w:cs="Arial"/>
                <w:lang w:eastAsia="zh-CN"/>
              </w:rPr>
            </w:pPr>
            <w:r w:rsidRPr="00B115B1">
              <w:rPr>
                <w:rFonts w:cs="Arial"/>
              </w:rPr>
              <w:t>Version</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154D81" w:rsidRPr="00B115B1" w:rsidRDefault="00154D81" w:rsidP="00154D81">
            <w:pPr>
              <w:rPr>
                <w:rFonts w:cs="Arial"/>
                <w:lang w:eastAsia="zh-CN"/>
              </w:rPr>
            </w:pPr>
            <w:r w:rsidRPr="00B115B1">
              <w:rPr>
                <w:rFonts w:cs="Arial"/>
              </w:rPr>
              <w:t>Effective Dates</w:t>
            </w:r>
          </w:p>
        </w:tc>
        <w:tc>
          <w:tcPr>
            <w:tcW w:w="264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154D81" w:rsidRPr="00B115B1" w:rsidRDefault="00154D81" w:rsidP="00154D81">
            <w:pPr>
              <w:rPr>
                <w:rFonts w:cs="Arial"/>
                <w:lang w:eastAsia="zh-CN"/>
              </w:rPr>
            </w:pPr>
            <w:r w:rsidRPr="00B115B1">
              <w:rPr>
                <w:rFonts w:cs="Arial"/>
              </w:rPr>
              <w:t>Change Summary</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154D81" w:rsidRPr="00B115B1" w:rsidRDefault="00154D81" w:rsidP="00154D81">
            <w:pPr>
              <w:rPr>
                <w:rFonts w:cs="Arial"/>
                <w:lang w:eastAsia="zh-CN"/>
              </w:rPr>
            </w:pPr>
            <w:r w:rsidRPr="00B115B1">
              <w:rPr>
                <w:rFonts w:cs="Arial"/>
              </w:rPr>
              <w:t>Approvals</w:t>
            </w:r>
          </w:p>
        </w:tc>
        <w:tc>
          <w:tcPr>
            <w:tcW w:w="154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154D81" w:rsidRPr="00B115B1" w:rsidRDefault="00154D81" w:rsidP="00154D81">
            <w:pPr>
              <w:rPr>
                <w:rFonts w:cs="Arial"/>
                <w:lang w:eastAsia="zh-CN"/>
              </w:rPr>
            </w:pPr>
            <w:r w:rsidRPr="00B115B1">
              <w:rPr>
                <w:rFonts w:cs="Arial"/>
              </w:rPr>
              <w:t>Signature</w:t>
            </w:r>
          </w:p>
        </w:tc>
        <w:tc>
          <w:tcPr>
            <w:tcW w:w="154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154D81" w:rsidRPr="00B115B1" w:rsidRDefault="00154D81" w:rsidP="00154D81">
            <w:pPr>
              <w:rPr>
                <w:rFonts w:cs="Arial"/>
                <w:lang w:eastAsia="zh-CN"/>
              </w:rPr>
            </w:pPr>
            <w:r w:rsidRPr="00B115B1">
              <w:rPr>
                <w:rFonts w:cs="Arial"/>
              </w:rPr>
              <w:t>Approval Date</w:t>
            </w:r>
          </w:p>
        </w:tc>
      </w:tr>
      <w:tr w:rsidR="00154D81" w:rsidRPr="00B115B1" w:rsidTr="003C032F">
        <w:trPr>
          <w:cantSplit/>
        </w:trPr>
        <w:tc>
          <w:tcPr>
            <w:tcW w:w="102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154D81" w:rsidRPr="00B115B1" w:rsidRDefault="00154D81" w:rsidP="00154D81">
            <w:pPr>
              <w:rPr>
                <w:rFonts w:cs="Arial"/>
                <w:lang w:eastAsia="zh-CN"/>
              </w:rPr>
            </w:pPr>
            <w:r w:rsidRPr="00B115B1">
              <w:rPr>
                <w:rFonts w:cs="Arial"/>
              </w:rPr>
              <w:t>1.0</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154D81" w:rsidRPr="00B115B1" w:rsidRDefault="00154D81" w:rsidP="00154D81">
            <w:pPr>
              <w:rPr>
                <w:rFonts w:cs="Arial"/>
                <w:lang w:eastAsia="zh-CN"/>
              </w:rPr>
            </w:pPr>
            <w:r>
              <w:rPr>
                <w:rFonts w:cs="Arial"/>
                <w:lang w:eastAsia="zh-CN"/>
              </w:rPr>
              <w:t>29 June</w:t>
            </w:r>
            <w:r w:rsidRPr="00B115B1">
              <w:rPr>
                <w:rFonts w:cs="Arial"/>
                <w:lang w:eastAsia="zh-CN"/>
              </w:rPr>
              <w:t xml:space="preserve"> 2016</w:t>
            </w:r>
          </w:p>
        </w:tc>
        <w:tc>
          <w:tcPr>
            <w:tcW w:w="26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4D81" w:rsidRPr="00B115B1" w:rsidRDefault="00154D81" w:rsidP="00154D81">
            <w:pPr>
              <w:rPr>
                <w:rFonts w:cs="Arial"/>
                <w:lang w:eastAsia="zh-CN"/>
              </w:rPr>
            </w:pPr>
            <w:r>
              <w:rPr>
                <w:rFonts w:cs="Arial"/>
                <w:lang w:eastAsia="zh-CN"/>
              </w:rPr>
              <w:t>Final version for implementation of AMHCC based on feedback from the MHWG</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154D81" w:rsidRPr="00B115B1" w:rsidRDefault="00154D81" w:rsidP="00154D81">
            <w:pPr>
              <w:rPr>
                <w:rFonts w:cs="Arial"/>
                <w:lang w:eastAsia="zh-CN"/>
              </w:rPr>
            </w:pPr>
            <w:r w:rsidRPr="00B115B1">
              <w:rPr>
                <w:rFonts w:cs="Arial"/>
              </w:rPr>
              <w:t>A/g CEO James Downie</w:t>
            </w:r>
          </w:p>
        </w:tc>
        <w:tc>
          <w:tcPr>
            <w:tcW w:w="1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4D81" w:rsidRPr="00B115B1" w:rsidRDefault="00154D81" w:rsidP="00154D81">
            <w:pPr>
              <w:rPr>
                <w:rFonts w:cs="Arial"/>
                <w:lang w:eastAsia="zh-CN"/>
              </w:rPr>
            </w:pPr>
          </w:p>
        </w:tc>
        <w:tc>
          <w:tcPr>
            <w:tcW w:w="1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4D81" w:rsidRPr="00B115B1" w:rsidRDefault="00154D81" w:rsidP="00154D81">
            <w:pPr>
              <w:rPr>
                <w:rFonts w:cs="Arial"/>
                <w:lang w:eastAsia="zh-CN"/>
              </w:rPr>
            </w:pPr>
          </w:p>
        </w:tc>
      </w:tr>
      <w:tr w:rsidR="00154D81" w:rsidRPr="00B115B1" w:rsidTr="003C032F">
        <w:trPr>
          <w:cantSplit/>
        </w:trPr>
        <w:tc>
          <w:tcPr>
            <w:tcW w:w="1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4D81" w:rsidRPr="00B115B1" w:rsidRDefault="00154D81" w:rsidP="00154D81">
            <w:pPr>
              <w:rPr>
                <w:rFonts w:cs="Arial"/>
              </w:rPr>
            </w:pPr>
            <w:r>
              <w:rPr>
                <w:rFonts w:cs="Arial"/>
              </w:rPr>
              <w:t>1.01</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4D81" w:rsidRDefault="00154D81" w:rsidP="00154D81">
            <w:pPr>
              <w:rPr>
                <w:rFonts w:cs="Arial"/>
                <w:lang w:eastAsia="zh-CN"/>
              </w:rPr>
            </w:pPr>
            <w:r>
              <w:rPr>
                <w:rFonts w:cs="Arial"/>
                <w:lang w:eastAsia="zh-CN"/>
              </w:rPr>
              <w:t>8 September 2016</w:t>
            </w:r>
          </w:p>
        </w:tc>
        <w:tc>
          <w:tcPr>
            <w:tcW w:w="26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4D81" w:rsidRDefault="00154D81" w:rsidP="00154D81">
            <w:pPr>
              <w:rPr>
                <w:rFonts w:cs="Arial"/>
                <w:lang w:eastAsia="zh-CN"/>
              </w:rPr>
            </w:pPr>
            <w:r>
              <w:rPr>
                <w:rFonts w:cs="Arial"/>
                <w:lang w:eastAsia="zh-CN"/>
              </w:rPr>
              <w:t xml:space="preserve">Edit to </w:t>
            </w:r>
            <w:r w:rsidRPr="00E31C67">
              <w:rPr>
                <w:rFonts w:cs="Arial"/>
                <w:i/>
                <w:lang w:eastAsia="zh-CN"/>
              </w:rPr>
              <w:t>Appendix 1: AMHCC Version 1.0 class list</w:t>
            </w:r>
            <w:r w:rsidRPr="00E31C67">
              <w:rPr>
                <w:rFonts w:cs="Arial"/>
                <w:lang w:eastAsia="zh-CN"/>
              </w:rPr>
              <w:t xml:space="preserve"> </w:t>
            </w:r>
            <w:r>
              <w:rPr>
                <w:rFonts w:cs="Arial"/>
                <w:lang w:eastAsia="zh-CN"/>
              </w:rPr>
              <w:t xml:space="preserve">- </w:t>
            </w:r>
            <w:r w:rsidRPr="00E31C67">
              <w:rPr>
                <w:rFonts w:cs="Arial"/>
                <w:lang w:eastAsia="zh-CN"/>
              </w:rPr>
              <w:t>243A</w:t>
            </w:r>
            <w:r>
              <w:rPr>
                <w:rFonts w:cs="Arial"/>
                <w:lang w:eastAsia="zh-CN"/>
              </w:rPr>
              <w:t xml:space="preserve"> </w:t>
            </w:r>
            <w:r w:rsidRPr="00E31C67">
              <w:rPr>
                <w:rFonts w:cs="Arial"/>
                <w:lang w:eastAsia="zh-CN"/>
              </w:rPr>
              <w:t>Community, Consolidating gain, 65+ years, High HoNOS complexity</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4D81" w:rsidRPr="00B115B1" w:rsidRDefault="00154D81" w:rsidP="00154D81">
            <w:pPr>
              <w:rPr>
                <w:rFonts w:cs="Arial"/>
              </w:rPr>
            </w:pPr>
            <w:r w:rsidRPr="00B115B1">
              <w:rPr>
                <w:rFonts w:cs="Arial"/>
              </w:rPr>
              <w:t>CEO James Downie</w:t>
            </w:r>
          </w:p>
        </w:tc>
        <w:tc>
          <w:tcPr>
            <w:tcW w:w="1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4D81" w:rsidRPr="00B115B1" w:rsidRDefault="00154D81" w:rsidP="00154D81">
            <w:pPr>
              <w:rPr>
                <w:rFonts w:cs="Arial"/>
                <w:lang w:eastAsia="zh-CN"/>
              </w:rPr>
            </w:pPr>
          </w:p>
        </w:tc>
        <w:tc>
          <w:tcPr>
            <w:tcW w:w="1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4D81" w:rsidRPr="00B115B1" w:rsidRDefault="00154D81" w:rsidP="00154D81">
            <w:pPr>
              <w:rPr>
                <w:rFonts w:cs="Arial"/>
                <w:lang w:eastAsia="zh-CN"/>
              </w:rPr>
            </w:pPr>
          </w:p>
        </w:tc>
      </w:tr>
      <w:tr w:rsidR="00154D81" w:rsidRPr="00B115B1" w:rsidTr="003C032F">
        <w:trPr>
          <w:cantSplit/>
        </w:trPr>
        <w:tc>
          <w:tcPr>
            <w:tcW w:w="1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4D81" w:rsidRDefault="00154D81" w:rsidP="00154D81">
            <w:pPr>
              <w:rPr>
                <w:rFonts w:cs="Arial"/>
              </w:rPr>
            </w:pPr>
            <w:r>
              <w:rPr>
                <w:rFonts w:cs="Arial"/>
              </w:rPr>
              <w:t>1.1</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4D81" w:rsidRDefault="00152624" w:rsidP="00154D81">
            <w:pPr>
              <w:rPr>
                <w:rFonts w:cs="Arial"/>
                <w:lang w:eastAsia="zh-CN"/>
              </w:rPr>
            </w:pPr>
            <w:r>
              <w:rPr>
                <w:rFonts w:cs="Arial"/>
                <w:lang w:eastAsia="zh-CN"/>
              </w:rPr>
              <w:t>December</w:t>
            </w:r>
            <w:r w:rsidR="00154D81">
              <w:rPr>
                <w:rFonts w:cs="Arial"/>
                <w:lang w:eastAsia="zh-CN"/>
              </w:rPr>
              <w:t xml:space="preserve"> 2017</w:t>
            </w:r>
          </w:p>
        </w:tc>
        <w:tc>
          <w:tcPr>
            <w:tcW w:w="26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4D81" w:rsidRDefault="00154D81" w:rsidP="00154D81">
            <w:pPr>
              <w:rPr>
                <w:rFonts w:cs="Arial"/>
                <w:lang w:eastAsia="zh-CN"/>
              </w:rPr>
            </w:pPr>
            <w:r>
              <w:rPr>
                <w:rFonts w:cs="Arial"/>
                <w:lang w:eastAsia="zh-CN"/>
              </w:rPr>
              <w:t>Edits based on findings from the inter-rater reliability study conduct in late 2016 and jurisdictional feedback</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4D81" w:rsidRPr="00B115B1" w:rsidRDefault="00154D81" w:rsidP="00154D81">
            <w:pPr>
              <w:rPr>
                <w:rFonts w:cs="Arial"/>
              </w:rPr>
            </w:pPr>
            <w:r w:rsidRPr="00B115B1">
              <w:rPr>
                <w:rFonts w:cs="Arial"/>
              </w:rPr>
              <w:t>CEO James Downie</w:t>
            </w:r>
          </w:p>
        </w:tc>
        <w:tc>
          <w:tcPr>
            <w:tcW w:w="1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4D81" w:rsidRPr="00B115B1" w:rsidRDefault="00154D81" w:rsidP="00154D81">
            <w:pPr>
              <w:rPr>
                <w:rFonts w:cs="Arial"/>
                <w:lang w:eastAsia="zh-CN"/>
              </w:rPr>
            </w:pPr>
          </w:p>
        </w:tc>
        <w:tc>
          <w:tcPr>
            <w:tcW w:w="1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54D81" w:rsidRPr="00B115B1" w:rsidRDefault="00154D81" w:rsidP="00154D81">
            <w:pPr>
              <w:rPr>
                <w:rFonts w:cs="Arial"/>
                <w:lang w:eastAsia="zh-CN"/>
              </w:rPr>
            </w:pPr>
          </w:p>
        </w:tc>
      </w:tr>
      <w:tr w:rsidR="003C032F" w:rsidRPr="00B115B1" w:rsidTr="003C032F">
        <w:trPr>
          <w:cantSplit/>
        </w:trPr>
        <w:tc>
          <w:tcPr>
            <w:tcW w:w="1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032F" w:rsidRDefault="003C032F" w:rsidP="00154D81">
            <w:pPr>
              <w:rPr>
                <w:rFonts w:cs="Arial"/>
              </w:rPr>
            </w:pPr>
            <w:r>
              <w:rPr>
                <w:rFonts w:cs="Arial"/>
              </w:rPr>
              <w:t>1.2</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032F" w:rsidRDefault="003C032F" w:rsidP="00154D81">
            <w:pPr>
              <w:rPr>
                <w:rFonts w:cs="Arial"/>
                <w:lang w:eastAsia="zh-CN"/>
              </w:rPr>
            </w:pPr>
            <w:r>
              <w:rPr>
                <w:rFonts w:cs="Arial"/>
                <w:lang w:eastAsia="zh-CN"/>
              </w:rPr>
              <w:t>May 2018</w:t>
            </w:r>
          </w:p>
        </w:tc>
        <w:tc>
          <w:tcPr>
            <w:tcW w:w="26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032F" w:rsidRDefault="00CC3EB7" w:rsidP="002129C0">
            <w:pPr>
              <w:rPr>
                <w:rFonts w:cs="Arial"/>
                <w:lang w:eastAsia="zh-CN"/>
              </w:rPr>
            </w:pPr>
            <w:r>
              <w:rPr>
                <w:rFonts w:cs="Arial"/>
                <w:lang w:eastAsia="zh-CN"/>
              </w:rPr>
              <w:t>Edits to section 2.1 approved mental health care definition, page 10</w:t>
            </w:r>
            <w:r>
              <w:rPr>
                <w:rFonts w:cs="Arial"/>
                <w:lang w:eastAsia="zh-CN"/>
              </w:rPr>
              <w:br/>
            </w:r>
            <w:r>
              <w:rPr>
                <w:rFonts w:cs="Arial"/>
                <w:lang w:eastAsia="zh-CN"/>
              </w:rPr>
              <w:br/>
              <w:t>Edits to section 4.1 approved mental health phase of care definition, page 15</w:t>
            </w:r>
            <w:r>
              <w:rPr>
                <w:rFonts w:cs="Arial"/>
                <w:lang w:eastAsia="zh-CN"/>
              </w:rPr>
              <w:br/>
            </w:r>
            <w:r>
              <w:rPr>
                <w:rFonts w:cs="Arial"/>
                <w:lang w:eastAsia="zh-CN"/>
              </w:rPr>
              <w:br/>
              <w:t>Reference list updates, page 26</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032F" w:rsidRPr="00B115B1" w:rsidRDefault="003C032F" w:rsidP="00154D81">
            <w:pPr>
              <w:rPr>
                <w:rFonts w:cs="Arial"/>
              </w:rPr>
            </w:pPr>
            <w:r w:rsidRPr="00B115B1">
              <w:rPr>
                <w:rFonts w:cs="Arial"/>
              </w:rPr>
              <w:t>CEO James Downie</w:t>
            </w:r>
          </w:p>
        </w:tc>
        <w:tc>
          <w:tcPr>
            <w:tcW w:w="1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032F" w:rsidRPr="00B115B1" w:rsidRDefault="003C032F" w:rsidP="00154D81">
            <w:pPr>
              <w:rPr>
                <w:rFonts w:cs="Arial"/>
                <w:lang w:eastAsia="zh-CN"/>
              </w:rPr>
            </w:pPr>
          </w:p>
        </w:tc>
        <w:tc>
          <w:tcPr>
            <w:tcW w:w="1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032F" w:rsidRPr="00B115B1" w:rsidRDefault="003C032F" w:rsidP="00154D81">
            <w:pPr>
              <w:rPr>
                <w:rFonts w:cs="Arial"/>
                <w:lang w:eastAsia="zh-CN"/>
              </w:rPr>
            </w:pPr>
          </w:p>
        </w:tc>
      </w:tr>
    </w:tbl>
    <w:p w:rsidR="00154D81" w:rsidRPr="00B115B1" w:rsidRDefault="00154D81" w:rsidP="00154D81">
      <w:pPr>
        <w:rPr>
          <w:rFonts w:cs="Arial"/>
          <w:b/>
          <w:lang w:eastAsia="zh-CN"/>
        </w:rPr>
      </w:pPr>
    </w:p>
    <w:p w:rsidR="00154D81" w:rsidRPr="00B115B1" w:rsidRDefault="00154D81" w:rsidP="00154D81">
      <w:pPr>
        <w:rPr>
          <w:rFonts w:cs="Arial"/>
          <w:b/>
        </w:rPr>
      </w:pPr>
      <w:r w:rsidRPr="00B115B1">
        <w:rPr>
          <w:rFonts w:cs="Arial"/>
          <w:b/>
        </w:rPr>
        <w:t>Ownership</w:t>
      </w:r>
    </w:p>
    <w:p w:rsidR="00154D81" w:rsidRPr="00B115B1" w:rsidRDefault="00154D81" w:rsidP="00154D81">
      <w:pPr>
        <w:rPr>
          <w:rFonts w:cs="Arial"/>
        </w:rPr>
      </w:pPr>
      <w:r w:rsidRPr="00B115B1">
        <w:rPr>
          <w:rFonts w:cs="Arial"/>
        </w:rPr>
        <w:t>Enquiries regarding this document can be made to:</w:t>
      </w:r>
    </w:p>
    <w:p w:rsidR="00154D81" w:rsidRPr="00B115B1" w:rsidRDefault="00154D81" w:rsidP="00154D81">
      <w:pPr>
        <w:tabs>
          <w:tab w:val="left" w:pos="1418"/>
        </w:tabs>
        <w:rPr>
          <w:rFonts w:cs="Arial"/>
        </w:rPr>
      </w:pPr>
      <w:r w:rsidRPr="00B115B1">
        <w:rPr>
          <w:rFonts w:cs="Arial"/>
        </w:rPr>
        <w:t>Email:</w:t>
      </w:r>
      <w:r w:rsidRPr="00B115B1">
        <w:rPr>
          <w:rFonts w:cs="Arial"/>
        </w:rPr>
        <w:tab/>
      </w:r>
      <w:hyperlink r:id="rId15" w:history="1">
        <w:r w:rsidR="00C84CDD" w:rsidRPr="00950201">
          <w:rPr>
            <w:rStyle w:val="Hyperlink"/>
          </w:rPr>
          <w:t>secretariatihpa@ihpa.gov.au</w:t>
        </w:r>
      </w:hyperlink>
    </w:p>
    <w:p w:rsidR="00154D81" w:rsidRPr="00B115B1" w:rsidRDefault="00154D81" w:rsidP="00154D81">
      <w:pPr>
        <w:tabs>
          <w:tab w:val="left" w:pos="1418"/>
        </w:tabs>
        <w:rPr>
          <w:rFonts w:cs="Arial"/>
          <w:b/>
        </w:rPr>
      </w:pPr>
      <w:r w:rsidRPr="00B115B1">
        <w:rPr>
          <w:rFonts w:cs="Arial"/>
        </w:rPr>
        <w:t>Phone:</w:t>
      </w:r>
      <w:r w:rsidRPr="00B115B1">
        <w:rPr>
          <w:rFonts w:cs="Arial"/>
        </w:rPr>
        <w:tab/>
        <w:t>02 8215 11</w:t>
      </w:r>
      <w:r w:rsidR="00C84CDD">
        <w:rPr>
          <w:rFonts w:cs="Arial"/>
        </w:rPr>
        <w:t>0</w:t>
      </w:r>
      <w:r w:rsidRPr="00B115B1">
        <w:rPr>
          <w:rFonts w:cs="Arial"/>
        </w:rPr>
        <w:t>0</w:t>
      </w:r>
      <w:bookmarkStart w:id="11" w:name="_Toc352144953"/>
      <w:bookmarkStart w:id="12" w:name="_Toc351349215"/>
    </w:p>
    <w:p w:rsidR="00154D81" w:rsidRPr="00B115B1" w:rsidRDefault="00154D81" w:rsidP="00154D81">
      <w:pPr>
        <w:rPr>
          <w:rFonts w:cs="Arial"/>
          <w:b/>
        </w:rPr>
      </w:pPr>
      <w:r w:rsidRPr="00B115B1">
        <w:rPr>
          <w:rFonts w:cs="Arial"/>
          <w:b/>
        </w:rPr>
        <w:t>Document Location</w:t>
      </w:r>
      <w:bookmarkEnd w:id="11"/>
      <w:bookmarkEnd w:id="12"/>
    </w:p>
    <w:p w:rsidR="00154D81" w:rsidRPr="00B115B1" w:rsidRDefault="00154D81" w:rsidP="00154D81">
      <w:pPr>
        <w:rPr>
          <w:rFonts w:cs="Arial"/>
        </w:rPr>
      </w:pPr>
      <w:r w:rsidRPr="00B115B1">
        <w:rPr>
          <w:rFonts w:cs="Arial"/>
        </w:rPr>
        <w:t>An electronic copy of this document is stored on the network and may be obtained by the IHPA Office of the CEO.</w:t>
      </w:r>
    </w:p>
    <w:p w:rsidR="002A4C1B" w:rsidRPr="002A4C1B" w:rsidRDefault="002A4C1B" w:rsidP="002A4C1B">
      <w:pPr>
        <w:pStyle w:val="NormalIndent"/>
        <w:rPr>
          <w:i/>
        </w:rPr>
      </w:pPr>
      <w:r w:rsidRPr="002A4C1B">
        <w:rPr>
          <w:i/>
        </w:rPr>
        <w:br w:type="page"/>
      </w:r>
    </w:p>
    <w:sdt>
      <w:sdtPr>
        <w:rPr>
          <w:rFonts w:ascii="Arial" w:eastAsia="Times New Roman" w:hAnsi="Arial" w:cs="Times New Roman"/>
          <w:b w:val="0"/>
          <w:bCs w:val="0"/>
          <w:sz w:val="22"/>
          <w:szCs w:val="24"/>
        </w:rPr>
        <w:id w:val="-1426251310"/>
        <w:docPartObj>
          <w:docPartGallery w:val="Table of Contents"/>
          <w:docPartUnique/>
        </w:docPartObj>
      </w:sdtPr>
      <w:sdtEndPr>
        <w:rPr>
          <w:noProof/>
        </w:rPr>
      </w:sdtEndPr>
      <w:sdtContent>
        <w:p w:rsidR="00E418CF" w:rsidRDefault="00E418CF" w:rsidP="00E418CF">
          <w:pPr>
            <w:pStyle w:val="TOCHeading"/>
          </w:pPr>
          <w:r>
            <w:t>Contents</w:t>
          </w:r>
        </w:p>
        <w:p w:rsidR="00AE2959" w:rsidRDefault="00E418CF">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514924106" w:history="1">
            <w:r w:rsidR="00AE2959" w:rsidRPr="004D05BC">
              <w:rPr>
                <w:rStyle w:val="Hyperlink"/>
              </w:rPr>
              <w:t>Australian Mental Health Care Classification v1.0</w:t>
            </w:r>
            <w:r w:rsidR="00AE2959">
              <w:rPr>
                <w:webHidden/>
              </w:rPr>
              <w:tab/>
            </w:r>
            <w:r w:rsidR="00AE2959">
              <w:rPr>
                <w:webHidden/>
              </w:rPr>
              <w:fldChar w:fldCharType="begin"/>
            </w:r>
            <w:r w:rsidR="00AE2959">
              <w:rPr>
                <w:webHidden/>
              </w:rPr>
              <w:instrText xml:space="preserve"> PAGEREF _Toc514924106 \h </w:instrText>
            </w:r>
            <w:r w:rsidR="00AE2959">
              <w:rPr>
                <w:webHidden/>
              </w:rPr>
            </w:r>
            <w:r w:rsidR="00AE2959">
              <w:rPr>
                <w:webHidden/>
              </w:rPr>
              <w:fldChar w:fldCharType="separate"/>
            </w:r>
            <w:r w:rsidR="003157C9">
              <w:rPr>
                <w:webHidden/>
              </w:rPr>
              <w:t>1</w:t>
            </w:r>
            <w:r w:rsidR="00AE2959">
              <w:rPr>
                <w:webHidden/>
              </w:rPr>
              <w:fldChar w:fldCharType="end"/>
            </w:r>
          </w:hyperlink>
        </w:p>
        <w:p w:rsidR="00AE2959" w:rsidRDefault="00943CBE">
          <w:pPr>
            <w:pStyle w:val="TOC1"/>
            <w:rPr>
              <w:rFonts w:asciiTheme="minorHAnsi" w:eastAsiaTheme="minorEastAsia" w:hAnsiTheme="minorHAnsi" w:cstheme="minorBidi"/>
              <w:szCs w:val="22"/>
            </w:rPr>
          </w:pPr>
          <w:hyperlink w:anchor="_Toc514924107" w:history="1">
            <w:r w:rsidR="00AE2959" w:rsidRPr="004D05BC">
              <w:rPr>
                <w:rStyle w:val="Hyperlink"/>
              </w:rPr>
              <w:t>Document Information</w:t>
            </w:r>
            <w:r w:rsidR="00AE2959">
              <w:rPr>
                <w:webHidden/>
              </w:rPr>
              <w:tab/>
            </w:r>
            <w:r w:rsidR="00AE2959">
              <w:rPr>
                <w:webHidden/>
              </w:rPr>
              <w:fldChar w:fldCharType="begin"/>
            </w:r>
            <w:r w:rsidR="00AE2959">
              <w:rPr>
                <w:webHidden/>
              </w:rPr>
              <w:instrText xml:space="preserve"> PAGEREF _Toc514924107 \h </w:instrText>
            </w:r>
            <w:r w:rsidR="00AE2959">
              <w:rPr>
                <w:webHidden/>
              </w:rPr>
            </w:r>
            <w:r w:rsidR="00AE2959">
              <w:rPr>
                <w:webHidden/>
              </w:rPr>
              <w:fldChar w:fldCharType="separate"/>
            </w:r>
            <w:r w:rsidR="003157C9">
              <w:rPr>
                <w:webHidden/>
              </w:rPr>
              <w:t>2</w:t>
            </w:r>
            <w:r w:rsidR="00AE2959">
              <w:rPr>
                <w:webHidden/>
              </w:rPr>
              <w:fldChar w:fldCharType="end"/>
            </w:r>
          </w:hyperlink>
        </w:p>
        <w:p w:rsidR="00AE2959" w:rsidRDefault="00943CBE">
          <w:pPr>
            <w:pStyle w:val="TOC1"/>
            <w:rPr>
              <w:rFonts w:asciiTheme="minorHAnsi" w:eastAsiaTheme="minorEastAsia" w:hAnsiTheme="minorHAnsi" w:cstheme="minorBidi"/>
              <w:szCs w:val="22"/>
            </w:rPr>
          </w:pPr>
          <w:hyperlink w:anchor="_Toc514924108" w:history="1">
            <w:r w:rsidR="00AE2959" w:rsidRPr="004D05BC">
              <w:rPr>
                <w:rStyle w:val="Hyperlink"/>
              </w:rPr>
              <w:t>Abbreviations and acronyms</w:t>
            </w:r>
            <w:r w:rsidR="00AE2959">
              <w:rPr>
                <w:webHidden/>
              </w:rPr>
              <w:tab/>
            </w:r>
            <w:r w:rsidR="00AE2959">
              <w:rPr>
                <w:webHidden/>
              </w:rPr>
              <w:fldChar w:fldCharType="begin"/>
            </w:r>
            <w:r w:rsidR="00AE2959">
              <w:rPr>
                <w:webHidden/>
              </w:rPr>
              <w:instrText xml:space="preserve"> PAGEREF _Toc514924108 \h </w:instrText>
            </w:r>
            <w:r w:rsidR="00AE2959">
              <w:rPr>
                <w:webHidden/>
              </w:rPr>
            </w:r>
            <w:r w:rsidR="00AE2959">
              <w:rPr>
                <w:webHidden/>
              </w:rPr>
              <w:fldChar w:fldCharType="separate"/>
            </w:r>
            <w:r w:rsidR="003157C9">
              <w:rPr>
                <w:webHidden/>
              </w:rPr>
              <w:t>5</w:t>
            </w:r>
            <w:r w:rsidR="00AE2959">
              <w:rPr>
                <w:webHidden/>
              </w:rPr>
              <w:fldChar w:fldCharType="end"/>
            </w:r>
          </w:hyperlink>
        </w:p>
        <w:p w:rsidR="00AE2959" w:rsidRDefault="00943CBE">
          <w:pPr>
            <w:pStyle w:val="TOC1"/>
            <w:rPr>
              <w:rFonts w:asciiTheme="minorHAnsi" w:eastAsiaTheme="minorEastAsia" w:hAnsiTheme="minorHAnsi" w:cstheme="minorBidi"/>
              <w:szCs w:val="22"/>
            </w:rPr>
          </w:pPr>
          <w:hyperlink w:anchor="_Toc514924109" w:history="1">
            <w:r w:rsidR="00AE2959" w:rsidRPr="004D05BC">
              <w:rPr>
                <w:rStyle w:val="Hyperlink"/>
              </w:rPr>
              <w:t>Executive summary</w:t>
            </w:r>
            <w:r w:rsidR="00AE2959">
              <w:rPr>
                <w:webHidden/>
              </w:rPr>
              <w:tab/>
            </w:r>
            <w:r w:rsidR="00AE2959">
              <w:rPr>
                <w:webHidden/>
              </w:rPr>
              <w:fldChar w:fldCharType="begin"/>
            </w:r>
            <w:r w:rsidR="00AE2959">
              <w:rPr>
                <w:webHidden/>
              </w:rPr>
              <w:instrText xml:space="preserve"> PAGEREF _Toc514924109 \h </w:instrText>
            </w:r>
            <w:r w:rsidR="00AE2959">
              <w:rPr>
                <w:webHidden/>
              </w:rPr>
            </w:r>
            <w:r w:rsidR="00AE2959">
              <w:rPr>
                <w:webHidden/>
              </w:rPr>
              <w:fldChar w:fldCharType="separate"/>
            </w:r>
            <w:r w:rsidR="003157C9">
              <w:rPr>
                <w:webHidden/>
              </w:rPr>
              <w:t>6</w:t>
            </w:r>
            <w:r w:rsidR="00AE2959">
              <w:rPr>
                <w:webHidden/>
              </w:rPr>
              <w:fldChar w:fldCharType="end"/>
            </w:r>
          </w:hyperlink>
        </w:p>
        <w:p w:rsidR="00AE2959" w:rsidRDefault="00943CBE">
          <w:pPr>
            <w:pStyle w:val="TOC1"/>
            <w:rPr>
              <w:rFonts w:asciiTheme="minorHAnsi" w:eastAsiaTheme="minorEastAsia" w:hAnsiTheme="minorHAnsi" w:cstheme="minorBidi"/>
              <w:szCs w:val="22"/>
            </w:rPr>
          </w:pPr>
          <w:hyperlink w:anchor="_Toc514924110" w:history="1">
            <w:r w:rsidR="00AE2959" w:rsidRPr="004D05BC">
              <w:rPr>
                <w:rStyle w:val="Hyperlink"/>
              </w:rPr>
              <w:t>1.</w:t>
            </w:r>
            <w:r w:rsidR="00AE2959">
              <w:rPr>
                <w:rFonts w:asciiTheme="minorHAnsi" w:eastAsiaTheme="minorEastAsia" w:hAnsiTheme="minorHAnsi" w:cstheme="minorBidi"/>
                <w:szCs w:val="22"/>
              </w:rPr>
              <w:tab/>
            </w:r>
            <w:r w:rsidR="00AE2959" w:rsidRPr="004D05BC">
              <w:rPr>
                <w:rStyle w:val="Hyperlink"/>
              </w:rPr>
              <w:t>Introduction</w:t>
            </w:r>
            <w:r w:rsidR="00AE2959">
              <w:rPr>
                <w:webHidden/>
              </w:rPr>
              <w:tab/>
            </w:r>
            <w:r w:rsidR="00AE2959">
              <w:rPr>
                <w:webHidden/>
              </w:rPr>
              <w:fldChar w:fldCharType="begin"/>
            </w:r>
            <w:r w:rsidR="00AE2959">
              <w:rPr>
                <w:webHidden/>
              </w:rPr>
              <w:instrText xml:space="preserve"> PAGEREF _Toc514924110 \h </w:instrText>
            </w:r>
            <w:r w:rsidR="00AE2959">
              <w:rPr>
                <w:webHidden/>
              </w:rPr>
            </w:r>
            <w:r w:rsidR="00AE2959">
              <w:rPr>
                <w:webHidden/>
              </w:rPr>
              <w:fldChar w:fldCharType="separate"/>
            </w:r>
            <w:r w:rsidR="003157C9">
              <w:rPr>
                <w:webHidden/>
              </w:rPr>
              <w:t>7</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11" w:history="1">
            <w:r w:rsidR="00AE2959" w:rsidRPr="004D05BC">
              <w:rPr>
                <w:rStyle w:val="Hyperlink"/>
              </w:rPr>
              <w:t>1.1 Independent Hospital Pricing Authority</w:t>
            </w:r>
            <w:r w:rsidR="00AE2959">
              <w:rPr>
                <w:webHidden/>
              </w:rPr>
              <w:tab/>
            </w:r>
            <w:r w:rsidR="00AE2959">
              <w:rPr>
                <w:webHidden/>
              </w:rPr>
              <w:fldChar w:fldCharType="begin"/>
            </w:r>
            <w:r w:rsidR="00AE2959">
              <w:rPr>
                <w:webHidden/>
              </w:rPr>
              <w:instrText xml:space="preserve"> PAGEREF _Toc514924111 \h </w:instrText>
            </w:r>
            <w:r w:rsidR="00AE2959">
              <w:rPr>
                <w:webHidden/>
              </w:rPr>
            </w:r>
            <w:r w:rsidR="00AE2959">
              <w:rPr>
                <w:webHidden/>
              </w:rPr>
              <w:fldChar w:fldCharType="separate"/>
            </w:r>
            <w:r w:rsidR="003157C9">
              <w:rPr>
                <w:webHidden/>
              </w:rPr>
              <w:t>7</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12" w:history="1">
            <w:r w:rsidR="00AE2959" w:rsidRPr="004D05BC">
              <w:rPr>
                <w:rStyle w:val="Hyperlink"/>
              </w:rPr>
              <w:t>1.2 Classification systems</w:t>
            </w:r>
            <w:r w:rsidR="00AE2959">
              <w:rPr>
                <w:webHidden/>
              </w:rPr>
              <w:tab/>
            </w:r>
            <w:r w:rsidR="00AE2959">
              <w:rPr>
                <w:webHidden/>
              </w:rPr>
              <w:fldChar w:fldCharType="begin"/>
            </w:r>
            <w:r w:rsidR="00AE2959">
              <w:rPr>
                <w:webHidden/>
              </w:rPr>
              <w:instrText xml:space="preserve"> PAGEREF _Toc514924112 \h </w:instrText>
            </w:r>
            <w:r w:rsidR="00AE2959">
              <w:rPr>
                <w:webHidden/>
              </w:rPr>
            </w:r>
            <w:r w:rsidR="00AE2959">
              <w:rPr>
                <w:webHidden/>
              </w:rPr>
              <w:fldChar w:fldCharType="separate"/>
            </w:r>
            <w:r w:rsidR="003157C9">
              <w:rPr>
                <w:webHidden/>
              </w:rPr>
              <w:t>7</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13" w:history="1">
            <w:r w:rsidR="00AE2959" w:rsidRPr="004D05BC">
              <w:rPr>
                <w:rStyle w:val="Hyperlink"/>
              </w:rPr>
              <w:t>1.3 Historical classification and pricing of public hospital mental health services</w:t>
            </w:r>
            <w:r w:rsidR="00AE2959">
              <w:rPr>
                <w:webHidden/>
              </w:rPr>
              <w:tab/>
            </w:r>
            <w:r w:rsidR="00AE2959">
              <w:rPr>
                <w:webHidden/>
              </w:rPr>
              <w:fldChar w:fldCharType="begin"/>
            </w:r>
            <w:r w:rsidR="00AE2959">
              <w:rPr>
                <w:webHidden/>
              </w:rPr>
              <w:instrText xml:space="preserve"> PAGEREF _Toc514924113 \h </w:instrText>
            </w:r>
            <w:r w:rsidR="00AE2959">
              <w:rPr>
                <w:webHidden/>
              </w:rPr>
            </w:r>
            <w:r w:rsidR="00AE2959">
              <w:rPr>
                <w:webHidden/>
              </w:rPr>
              <w:fldChar w:fldCharType="separate"/>
            </w:r>
            <w:r w:rsidR="003157C9">
              <w:rPr>
                <w:webHidden/>
              </w:rPr>
              <w:t>8</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14" w:history="1">
            <w:r w:rsidR="00AE2959" w:rsidRPr="004D05BC">
              <w:rPr>
                <w:rStyle w:val="Hyperlink"/>
              </w:rPr>
              <w:t>1.4 Requirement for the AMHCC</w:t>
            </w:r>
            <w:r w:rsidR="00AE2959">
              <w:rPr>
                <w:webHidden/>
              </w:rPr>
              <w:tab/>
            </w:r>
            <w:r w:rsidR="00AE2959">
              <w:rPr>
                <w:webHidden/>
              </w:rPr>
              <w:fldChar w:fldCharType="begin"/>
            </w:r>
            <w:r w:rsidR="00AE2959">
              <w:rPr>
                <w:webHidden/>
              </w:rPr>
              <w:instrText xml:space="preserve"> PAGEREF _Toc514924114 \h </w:instrText>
            </w:r>
            <w:r w:rsidR="00AE2959">
              <w:rPr>
                <w:webHidden/>
              </w:rPr>
            </w:r>
            <w:r w:rsidR="00AE2959">
              <w:rPr>
                <w:webHidden/>
              </w:rPr>
              <w:fldChar w:fldCharType="separate"/>
            </w:r>
            <w:r w:rsidR="003157C9">
              <w:rPr>
                <w:webHidden/>
              </w:rPr>
              <w:t>8</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15" w:history="1">
            <w:r w:rsidR="00AE2959" w:rsidRPr="004D05BC">
              <w:rPr>
                <w:rStyle w:val="Hyperlink"/>
                <w:lang w:eastAsia="ja-JP"/>
              </w:rPr>
              <w:t>1.5 Next steps</w:t>
            </w:r>
            <w:r w:rsidR="00AE2959">
              <w:rPr>
                <w:webHidden/>
              </w:rPr>
              <w:tab/>
            </w:r>
            <w:r w:rsidR="00AE2959">
              <w:rPr>
                <w:webHidden/>
              </w:rPr>
              <w:fldChar w:fldCharType="begin"/>
            </w:r>
            <w:r w:rsidR="00AE2959">
              <w:rPr>
                <w:webHidden/>
              </w:rPr>
              <w:instrText xml:space="preserve"> PAGEREF _Toc514924115 \h </w:instrText>
            </w:r>
            <w:r w:rsidR="00AE2959">
              <w:rPr>
                <w:webHidden/>
              </w:rPr>
            </w:r>
            <w:r w:rsidR="00AE2959">
              <w:rPr>
                <w:webHidden/>
              </w:rPr>
              <w:fldChar w:fldCharType="separate"/>
            </w:r>
            <w:r w:rsidR="003157C9">
              <w:rPr>
                <w:webHidden/>
              </w:rPr>
              <w:t>8</w:t>
            </w:r>
            <w:r w:rsidR="00AE2959">
              <w:rPr>
                <w:webHidden/>
              </w:rPr>
              <w:fldChar w:fldCharType="end"/>
            </w:r>
          </w:hyperlink>
        </w:p>
        <w:p w:rsidR="00AE2959" w:rsidRDefault="00943CBE">
          <w:pPr>
            <w:pStyle w:val="TOC1"/>
            <w:rPr>
              <w:rFonts w:asciiTheme="minorHAnsi" w:eastAsiaTheme="minorEastAsia" w:hAnsiTheme="minorHAnsi" w:cstheme="minorBidi"/>
              <w:szCs w:val="22"/>
            </w:rPr>
          </w:pPr>
          <w:hyperlink w:anchor="_Toc514924116" w:history="1">
            <w:r w:rsidR="00AE2959" w:rsidRPr="004D05BC">
              <w:rPr>
                <w:rStyle w:val="Hyperlink"/>
              </w:rPr>
              <w:t>2.</w:t>
            </w:r>
            <w:r w:rsidR="00AE2959">
              <w:rPr>
                <w:rFonts w:asciiTheme="minorHAnsi" w:eastAsiaTheme="minorEastAsia" w:hAnsiTheme="minorHAnsi" w:cstheme="minorBidi"/>
                <w:szCs w:val="22"/>
              </w:rPr>
              <w:tab/>
            </w:r>
            <w:r w:rsidR="00AE2959" w:rsidRPr="004D05BC">
              <w:rPr>
                <w:rStyle w:val="Hyperlink"/>
              </w:rPr>
              <w:t>IHPA’s approach to develop the AMHCC</w:t>
            </w:r>
            <w:r w:rsidR="00AE2959">
              <w:rPr>
                <w:webHidden/>
              </w:rPr>
              <w:tab/>
            </w:r>
            <w:r w:rsidR="00AE2959">
              <w:rPr>
                <w:webHidden/>
              </w:rPr>
              <w:fldChar w:fldCharType="begin"/>
            </w:r>
            <w:r w:rsidR="00AE2959">
              <w:rPr>
                <w:webHidden/>
              </w:rPr>
              <w:instrText xml:space="preserve"> PAGEREF _Toc514924116 \h </w:instrText>
            </w:r>
            <w:r w:rsidR="00AE2959">
              <w:rPr>
                <w:webHidden/>
              </w:rPr>
            </w:r>
            <w:r w:rsidR="00AE2959">
              <w:rPr>
                <w:webHidden/>
              </w:rPr>
              <w:fldChar w:fldCharType="separate"/>
            </w:r>
            <w:r w:rsidR="003157C9">
              <w:rPr>
                <w:webHidden/>
              </w:rPr>
              <w:t>10</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17" w:history="1">
            <w:r w:rsidR="00AE2959" w:rsidRPr="004D05BC">
              <w:rPr>
                <w:rStyle w:val="Hyperlink"/>
              </w:rPr>
              <w:t>2.1 Definition of services</w:t>
            </w:r>
            <w:r w:rsidR="00AE2959">
              <w:rPr>
                <w:webHidden/>
              </w:rPr>
              <w:tab/>
            </w:r>
            <w:r w:rsidR="00AE2959">
              <w:rPr>
                <w:webHidden/>
              </w:rPr>
              <w:fldChar w:fldCharType="begin"/>
            </w:r>
            <w:r w:rsidR="00AE2959">
              <w:rPr>
                <w:webHidden/>
              </w:rPr>
              <w:instrText xml:space="preserve"> PAGEREF _Toc514924117 \h </w:instrText>
            </w:r>
            <w:r w:rsidR="00AE2959">
              <w:rPr>
                <w:webHidden/>
              </w:rPr>
            </w:r>
            <w:r w:rsidR="00AE2959">
              <w:rPr>
                <w:webHidden/>
              </w:rPr>
              <w:fldChar w:fldCharType="separate"/>
            </w:r>
            <w:r w:rsidR="003157C9">
              <w:rPr>
                <w:webHidden/>
              </w:rPr>
              <w:t>10</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18" w:history="1">
            <w:r w:rsidR="00AE2959" w:rsidRPr="004D05BC">
              <w:rPr>
                <w:rStyle w:val="Hyperlink"/>
              </w:rPr>
              <w:t>2.2 Identification of cost drivers</w:t>
            </w:r>
            <w:r w:rsidR="00AE2959">
              <w:rPr>
                <w:webHidden/>
              </w:rPr>
              <w:tab/>
            </w:r>
            <w:r w:rsidR="00AE2959">
              <w:rPr>
                <w:webHidden/>
              </w:rPr>
              <w:fldChar w:fldCharType="begin"/>
            </w:r>
            <w:r w:rsidR="00AE2959">
              <w:rPr>
                <w:webHidden/>
              </w:rPr>
              <w:instrText xml:space="preserve"> PAGEREF _Toc514924118 \h </w:instrText>
            </w:r>
            <w:r w:rsidR="00AE2959">
              <w:rPr>
                <w:webHidden/>
              </w:rPr>
            </w:r>
            <w:r w:rsidR="00AE2959">
              <w:rPr>
                <w:webHidden/>
              </w:rPr>
              <w:fldChar w:fldCharType="separate"/>
            </w:r>
            <w:r w:rsidR="003157C9">
              <w:rPr>
                <w:webHidden/>
              </w:rPr>
              <w:t>10</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19" w:history="1">
            <w:r w:rsidR="00AE2959" w:rsidRPr="004D05BC">
              <w:rPr>
                <w:rStyle w:val="Hyperlink"/>
              </w:rPr>
              <w:t>2.3 Consumer level costing study</w:t>
            </w:r>
            <w:r w:rsidR="00AE2959">
              <w:rPr>
                <w:webHidden/>
              </w:rPr>
              <w:tab/>
            </w:r>
            <w:r w:rsidR="00AE2959">
              <w:rPr>
                <w:webHidden/>
              </w:rPr>
              <w:fldChar w:fldCharType="begin"/>
            </w:r>
            <w:r w:rsidR="00AE2959">
              <w:rPr>
                <w:webHidden/>
              </w:rPr>
              <w:instrText xml:space="preserve"> PAGEREF _Toc514924119 \h </w:instrText>
            </w:r>
            <w:r w:rsidR="00AE2959">
              <w:rPr>
                <w:webHidden/>
              </w:rPr>
            </w:r>
            <w:r w:rsidR="00AE2959">
              <w:rPr>
                <w:webHidden/>
              </w:rPr>
              <w:fldChar w:fldCharType="separate"/>
            </w:r>
            <w:r w:rsidR="003157C9">
              <w:rPr>
                <w:webHidden/>
              </w:rPr>
              <w:t>11</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20" w:history="1">
            <w:r w:rsidR="00AE2959" w:rsidRPr="004D05BC">
              <w:rPr>
                <w:rStyle w:val="Hyperlink"/>
              </w:rPr>
              <w:t>2.4 Implementation of AMHCC Version 1.0</w:t>
            </w:r>
            <w:r w:rsidR="00AE2959">
              <w:rPr>
                <w:webHidden/>
              </w:rPr>
              <w:tab/>
            </w:r>
            <w:r w:rsidR="00AE2959">
              <w:rPr>
                <w:webHidden/>
              </w:rPr>
              <w:fldChar w:fldCharType="begin"/>
            </w:r>
            <w:r w:rsidR="00AE2959">
              <w:rPr>
                <w:webHidden/>
              </w:rPr>
              <w:instrText xml:space="preserve"> PAGEREF _Toc514924120 \h </w:instrText>
            </w:r>
            <w:r w:rsidR="00AE2959">
              <w:rPr>
                <w:webHidden/>
              </w:rPr>
            </w:r>
            <w:r w:rsidR="00AE2959">
              <w:rPr>
                <w:webHidden/>
              </w:rPr>
              <w:fldChar w:fldCharType="separate"/>
            </w:r>
            <w:r w:rsidR="003157C9">
              <w:rPr>
                <w:webHidden/>
              </w:rPr>
              <w:t>12</w:t>
            </w:r>
            <w:r w:rsidR="00AE2959">
              <w:rPr>
                <w:webHidden/>
              </w:rPr>
              <w:fldChar w:fldCharType="end"/>
            </w:r>
          </w:hyperlink>
        </w:p>
        <w:p w:rsidR="00AE2959" w:rsidRDefault="00943CBE">
          <w:pPr>
            <w:pStyle w:val="TOC1"/>
            <w:rPr>
              <w:rFonts w:asciiTheme="minorHAnsi" w:eastAsiaTheme="minorEastAsia" w:hAnsiTheme="minorHAnsi" w:cstheme="minorBidi"/>
              <w:szCs w:val="22"/>
            </w:rPr>
          </w:pPr>
          <w:hyperlink w:anchor="_Toc514924121" w:history="1">
            <w:r w:rsidR="00AE2959" w:rsidRPr="004D05BC">
              <w:rPr>
                <w:rStyle w:val="Hyperlink"/>
              </w:rPr>
              <w:t>3.</w:t>
            </w:r>
            <w:r w:rsidR="00AE2959">
              <w:rPr>
                <w:rFonts w:asciiTheme="minorHAnsi" w:eastAsiaTheme="minorEastAsia" w:hAnsiTheme="minorHAnsi" w:cstheme="minorBidi"/>
                <w:szCs w:val="22"/>
              </w:rPr>
              <w:tab/>
            </w:r>
            <w:r w:rsidR="00AE2959" w:rsidRPr="004D05BC">
              <w:rPr>
                <w:rStyle w:val="Hyperlink"/>
              </w:rPr>
              <w:t>AMHCC Version 1.0</w:t>
            </w:r>
            <w:r w:rsidR="00AE2959">
              <w:rPr>
                <w:webHidden/>
              </w:rPr>
              <w:tab/>
            </w:r>
            <w:r w:rsidR="00AE2959">
              <w:rPr>
                <w:webHidden/>
              </w:rPr>
              <w:fldChar w:fldCharType="begin"/>
            </w:r>
            <w:r w:rsidR="00AE2959">
              <w:rPr>
                <w:webHidden/>
              </w:rPr>
              <w:instrText xml:space="preserve"> PAGEREF _Toc514924121 \h </w:instrText>
            </w:r>
            <w:r w:rsidR="00AE2959">
              <w:rPr>
                <w:webHidden/>
              </w:rPr>
            </w:r>
            <w:r w:rsidR="00AE2959">
              <w:rPr>
                <w:webHidden/>
              </w:rPr>
              <w:fldChar w:fldCharType="separate"/>
            </w:r>
            <w:r w:rsidR="003157C9">
              <w:rPr>
                <w:webHidden/>
              </w:rPr>
              <w:t>13</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22" w:history="1">
            <w:r w:rsidR="00AE2959" w:rsidRPr="004D05BC">
              <w:rPr>
                <w:rStyle w:val="Hyperlink"/>
              </w:rPr>
              <w:t>3.1 Structure of the AMHCC Version 1.0</w:t>
            </w:r>
            <w:r w:rsidR="00AE2959">
              <w:rPr>
                <w:webHidden/>
              </w:rPr>
              <w:tab/>
            </w:r>
            <w:r w:rsidR="00AE2959">
              <w:rPr>
                <w:webHidden/>
              </w:rPr>
              <w:fldChar w:fldCharType="begin"/>
            </w:r>
            <w:r w:rsidR="00AE2959">
              <w:rPr>
                <w:webHidden/>
              </w:rPr>
              <w:instrText xml:space="preserve"> PAGEREF _Toc514924122 \h </w:instrText>
            </w:r>
            <w:r w:rsidR="00AE2959">
              <w:rPr>
                <w:webHidden/>
              </w:rPr>
            </w:r>
            <w:r w:rsidR="00AE2959">
              <w:rPr>
                <w:webHidden/>
              </w:rPr>
              <w:fldChar w:fldCharType="separate"/>
            </w:r>
            <w:r w:rsidR="003157C9">
              <w:rPr>
                <w:webHidden/>
              </w:rPr>
              <w:t>13</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23" w:history="1">
            <w:r w:rsidR="00AE2959" w:rsidRPr="004D05BC">
              <w:rPr>
                <w:rStyle w:val="Hyperlink"/>
              </w:rPr>
              <w:t>3.2 Admitted setting structure</w:t>
            </w:r>
            <w:r w:rsidR="00AE2959">
              <w:rPr>
                <w:webHidden/>
              </w:rPr>
              <w:tab/>
            </w:r>
            <w:r w:rsidR="00AE2959">
              <w:rPr>
                <w:webHidden/>
              </w:rPr>
              <w:fldChar w:fldCharType="begin"/>
            </w:r>
            <w:r w:rsidR="00AE2959">
              <w:rPr>
                <w:webHidden/>
              </w:rPr>
              <w:instrText xml:space="preserve"> PAGEREF _Toc514924123 \h </w:instrText>
            </w:r>
            <w:r w:rsidR="00AE2959">
              <w:rPr>
                <w:webHidden/>
              </w:rPr>
            </w:r>
            <w:r w:rsidR="00AE2959">
              <w:rPr>
                <w:webHidden/>
              </w:rPr>
              <w:fldChar w:fldCharType="separate"/>
            </w:r>
            <w:r w:rsidR="003157C9">
              <w:rPr>
                <w:webHidden/>
              </w:rPr>
              <w:t>13</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24" w:history="1">
            <w:r w:rsidR="00AE2959" w:rsidRPr="004D05BC">
              <w:rPr>
                <w:rStyle w:val="Hyperlink"/>
              </w:rPr>
              <w:t>3.3 Community setting structure</w:t>
            </w:r>
            <w:r w:rsidR="00AE2959">
              <w:rPr>
                <w:webHidden/>
              </w:rPr>
              <w:tab/>
            </w:r>
            <w:r w:rsidR="00AE2959">
              <w:rPr>
                <w:webHidden/>
              </w:rPr>
              <w:fldChar w:fldCharType="begin"/>
            </w:r>
            <w:r w:rsidR="00AE2959">
              <w:rPr>
                <w:webHidden/>
              </w:rPr>
              <w:instrText xml:space="preserve"> PAGEREF _Toc514924124 \h </w:instrText>
            </w:r>
            <w:r w:rsidR="00AE2959">
              <w:rPr>
                <w:webHidden/>
              </w:rPr>
            </w:r>
            <w:r w:rsidR="00AE2959">
              <w:rPr>
                <w:webHidden/>
              </w:rPr>
              <w:fldChar w:fldCharType="separate"/>
            </w:r>
            <w:r w:rsidR="003157C9">
              <w:rPr>
                <w:webHidden/>
              </w:rPr>
              <w:t>14</w:t>
            </w:r>
            <w:r w:rsidR="00AE2959">
              <w:rPr>
                <w:webHidden/>
              </w:rPr>
              <w:fldChar w:fldCharType="end"/>
            </w:r>
          </w:hyperlink>
        </w:p>
        <w:p w:rsidR="00AE2959" w:rsidRDefault="00943CBE">
          <w:pPr>
            <w:pStyle w:val="TOC1"/>
            <w:rPr>
              <w:rFonts w:asciiTheme="minorHAnsi" w:eastAsiaTheme="minorEastAsia" w:hAnsiTheme="minorHAnsi" w:cstheme="minorBidi"/>
              <w:szCs w:val="22"/>
            </w:rPr>
          </w:pPr>
          <w:hyperlink w:anchor="_Toc514924125" w:history="1">
            <w:r w:rsidR="00AE2959" w:rsidRPr="004D05BC">
              <w:rPr>
                <w:rStyle w:val="Hyperlink"/>
              </w:rPr>
              <w:t>4.</w:t>
            </w:r>
            <w:r w:rsidR="00AE2959">
              <w:rPr>
                <w:rFonts w:asciiTheme="minorHAnsi" w:eastAsiaTheme="minorEastAsia" w:hAnsiTheme="minorHAnsi" w:cstheme="minorBidi"/>
                <w:szCs w:val="22"/>
              </w:rPr>
              <w:tab/>
            </w:r>
            <w:r w:rsidR="00AE2959" w:rsidRPr="004D05BC">
              <w:rPr>
                <w:rStyle w:val="Hyperlink"/>
              </w:rPr>
              <w:t>Data items of the AMHCC Version 1.0</w:t>
            </w:r>
            <w:r w:rsidR="00AE2959">
              <w:rPr>
                <w:webHidden/>
              </w:rPr>
              <w:tab/>
            </w:r>
            <w:r w:rsidR="00AE2959">
              <w:rPr>
                <w:webHidden/>
              </w:rPr>
              <w:fldChar w:fldCharType="begin"/>
            </w:r>
            <w:r w:rsidR="00AE2959">
              <w:rPr>
                <w:webHidden/>
              </w:rPr>
              <w:instrText xml:space="preserve"> PAGEREF _Toc514924125 \h </w:instrText>
            </w:r>
            <w:r w:rsidR="00AE2959">
              <w:rPr>
                <w:webHidden/>
              </w:rPr>
            </w:r>
            <w:r w:rsidR="00AE2959">
              <w:rPr>
                <w:webHidden/>
              </w:rPr>
              <w:fldChar w:fldCharType="separate"/>
            </w:r>
            <w:r w:rsidR="003157C9">
              <w:rPr>
                <w:webHidden/>
              </w:rPr>
              <w:t>15</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26" w:history="1">
            <w:r w:rsidR="00AE2959" w:rsidRPr="004D05BC">
              <w:rPr>
                <w:rStyle w:val="Hyperlink"/>
              </w:rPr>
              <w:t>4.1 Settings of mental health care</w:t>
            </w:r>
            <w:r w:rsidR="00AE2959">
              <w:rPr>
                <w:webHidden/>
              </w:rPr>
              <w:tab/>
            </w:r>
            <w:r w:rsidR="00AE2959">
              <w:rPr>
                <w:webHidden/>
              </w:rPr>
              <w:fldChar w:fldCharType="begin"/>
            </w:r>
            <w:r w:rsidR="00AE2959">
              <w:rPr>
                <w:webHidden/>
              </w:rPr>
              <w:instrText xml:space="preserve"> PAGEREF _Toc514924126 \h </w:instrText>
            </w:r>
            <w:r w:rsidR="00AE2959">
              <w:rPr>
                <w:webHidden/>
              </w:rPr>
            </w:r>
            <w:r w:rsidR="00AE2959">
              <w:rPr>
                <w:webHidden/>
              </w:rPr>
              <w:fldChar w:fldCharType="separate"/>
            </w:r>
            <w:r w:rsidR="003157C9">
              <w:rPr>
                <w:webHidden/>
              </w:rPr>
              <w:t>15</w:t>
            </w:r>
            <w:r w:rsidR="00AE2959">
              <w:rPr>
                <w:webHidden/>
              </w:rPr>
              <w:fldChar w:fldCharType="end"/>
            </w:r>
          </w:hyperlink>
        </w:p>
        <w:p w:rsidR="00AE2959" w:rsidRDefault="00943CBE">
          <w:pPr>
            <w:pStyle w:val="TOC3"/>
            <w:rPr>
              <w:rFonts w:asciiTheme="minorHAnsi" w:eastAsiaTheme="minorEastAsia" w:hAnsiTheme="minorHAnsi" w:cstheme="minorBidi"/>
              <w:noProof/>
              <w:szCs w:val="22"/>
            </w:rPr>
          </w:pPr>
          <w:hyperlink w:anchor="_Toc514924127" w:history="1">
            <w:r w:rsidR="00AE2959" w:rsidRPr="004D05BC">
              <w:rPr>
                <w:rStyle w:val="Hyperlink"/>
                <w:noProof/>
              </w:rPr>
              <w:t>4.1.1 Admitted setting</w:t>
            </w:r>
            <w:r w:rsidR="00AE2959">
              <w:rPr>
                <w:noProof/>
                <w:webHidden/>
              </w:rPr>
              <w:tab/>
            </w:r>
            <w:r w:rsidR="00AE2959">
              <w:rPr>
                <w:noProof/>
                <w:webHidden/>
              </w:rPr>
              <w:fldChar w:fldCharType="begin"/>
            </w:r>
            <w:r w:rsidR="00AE2959">
              <w:rPr>
                <w:noProof/>
                <w:webHidden/>
              </w:rPr>
              <w:instrText xml:space="preserve"> PAGEREF _Toc514924127 \h </w:instrText>
            </w:r>
            <w:r w:rsidR="00AE2959">
              <w:rPr>
                <w:noProof/>
                <w:webHidden/>
              </w:rPr>
            </w:r>
            <w:r w:rsidR="00AE2959">
              <w:rPr>
                <w:noProof/>
                <w:webHidden/>
              </w:rPr>
              <w:fldChar w:fldCharType="separate"/>
            </w:r>
            <w:r w:rsidR="003157C9">
              <w:rPr>
                <w:noProof/>
                <w:webHidden/>
              </w:rPr>
              <w:t>15</w:t>
            </w:r>
            <w:r w:rsidR="00AE2959">
              <w:rPr>
                <w:noProof/>
                <w:webHidden/>
              </w:rPr>
              <w:fldChar w:fldCharType="end"/>
            </w:r>
          </w:hyperlink>
        </w:p>
        <w:p w:rsidR="00AE2959" w:rsidRDefault="00943CBE">
          <w:pPr>
            <w:pStyle w:val="TOC3"/>
            <w:rPr>
              <w:rFonts w:asciiTheme="minorHAnsi" w:eastAsiaTheme="minorEastAsia" w:hAnsiTheme="minorHAnsi" w:cstheme="minorBidi"/>
              <w:noProof/>
              <w:szCs w:val="22"/>
            </w:rPr>
          </w:pPr>
          <w:hyperlink w:anchor="_Toc514924128" w:history="1">
            <w:r w:rsidR="00AE2959" w:rsidRPr="004D05BC">
              <w:rPr>
                <w:rStyle w:val="Hyperlink"/>
                <w:noProof/>
              </w:rPr>
              <w:t>4.1.2 Community setting</w:t>
            </w:r>
            <w:r w:rsidR="00AE2959">
              <w:rPr>
                <w:noProof/>
                <w:webHidden/>
              </w:rPr>
              <w:tab/>
            </w:r>
            <w:r w:rsidR="00AE2959">
              <w:rPr>
                <w:noProof/>
                <w:webHidden/>
              </w:rPr>
              <w:fldChar w:fldCharType="begin"/>
            </w:r>
            <w:r w:rsidR="00AE2959">
              <w:rPr>
                <w:noProof/>
                <w:webHidden/>
              </w:rPr>
              <w:instrText xml:space="preserve"> PAGEREF _Toc514924128 \h </w:instrText>
            </w:r>
            <w:r w:rsidR="00AE2959">
              <w:rPr>
                <w:noProof/>
                <w:webHidden/>
              </w:rPr>
            </w:r>
            <w:r w:rsidR="00AE2959">
              <w:rPr>
                <w:noProof/>
                <w:webHidden/>
              </w:rPr>
              <w:fldChar w:fldCharType="separate"/>
            </w:r>
            <w:r w:rsidR="003157C9">
              <w:rPr>
                <w:noProof/>
                <w:webHidden/>
              </w:rPr>
              <w:t>15</w:t>
            </w:r>
            <w:r w:rsidR="00AE2959">
              <w:rPr>
                <w:noProof/>
                <w:webHidden/>
              </w:rPr>
              <w:fldChar w:fldCharType="end"/>
            </w:r>
          </w:hyperlink>
        </w:p>
        <w:p w:rsidR="00AE2959" w:rsidRDefault="00943CBE">
          <w:pPr>
            <w:pStyle w:val="TOC2"/>
            <w:rPr>
              <w:rFonts w:asciiTheme="minorHAnsi" w:eastAsiaTheme="minorEastAsia" w:hAnsiTheme="minorHAnsi" w:cstheme="minorBidi"/>
              <w:szCs w:val="22"/>
            </w:rPr>
          </w:pPr>
          <w:hyperlink w:anchor="_Toc514924129" w:history="1">
            <w:r w:rsidR="00AE2959" w:rsidRPr="004D05BC">
              <w:rPr>
                <w:rStyle w:val="Hyperlink"/>
              </w:rPr>
              <w:t>4.2 Mental health phases of care</w:t>
            </w:r>
            <w:r w:rsidR="00AE2959">
              <w:rPr>
                <w:webHidden/>
              </w:rPr>
              <w:tab/>
            </w:r>
            <w:r w:rsidR="00AE2959">
              <w:rPr>
                <w:webHidden/>
              </w:rPr>
              <w:fldChar w:fldCharType="begin"/>
            </w:r>
            <w:r w:rsidR="00AE2959">
              <w:rPr>
                <w:webHidden/>
              </w:rPr>
              <w:instrText xml:space="preserve"> PAGEREF _Toc514924129 \h </w:instrText>
            </w:r>
            <w:r w:rsidR="00AE2959">
              <w:rPr>
                <w:webHidden/>
              </w:rPr>
            </w:r>
            <w:r w:rsidR="00AE2959">
              <w:rPr>
                <w:webHidden/>
              </w:rPr>
              <w:fldChar w:fldCharType="separate"/>
            </w:r>
            <w:r w:rsidR="003157C9">
              <w:rPr>
                <w:webHidden/>
              </w:rPr>
              <w:t>15</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30" w:history="1">
            <w:r w:rsidR="00AE2959" w:rsidRPr="004D05BC">
              <w:rPr>
                <w:rStyle w:val="Hyperlink"/>
              </w:rPr>
              <w:t>4.3 Age group</w:t>
            </w:r>
            <w:r w:rsidR="00AE2959">
              <w:rPr>
                <w:webHidden/>
              </w:rPr>
              <w:tab/>
            </w:r>
            <w:r w:rsidR="00AE2959">
              <w:rPr>
                <w:webHidden/>
              </w:rPr>
              <w:fldChar w:fldCharType="begin"/>
            </w:r>
            <w:r w:rsidR="00AE2959">
              <w:rPr>
                <w:webHidden/>
              </w:rPr>
              <w:instrText xml:space="preserve"> PAGEREF _Toc514924130 \h </w:instrText>
            </w:r>
            <w:r w:rsidR="00AE2959">
              <w:rPr>
                <w:webHidden/>
              </w:rPr>
            </w:r>
            <w:r w:rsidR="00AE2959">
              <w:rPr>
                <w:webHidden/>
              </w:rPr>
              <w:fldChar w:fldCharType="separate"/>
            </w:r>
            <w:r w:rsidR="003157C9">
              <w:rPr>
                <w:webHidden/>
              </w:rPr>
              <w:t>17</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31" w:history="1">
            <w:r w:rsidR="00AE2959" w:rsidRPr="004D05BC">
              <w:rPr>
                <w:rStyle w:val="Hyperlink"/>
              </w:rPr>
              <w:t>4.4 Clinical measures</w:t>
            </w:r>
            <w:r w:rsidR="00AE2959">
              <w:rPr>
                <w:webHidden/>
              </w:rPr>
              <w:tab/>
            </w:r>
            <w:r w:rsidR="00AE2959">
              <w:rPr>
                <w:webHidden/>
              </w:rPr>
              <w:fldChar w:fldCharType="begin"/>
            </w:r>
            <w:r w:rsidR="00AE2959">
              <w:rPr>
                <w:webHidden/>
              </w:rPr>
              <w:instrText xml:space="preserve"> PAGEREF _Toc514924131 \h </w:instrText>
            </w:r>
            <w:r w:rsidR="00AE2959">
              <w:rPr>
                <w:webHidden/>
              </w:rPr>
            </w:r>
            <w:r w:rsidR="00AE2959">
              <w:rPr>
                <w:webHidden/>
              </w:rPr>
              <w:fldChar w:fldCharType="separate"/>
            </w:r>
            <w:r w:rsidR="003157C9">
              <w:rPr>
                <w:webHidden/>
              </w:rPr>
              <w:t>17</w:t>
            </w:r>
            <w:r w:rsidR="00AE2959">
              <w:rPr>
                <w:webHidden/>
              </w:rPr>
              <w:fldChar w:fldCharType="end"/>
            </w:r>
          </w:hyperlink>
        </w:p>
        <w:p w:rsidR="00AE2959" w:rsidRDefault="00943CBE">
          <w:pPr>
            <w:pStyle w:val="TOC3"/>
            <w:rPr>
              <w:rFonts w:asciiTheme="minorHAnsi" w:eastAsiaTheme="minorEastAsia" w:hAnsiTheme="minorHAnsi" w:cstheme="minorBidi"/>
              <w:noProof/>
              <w:szCs w:val="22"/>
            </w:rPr>
          </w:pPr>
          <w:hyperlink w:anchor="_Toc514924132" w:history="1">
            <w:r w:rsidR="00AE2959" w:rsidRPr="004D05BC">
              <w:rPr>
                <w:rStyle w:val="Hyperlink"/>
                <w:noProof/>
              </w:rPr>
              <w:t>4.4.1 Health of the Nation Outcomes Scale (HoNOS)</w:t>
            </w:r>
            <w:r w:rsidR="00AE2959">
              <w:rPr>
                <w:noProof/>
                <w:webHidden/>
              </w:rPr>
              <w:tab/>
            </w:r>
            <w:r w:rsidR="00AE2959">
              <w:rPr>
                <w:noProof/>
                <w:webHidden/>
              </w:rPr>
              <w:fldChar w:fldCharType="begin"/>
            </w:r>
            <w:r w:rsidR="00AE2959">
              <w:rPr>
                <w:noProof/>
                <w:webHidden/>
              </w:rPr>
              <w:instrText xml:space="preserve"> PAGEREF _Toc514924132 \h </w:instrText>
            </w:r>
            <w:r w:rsidR="00AE2959">
              <w:rPr>
                <w:noProof/>
                <w:webHidden/>
              </w:rPr>
            </w:r>
            <w:r w:rsidR="00AE2959">
              <w:rPr>
                <w:noProof/>
                <w:webHidden/>
              </w:rPr>
              <w:fldChar w:fldCharType="separate"/>
            </w:r>
            <w:r w:rsidR="003157C9">
              <w:rPr>
                <w:noProof/>
                <w:webHidden/>
              </w:rPr>
              <w:t>17</w:t>
            </w:r>
            <w:r w:rsidR="00AE2959">
              <w:rPr>
                <w:noProof/>
                <w:webHidden/>
              </w:rPr>
              <w:fldChar w:fldCharType="end"/>
            </w:r>
          </w:hyperlink>
        </w:p>
        <w:p w:rsidR="00AE2959" w:rsidRDefault="00943CBE">
          <w:pPr>
            <w:pStyle w:val="TOC3"/>
            <w:rPr>
              <w:rFonts w:asciiTheme="minorHAnsi" w:eastAsiaTheme="minorEastAsia" w:hAnsiTheme="minorHAnsi" w:cstheme="minorBidi"/>
              <w:noProof/>
              <w:szCs w:val="22"/>
            </w:rPr>
          </w:pPr>
          <w:hyperlink w:anchor="_Toc514924133" w:history="1">
            <w:r w:rsidR="00AE2959" w:rsidRPr="004D05BC">
              <w:rPr>
                <w:rStyle w:val="Hyperlink"/>
                <w:noProof/>
              </w:rPr>
              <w:t>4.4.2 Health of the Nation Outcome Scales for Children and Adolescents (HoNOSCA)</w:t>
            </w:r>
            <w:r w:rsidR="00AE2959">
              <w:rPr>
                <w:noProof/>
                <w:webHidden/>
              </w:rPr>
              <w:tab/>
            </w:r>
            <w:r w:rsidR="00AE2959">
              <w:rPr>
                <w:noProof/>
                <w:webHidden/>
              </w:rPr>
              <w:fldChar w:fldCharType="begin"/>
            </w:r>
            <w:r w:rsidR="00AE2959">
              <w:rPr>
                <w:noProof/>
                <w:webHidden/>
              </w:rPr>
              <w:instrText xml:space="preserve"> PAGEREF _Toc514924133 \h </w:instrText>
            </w:r>
            <w:r w:rsidR="00AE2959">
              <w:rPr>
                <w:noProof/>
                <w:webHidden/>
              </w:rPr>
            </w:r>
            <w:r w:rsidR="00AE2959">
              <w:rPr>
                <w:noProof/>
                <w:webHidden/>
              </w:rPr>
              <w:fldChar w:fldCharType="separate"/>
            </w:r>
            <w:r w:rsidR="003157C9">
              <w:rPr>
                <w:noProof/>
                <w:webHidden/>
              </w:rPr>
              <w:t>18</w:t>
            </w:r>
            <w:r w:rsidR="00AE2959">
              <w:rPr>
                <w:noProof/>
                <w:webHidden/>
              </w:rPr>
              <w:fldChar w:fldCharType="end"/>
            </w:r>
          </w:hyperlink>
        </w:p>
        <w:p w:rsidR="00AE2959" w:rsidRDefault="00943CBE">
          <w:pPr>
            <w:pStyle w:val="TOC3"/>
            <w:rPr>
              <w:rFonts w:asciiTheme="minorHAnsi" w:eastAsiaTheme="minorEastAsia" w:hAnsiTheme="minorHAnsi" w:cstheme="minorBidi"/>
              <w:noProof/>
              <w:szCs w:val="22"/>
            </w:rPr>
          </w:pPr>
          <w:hyperlink w:anchor="_Toc514924134" w:history="1">
            <w:r w:rsidR="00AE2959" w:rsidRPr="004D05BC">
              <w:rPr>
                <w:rStyle w:val="Hyperlink"/>
                <w:noProof/>
              </w:rPr>
              <w:t>4.4.3 Health of the Nation Outcome Scale for elderly people (HoNOS 65+)</w:t>
            </w:r>
            <w:r w:rsidR="00AE2959">
              <w:rPr>
                <w:noProof/>
                <w:webHidden/>
              </w:rPr>
              <w:tab/>
            </w:r>
            <w:r w:rsidR="00AE2959">
              <w:rPr>
                <w:noProof/>
                <w:webHidden/>
              </w:rPr>
              <w:fldChar w:fldCharType="begin"/>
            </w:r>
            <w:r w:rsidR="00AE2959">
              <w:rPr>
                <w:noProof/>
                <w:webHidden/>
              </w:rPr>
              <w:instrText xml:space="preserve"> PAGEREF _Toc514924134 \h </w:instrText>
            </w:r>
            <w:r w:rsidR="00AE2959">
              <w:rPr>
                <w:noProof/>
                <w:webHidden/>
              </w:rPr>
            </w:r>
            <w:r w:rsidR="00AE2959">
              <w:rPr>
                <w:noProof/>
                <w:webHidden/>
              </w:rPr>
              <w:fldChar w:fldCharType="separate"/>
            </w:r>
            <w:r w:rsidR="003157C9">
              <w:rPr>
                <w:noProof/>
                <w:webHidden/>
              </w:rPr>
              <w:t>18</w:t>
            </w:r>
            <w:r w:rsidR="00AE2959">
              <w:rPr>
                <w:noProof/>
                <w:webHidden/>
              </w:rPr>
              <w:fldChar w:fldCharType="end"/>
            </w:r>
          </w:hyperlink>
        </w:p>
        <w:p w:rsidR="00AE2959" w:rsidRDefault="00943CBE">
          <w:pPr>
            <w:pStyle w:val="TOC3"/>
            <w:rPr>
              <w:rFonts w:asciiTheme="minorHAnsi" w:eastAsiaTheme="minorEastAsia" w:hAnsiTheme="minorHAnsi" w:cstheme="minorBidi"/>
              <w:noProof/>
              <w:szCs w:val="22"/>
            </w:rPr>
          </w:pPr>
          <w:hyperlink w:anchor="_Toc514924135" w:history="1">
            <w:r w:rsidR="00AE2959" w:rsidRPr="004D05BC">
              <w:rPr>
                <w:rStyle w:val="Hyperlink"/>
                <w:noProof/>
              </w:rPr>
              <w:t>4.4.4 Abbreviated Life Skills Profile (LSP-16)</w:t>
            </w:r>
            <w:r w:rsidR="00AE2959">
              <w:rPr>
                <w:noProof/>
                <w:webHidden/>
              </w:rPr>
              <w:tab/>
            </w:r>
            <w:r w:rsidR="00AE2959">
              <w:rPr>
                <w:noProof/>
                <w:webHidden/>
              </w:rPr>
              <w:fldChar w:fldCharType="begin"/>
            </w:r>
            <w:r w:rsidR="00AE2959">
              <w:rPr>
                <w:noProof/>
                <w:webHidden/>
              </w:rPr>
              <w:instrText xml:space="preserve"> PAGEREF _Toc514924135 \h </w:instrText>
            </w:r>
            <w:r w:rsidR="00AE2959">
              <w:rPr>
                <w:noProof/>
                <w:webHidden/>
              </w:rPr>
            </w:r>
            <w:r w:rsidR="00AE2959">
              <w:rPr>
                <w:noProof/>
                <w:webHidden/>
              </w:rPr>
              <w:fldChar w:fldCharType="separate"/>
            </w:r>
            <w:r w:rsidR="003157C9">
              <w:rPr>
                <w:noProof/>
                <w:webHidden/>
              </w:rPr>
              <w:t>18</w:t>
            </w:r>
            <w:r w:rsidR="00AE2959">
              <w:rPr>
                <w:noProof/>
                <w:webHidden/>
              </w:rPr>
              <w:fldChar w:fldCharType="end"/>
            </w:r>
          </w:hyperlink>
        </w:p>
        <w:p w:rsidR="00AE2959" w:rsidRDefault="00943CBE">
          <w:pPr>
            <w:pStyle w:val="TOC3"/>
            <w:rPr>
              <w:rFonts w:asciiTheme="minorHAnsi" w:eastAsiaTheme="minorEastAsia" w:hAnsiTheme="minorHAnsi" w:cstheme="minorBidi"/>
              <w:noProof/>
              <w:szCs w:val="22"/>
            </w:rPr>
          </w:pPr>
          <w:hyperlink w:anchor="_Toc514924136" w:history="1">
            <w:r w:rsidR="00AE2959" w:rsidRPr="004D05BC">
              <w:rPr>
                <w:rStyle w:val="Hyperlink"/>
                <w:noProof/>
              </w:rPr>
              <w:t>4.4.5 Family and Carer Variables</w:t>
            </w:r>
            <w:r w:rsidR="00AE2959">
              <w:rPr>
                <w:noProof/>
                <w:webHidden/>
              </w:rPr>
              <w:tab/>
            </w:r>
            <w:r w:rsidR="00AE2959">
              <w:rPr>
                <w:noProof/>
                <w:webHidden/>
              </w:rPr>
              <w:fldChar w:fldCharType="begin"/>
            </w:r>
            <w:r w:rsidR="00AE2959">
              <w:rPr>
                <w:noProof/>
                <w:webHidden/>
              </w:rPr>
              <w:instrText xml:space="preserve"> PAGEREF _Toc514924136 \h </w:instrText>
            </w:r>
            <w:r w:rsidR="00AE2959">
              <w:rPr>
                <w:noProof/>
                <w:webHidden/>
              </w:rPr>
            </w:r>
            <w:r w:rsidR="00AE2959">
              <w:rPr>
                <w:noProof/>
                <w:webHidden/>
              </w:rPr>
              <w:fldChar w:fldCharType="separate"/>
            </w:r>
            <w:r w:rsidR="003157C9">
              <w:rPr>
                <w:noProof/>
                <w:webHidden/>
              </w:rPr>
              <w:t>19</w:t>
            </w:r>
            <w:r w:rsidR="00AE2959">
              <w:rPr>
                <w:noProof/>
                <w:webHidden/>
              </w:rPr>
              <w:fldChar w:fldCharType="end"/>
            </w:r>
          </w:hyperlink>
        </w:p>
        <w:p w:rsidR="00AE2959" w:rsidRDefault="00943CBE">
          <w:pPr>
            <w:pStyle w:val="TOC2"/>
            <w:rPr>
              <w:rFonts w:asciiTheme="minorHAnsi" w:eastAsiaTheme="minorEastAsia" w:hAnsiTheme="minorHAnsi" w:cstheme="minorBidi"/>
              <w:szCs w:val="22"/>
            </w:rPr>
          </w:pPr>
          <w:hyperlink w:anchor="_Toc514924137" w:history="1">
            <w:r w:rsidR="00AE2959" w:rsidRPr="004D05BC">
              <w:rPr>
                <w:rStyle w:val="Hyperlink"/>
              </w:rPr>
              <w:t>4.5 Mental health legal status</w:t>
            </w:r>
            <w:r w:rsidR="00AE2959">
              <w:rPr>
                <w:webHidden/>
              </w:rPr>
              <w:tab/>
            </w:r>
            <w:r w:rsidR="00AE2959">
              <w:rPr>
                <w:webHidden/>
              </w:rPr>
              <w:fldChar w:fldCharType="begin"/>
            </w:r>
            <w:r w:rsidR="00AE2959">
              <w:rPr>
                <w:webHidden/>
              </w:rPr>
              <w:instrText xml:space="preserve"> PAGEREF _Toc514924137 \h </w:instrText>
            </w:r>
            <w:r w:rsidR="00AE2959">
              <w:rPr>
                <w:webHidden/>
              </w:rPr>
            </w:r>
            <w:r w:rsidR="00AE2959">
              <w:rPr>
                <w:webHidden/>
              </w:rPr>
              <w:fldChar w:fldCharType="separate"/>
            </w:r>
            <w:r w:rsidR="003157C9">
              <w:rPr>
                <w:webHidden/>
              </w:rPr>
              <w:t>19</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38" w:history="1">
            <w:r w:rsidR="00AE2959" w:rsidRPr="004D05BC">
              <w:rPr>
                <w:rStyle w:val="Hyperlink"/>
              </w:rPr>
              <w:t>4.6 Number of end classes</w:t>
            </w:r>
            <w:r w:rsidR="00AE2959">
              <w:rPr>
                <w:webHidden/>
              </w:rPr>
              <w:tab/>
            </w:r>
            <w:r w:rsidR="00AE2959">
              <w:rPr>
                <w:webHidden/>
              </w:rPr>
              <w:fldChar w:fldCharType="begin"/>
            </w:r>
            <w:r w:rsidR="00AE2959">
              <w:rPr>
                <w:webHidden/>
              </w:rPr>
              <w:instrText xml:space="preserve"> PAGEREF _Toc514924138 \h </w:instrText>
            </w:r>
            <w:r w:rsidR="00AE2959">
              <w:rPr>
                <w:webHidden/>
              </w:rPr>
            </w:r>
            <w:r w:rsidR="00AE2959">
              <w:rPr>
                <w:webHidden/>
              </w:rPr>
              <w:fldChar w:fldCharType="separate"/>
            </w:r>
            <w:r w:rsidR="003157C9">
              <w:rPr>
                <w:webHidden/>
              </w:rPr>
              <w:t>19</w:t>
            </w:r>
            <w:r w:rsidR="00AE2959">
              <w:rPr>
                <w:webHidden/>
              </w:rPr>
              <w:fldChar w:fldCharType="end"/>
            </w:r>
          </w:hyperlink>
        </w:p>
        <w:p w:rsidR="00AE2959" w:rsidRDefault="00943CBE">
          <w:pPr>
            <w:pStyle w:val="TOC1"/>
            <w:rPr>
              <w:rFonts w:asciiTheme="minorHAnsi" w:eastAsiaTheme="minorEastAsia" w:hAnsiTheme="minorHAnsi" w:cstheme="minorBidi"/>
              <w:szCs w:val="22"/>
            </w:rPr>
          </w:pPr>
          <w:hyperlink w:anchor="_Toc514924139" w:history="1">
            <w:r w:rsidR="00AE2959" w:rsidRPr="004D05BC">
              <w:rPr>
                <w:rStyle w:val="Hyperlink"/>
              </w:rPr>
              <w:t>5.</w:t>
            </w:r>
            <w:r w:rsidR="00AE2959">
              <w:rPr>
                <w:rFonts w:asciiTheme="minorHAnsi" w:eastAsiaTheme="minorEastAsia" w:hAnsiTheme="minorHAnsi" w:cstheme="minorBidi"/>
                <w:szCs w:val="22"/>
              </w:rPr>
              <w:tab/>
            </w:r>
            <w:r w:rsidR="00AE2959" w:rsidRPr="004D05BC">
              <w:rPr>
                <w:rStyle w:val="Hyperlink"/>
              </w:rPr>
              <w:t>Technical aspects of the AMHCC Version 1.0</w:t>
            </w:r>
            <w:r w:rsidR="00AE2959">
              <w:rPr>
                <w:webHidden/>
              </w:rPr>
              <w:tab/>
            </w:r>
            <w:r w:rsidR="00AE2959">
              <w:rPr>
                <w:webHidden/>
              </w:rPr>
              <w:fldChar w:fldCharType="begin"/>
            </w:r>
            <w:r w:rsidR="00AE2959">
              <w:rPr>
                <w:webHidden/>
              </w:rPr>
              <w:instrText xml:space="preserve"> PAGEREF _Toc514924139 \h </w:instrText>
            </w:r>
            <w:r w:rsidR="00AE2959">
              <w:rPr>
                <w:webHidden/>
              </w:rPr>
            </w:r>
            <w:r w:rsidR="00AE2959">
              <w:rPr>
                <w:webHidden/>
              </w:rPr>
              <w:fldChar w:fldCharType="separate"/>
            </w:r>
            <w:r w:rsidR="003157C9">
              <w:rPr>
                <w:webHidden/>
              </w:rPr>
              <w:t>20</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40" w:history="1">
            <w:r w:rsidR="00AE2959" w:rsidRPr="004D05BC">
              <w:rPr>
                <w:rStyle w:val="Hyperlink"/>
              </w:rPr>
              <w:t>5.1 Weighting of the HoNOS, HoNOSCA and HoNOS 65+</w:t>
            </w:r>
            <w:r w:rsidR="00AE2959">
              <w:rPr>
                <w:webHidden/>
              </w:rPr>
              <w:tab/>
            </w:r>
            <w:r w:rsidR="00AE2959">
              <w:rPr>
                <w:webHidden/>
              </w:rPr>
              <w:fldChar w:fldCharType="begin"/>
            </w:r>
            <w:r w:rsidR="00AE2959">
              <w:rPr>
                <w:webHidden/>
              </w:rPr>
              <w:instrText xml:space="preserve"> PAGEREF _Toc514924140 \h </w:instrText>
            </w:r>
            <w:r w:rsidR="00AE2959">
              <w:rPr>
                <w:webHidden/>
              </w:rPr>
            </w:r>
            <w:r w:rsidR="00AE2959">
              <w:rPr>
                <w:webHidden/>
              </w:rPr>
              <w:fldChar w:fldCharType="separate"/>
            </w:r>
            <w:r w:rsidR="003157C9">
              <w:rPr>
                <w:webHidden/>
              </w:rPr>
              <w:t>20</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41" w:history="1">
            <w:r w:rsidR="00AE2959" w:rsidRPr="004D05BC">
              <w:rPr>
                <w:rStyle w:val="Hyperlink"/>
              </w:rPr>
              <w:t>5.2 Abbreviated Life Skills Profile</w:t>
            </w:r>
            <w:r w:rsidR="00AE2959">
              <w:rPr>
                <w:webHidden/>
              </w:rPr>
              <w:tab/>
            </w:r>
            <w:r w:rsidR="00AE2959">
              <w:rPr>
                <w:webHidden/>
              </w:rPr>
              <w:fldChar w:fldCharType="begin"/>
            </w:r>
            <w:r w:rsidR="00AE2959">
              <w:rPr>
                <w:webHidden/>
              </w:rPr>
              <w:instrText xml:space="preserve"> PAGEREF _Toc514924141 \h </w:instrText>
            </w:r>
            <w:r w:rsidR="00AE2959">
              <w:rPr>
                <w:webHidden/>
              </w:rPr>
            </w:r>
            <w:r w:rsidR="00AE2959">
              <w:rPr>
                <w:webHidden/>
              </w:rPr>
              <w:fldChar w:fldCharType="separate"/>
            </w:r>
            <w:r w:rsidR="003157C9">
              <w:rPr>
                <w:webHidden/>
              </w:rPr>
              <w:t>24</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42" w:history="1">
            <w:r w:rsidR="00AE2959" w:rsidRPr="004D05BC">
              <w:rPr>
                <w:rStyle w:val="Hyperlink"/>
              </w:rPr>
              <w:t>5.3 Class numbering system</w:t>
            </w:r>
            <w:r w:rsidR="00AE2959">
              <w:rPr>
                <w:webHidden/>
              </w:rPr>
              <w:tab/>
            </w:r>
            <w:r w:rsidR="00AE2959">
              <w:rPr>
                <w:webHidden/>
              </w:rPr>
              <w:fldChar w:fldCharType="begin"/>
            </w:r>
            <w:r w:rsidR="00AE2959">
              <w:rPr>
                <w:webHidden/>
              </w:rPr>
              <w:instrText xml:space="preserve"> PAGEREF _Toc514924142 \h </w:instrText>
            </w:r>
            <w:r w:rsidR="00AE2959">
              <w:rPr>
                <w:webHidden/>
              </w:rPr>
            </w:r>
            <w:r w:rsidR="00AE2959">
              <w:rPr>
                <w:webHidden/>
              </w:rPr>
              <w:fldChar w:fldCharType="separate"/>
            </w:r>
            <w:r w:rsidR="003157C9">
              <w:rPr>
                <w:webHidden/>
              </w:rPr>
              <w:t>24</w:t>
            </w:r>
            <w:r w:rsidR="00AE2959">
              <w:rPr>
                <w:webHidden/>
              </w:rPr>
              <w:fldChar w:fldCharType="end"/>
            </w:r>
          </w:hyperlink>
        </w:p>
        <w:p w:rsidR="00AE2959" w:rsidRDefault="00943CBE">
          <w:pPr>
            <w:pStyle w:val="TOC3"/>
            <w:rPr>
              <w:rFonts w:asciiTheme="minorHAnsi" w:eastAsiaTheme="minorEastAsia" w:hAnsiTheme="minorHAnsi" w:cstheme="minorBidi"/>
              <w:noProof/>
              <w:szCs w:val="22"/>
            </w:rPr>
          </w:pPr>
          <w:hyperlink w:anchor="_Toc514924143" w:history="1">
            <w:r w:rsidR="00AE2959" w:rsidRPr="004D05BC">
              <w:rPr>
                <w:rStyle w:val="Hyperlink"/>
                <w:noProof/>
              </w:rPr>
              <w:t>5.3.1 Alpha-numeric class characters</w:t>
            </w:r>
            <w:r w:rsidR="00AE2959">
              <w:rPr>
                <w:noProof/>
                <w:webHidden/>
              </w:rPr>
              <w:tab/>
            </w:r>
            <w:r w:rsidR="00AE2959">
              <w:rPr>
                <w:noProof/>
                <w:webHidden/>
              </w:rPr>
              <w:fldChar w:fldCharType="begin"/>
            </w:r>
            <w:r w:rsidR="00AE2959">
              <w:rPr>
                <w:noProof/>
                <w:webHidden/>
              </w:rPr>
              <w:instrText xml:space="preserve"> PAGEREF _Toc514924143 \h </w:instrText>
            </w:r>
            <w:r w:rsidR="00AE2959">
              <w:rPr>
                <w:noProof/>
                <w:webHidden/>
              </w:rPr>
            </w:r>
            <w:r w:rsidR="00AE2959">
              <w:rPr>
                <w:noProof/>
                <w:webHidden/>
              </w:rPr>
              <w:fldChar w:fldCharType="separate"/>
            </w:r>
            <w:r w:rsidR="003157C9">
              <w:rPr>
                <w:noProof/>
                <w:webHidden/>
              </w:rPr>
              <w:t>24</w:t>
            </w:r>
            <w:r w:rsidR="00AE2959">
              <w:rPr>
                <w:noProof/>
                <w:webHidden/>
              </w:rPr>
              <w:fldChar w:fldCharType="end"/>
            </w:r>
          </w:hyperlink>
        </w:p>
        <w:p w:rsidR="00AE2959" w:rsidRDefault="00943CBE">
          <w:pPr>
            <w:pStyle w:val="TOC3"/>
            <w:rPr>
              <w:rFonts w:asciiTheme="minorHAnsi" w:eastAsiaTheme="minorEastAsia" w:hAnsiTheme="minorHAnsi" w:cstheme="minorBidi"/>
              <w:noProof/>
              <w:szCs w:val="22"/>
            </w:rPr>
          </w:pPr>
          <w:hyperlink w:anchor="_Toc514924144" w:history="1">
            <w:r w:rsidR="00AE2959" w:rsidRPr="004D05BC">
              <w:rPr>
                <w:rStyle w:val="Hyperlink"/>
                <w:noProof/>
              </w:rPr>
              <w:t>5.3.2 Examples of the class numbering system</w:t>
            </w:r>
            <w:r w:rsidR="00AE2959">
              <w:rPr>
                <w:noProof/>
                <w:webHidden/>
              </w:rPr>
              <w:tab/>
            </w:r>
            <w:r w:rsidR="00AE2959">
              <w:rPr>
                <w:noProof/>
                <w:webHidden/>
              </w:rPr>
              <w:fldChar w:fldCharType="begin"/>
            </w:r>
            <w:r w:rsidR="00AE2959">
              <w:rPr>
                <w:noProof/>
                <w:webHidden/>
              </w:rPr>
              <w:instrText xml:space="preserve"> PAGEREF _Toc514924144 \h </w:instrText>
            </w:r>
            <w:r w:rsidR="00AE2959">
              <w:rPr>
                <w:noProof/>
                <w:webHidden/>
              </w:rPr>
            </w:r>
            <w:r w:rsidR="00AE2959">
              <w:rPr>
                <w:noProof/>
                <w:webHidden/>
              </w:rPr>
              <w:fldChar w:fldCharType="separate"/>
            </w:r>
            <w:r w:rsidR="003157C9">
              <w:rPr>
                <w:noProof/>
                <w:webHidden/>
              </w:rPr>
              <w:t>25</w:t>
            </w:r>
            <w:r w:rsidR="00AE2959">
              <w:rPr>
                <w:noProof/>
                <w:webHidden/>
              </w:rPr>
              <w:fldChar w:fldCharType="end"/>
            </w:r>
          </w:hyperlink>
        </w:p>
        <w:p w:rsidR="00AE2959" w:rsidRDefault="00943CBE">
          <w:pPr>
            <w:pStyle w:val="TOC2"/>
            <w:rPr>
              <w:rFonts w:asciiTheme="minorHAnsi" w:eastAsiaTheme="minorEastAsia" w:hAnsiTheme="minorHAnsi" w:cstheme="minorBidi"/>
              <w:szCs w:val="22"/>
            </w:rPr>
          </w:pPr>
          <w:hyperlink w:anchor="_Toc514924145" w:history="1">
            <w:r w:rsidR="00AE2959" w:rsidRPr="004D05BC">
              <w:rPr>
                <w:rStyle w:val="Hyperlink"/>
              </w:rPr>
              <w:t>5.4 The AMHCC Version 1.0 classes - Admitted setting</w:t>
            </w:r>
            <w:r w:rsidR="00AE2959">
              <w:rPr>
                <w:webHidden/>
              </w:rPr>
              <w:tab/>
            </w:r>
            <w:r w:rsidR="00AE2959">
              <w:rPr>
                <w:webHidden/>
              </w:rPr>
              <w:fldChar w:fldCharType="begin"/>
            </w:r>
            <w:r w:rsidR="00AE2959">
              <w:rPr>
                <w:webHidden/>
              </w:rPr>
              <w:instrText xml:space="preserve"> PAGEREF _Toc514924145 \h </w:instrText>
            </w:r>
            <w:r w:rsidR="00AE2959">
              <w:rPr>
                <w:webHidden/>
              </w:rPr>
            </w:r>
            <w:r w:rsidR="00AE2959">
              <w:rPr>
                <w:webHidden/>
              </w:rPr>
              <w:fldChar w:fldCharType="separate"/>
            </w:r>
            <w:r w:rsidR="003157C9">
              <w:rPr>
                <w:webHidden/>
              </w:rPr>
              <w:t>27</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46" w:history="1">
            <w:r w:rsidR="00AE2959" w:rsidRPr="004D05BC">
              <w:rPr>
                <w:rStyle w:val="Hyperlink"/>
              </w:rPr>
              <w:t>5.5 The AMHCC Version 1.0 classes - Community setting</w:t>
            </w:r>
            <w:r w:rsidR="00AE2959">
              <w:rPr>
                <w:webHidden/>
              </w:rPr>
              <w:tab/>
            </w:r>
            <w:r w:rsidR="00AE2959">
              <w:rPr>
                <w:webHidden/>
              </w:rPr>
              <w:fldChar w:fldCharType="begin"/>
            </w:r>
            <w:r w:rsidR="00AE2959">
              <w:rPr>
                <w:webHidden/>
              </w:rPr>
              <w:instrText xml:space="preserve"> PAGEREF _Toc514924146 \h </w:instrText>
            </w:r>
            <w:r w:rsidR="00AE2959">
              <w:rPr>
                <w:webHidden/>
              </w:rPr>
            </w:r>
            <w:r w:rsidR="00AE2959">
              <w:rPr>
                <w:webHidden/>
              </w:rPr>
              <w:fldChar w:fldCharType="separate"/>
            </w:r>
            <w:r w:rsidR="003157C9">
              <w:rPr>
                <w:webHidden/>
              </w:rPr>
              <w:t>31</w:t>
            </w:r>
            <w:r w:rsidR="00AE2959">
              <w:rPr>
                <w:webHidden/>
              </w:rPr>
              <w:fldChar w:fldCharType="end"/>
            </w:r>
          </w:hyperlink>
        </w:p>
        <w:p w:rsidR="00AE2959" w:rsidRDefault="00943CBE">
          <w:pPr>
            <w:pStyle w:val="TOC1"/>
            <w:rPr>
              <w:rFonts w:asciiTheme="minorHAnsi" w:eastAsiaTheme="minorEastAsia" w:hAnsiTheme="minorHAnsi" w:cstheme="minorBidi"/>
              <w:szCs w:val="22"/>
            </w:rPr>
          </w:pPr>
          <w:hyperlink w:anchor="_Toc514924147" w:history="1">
            <w:r w:rsidR="00AE2959" w:rsidRPr="004D05BC">
              <w:rPr>
                <w:rStyle w:val="Hyperlink"/>
              </w:rPr>
              <w:t>References</w:t>
            </w:r>
            <w:r w:rsidR="00AE2959">
              <w:rPr>
                <w:webHidden/>
              </w:rPr>
              <w:tab/>
            </w:r>
            <w:r w:rsidR="00AE2959">
              <w:rPr>
                <w:webHidden/>
              </w:rPr>
              <w:fldChar w:fldCharType="begin"/>
            </w:r>
            <w:r w:rsidR="00AE2959">
              <w:rPr>
                <w:webHidden/>
              </w:rPr>
              <w:instrText xml:space="preserve"> PAGEREF _Toc514924147 \h </w:instrText>
            </w:r>
            <w:r w:rsidR="00AE2959">
              <w:rPr>
                <w:webHidden/>
              </w:rPr>
            </w:r>
            <w:r w:rsidR="00AE2959">
              <w:rPr>
                <w:webHidden/>
              </w:rPr>
              <w:fldChar w:fldCharType="separate"/>
            </w:r>
            <w:r w:rsidR="003157C9">
              <w:rPr>
                <w:webHidden/>
              </w:rPr>
              <w:t>36</w:t>
            </w:r>
            <w:r w:rsidR="00AE2959">
              <w:rPr>
                <w:webHidden/>
              </w:rPr>
              <w:fldChar w:fldCharType="end"/>
            </w:r>
          </w:hyperlink>
        </w:p>
        <w:p w:rsidR="00AE2959" w:rsidRDefault="00943CBE">
          <w:pPr>
            <w:pStyle w:val="TOC1"/>
            <w:rPr>
              <w:rFonts w:asciiTheme="minorHAnsi" w:eastAsiaTheme="minorEastAsia" w:hAnsiTheme="minorHAnsi" w:cstheme="minorBidi"/>
              <w:szCs w:val="22"/>
            </w:rPr>
          </w:pPr>
          <w:hyperlink w:anchor="_Toc514924148" w:history="1">
            <w:r w:rsidR="00AE2959" w:rsidRPr="004D05BC">
              <w:rPr>
                <w:rStyle w:val="Hyperlink"/>
              </w:rPr>
              <w:t>Appendix 1: AMHCC Version 1.0 end class list</w:t>
            </w:r>
            <w:r w:rsidR="00AE2959">
              <w:rPr>
                <w:webHidden/>
              </w:rPr>
              <w:tab/>
            </w:r>
            <w:r w:rsidR="00AE2959">
              <w:rPr>
                <w:webHidden/>
              </w:rPr>
              <w:fldChar w:fldCharType="begin"/>
            </w:r>
            <w:r w:rsidR="00AE2959">
              <w:rPr>
                <w:webHidden/>
              </w:rPr>
              <w:instrText xml:space="preserve"> PAGEREF _Toc514924148 \h </w:instrText>
            </w:r>
            <w:r w:rsidR="00AE2959">
              <w:rPr>
                <w:webHidden/>
              </w:rPr>
            </w:r>
            <w:r w:rsidR="00AE2959">
              <w:rPr>
                <w:webHidden/>
              </w:rPr>
              <w:fldChar w:fldCharType="separate"/>
            </w:r>
            <w:r w:rsidR="003157C9">
              <w:rPr>
                <w:webHidden/>
              </w:rPr>
              <w:t>38</w:t>
            </w:r>
            <w:r w:rsidR="00AE2959">
              <w:rPr>
                <w:webHidden/>
              </w:rPr>
              <w:fldChar w:fldCharType="end"/>
            </w:r>
          </w:hyperlink>
        </w:p>
        <w:p w:rsidR="00AE2959" w:rsidRDefault="00943CBE">
          <w:pPr>
            <w:pStyle w:val="TOC1"/>
            <w:rPr>
              <w:rFonts w:asciiTheme="minorHAnsi" w:eastAsiaTheme="minorEastAsia" w:hAnsiTheme="minorHAnsi" w:cstheme="minorBidi"/>
              <w:szCs w:val="22"/>
            </w:rPr>
          </w:pPr>
          <w:hyperlink w:anchor="_Toc514924149" w:history="1">
            <w:r w:rsidR="00AE2959" w:rsidRPr="004D05BC">
              <w:rPr>
                <w:rStyle w:val="Hyperlink"/>
              </w:rPr>
              <w:t>Appendix 2: Clinical assessment tool items</w:t>
            </w:r>
            <w:r w:rsidR="00AE2959">
              <w:rPr>
                <w:webHidden/>
              </w:rPr>
              <w:tab/>
            </w:r>
            <w:r w:rsidR="00AE2959">
              <w:rPr>
                <w:webHidden/>
              </w:rPr>
              <w:fldChar w:fldCharType="begin"/>
            </w:r>
            <w:r w:rsidR="00AE2959">
              <w:rPr>
                <w:webHidden/>
              </w:rPr>
              <w:instrText xml:space="preserve"> PAGEREF _Toc514924149 \h </w:instrText>
            </w:r>
            <w:r w:rsidR="00AE2959">
              <w:rPr>
                <w:webHidden/>
              </w:rPr>
            </w:r>
            <w:r w:rsidR="00AE2959">
              <w:rPr>
                <w:webHidden/>
              </w:rPr>
              <w:fldChar w:fldCharType="separate"/>
            </w:r>
            <w:r w:rsidR="003157C9">
              <w:rPr>
                <w:webHidden/>
              </w:rPr>
              <w:t>41</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50" w:history="1">
            <w:r w:rsidR="00AE2959" w:rsidRPr="004D05BC">
              <w:rPr>
                <w:rStyle w:val="Hyperlink"/>
              </w:rPr>
              <w:t>HoNOSCA items</w:t>
            </w:r>
            <w:r w:rsidR="00AE2959">
              <w:rPr>
                <w:webHidden/>
              </w:rPr>
              <w:tab/>
            </w:r>
            <w:r w:rsidR="00AE2959">
              <w:rPr>
                <w:webHidden/>
              </w:rPr>
              <w:fldChar w:fldCharType="begin"/>
            </w:r>
            <w:r w:rsidR="00AE2959">
              <w:rPr>
                <w:webHidden/>
              </w:rPr>
              <w:instrText xml:space="preserve"> PAGEREF _Toc514924150 \h </w:instrText>
            </w:r>
            <w:r w:rsidR="00AE2959">
              <w:rPr>
                <w:webHidden/>
              </w:rPr>
            </w:r>
            <w:r w:rsidR="00AE2959">
              <w:rPr>
                <w:webHidden/>
              </w:rPr>
              <w:fldChar w:fldCharType="separate"/>
            </w:r>
            <w:r w:rsidR="003157C9">
              <w:rPr>
                <w:webHidden/>
              </w:rPr>
              <w:t>41</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51" w:history="1">
            <w:r w:rsidR="00AE2959" w:rsidRPr="004D05BC">
              <w:rPr>
                <w:rStyle w:val="Hyperlink"/>
              </w:rPr>
              <w:t>HoNOS items</w:t>
            </w:r>
            <w:r w:rsidR="00AE2959">
              <w:rPr>
                <w:webHidden/>
              </w:rPr>
              <w:tab/>
            </w:r>
            <w:r w:rsidR="00AE2959">
              <w:rPr>
                <w:webHidden/>
              </w:rPr>
              <w:fldChar w:fldCharType="begin"/>
            </w:r>
            <w:r w:rsidR="00AE2959">
              <w:rPr>
                <w:webHidden/>
              </w:rPr>
              <w:instrText xml:space="preserve"> PAGEREF _Toc514924151 \h </w:instrText>
            </w:r>
            <w:r w:rsidR="00AE2959">
              <w:rPr>
                <w:webHidden/>
              </w:rPr>
            </w:r>
            <w:r w:rsidR="00AE2959">
              <w:rPr>
                <w:webHidden/>
              </w:rPr>
              <w:fldChar w:fldCharType="separate"/>
            </w:r>
            <w:r w:rsidR="003157C9">
              <w:rPr>
                <w:webHidden/>
              </w:rPr>
              <w:t>42</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52" w:history="1">
            <w:r w:rsidR="00AE2959" w:rsidRPr="004D05BC">
              <w:rPr>
                <w:rStyle w:val="Hyperlink"/>
              </w:rPr>
              <w:t>HoNOS 65+ items</w:t>
            </w:r>
            <w:r w:rsidR="00AE2959">
              <w:rPr>
                <w:webHidden/>
              </w:rPr>
              <w:tab/>
            </w:r>
            <w:r w:rsidR="00AE2959">
              <w:rPr>
                <w:webHidden/>
              </w:rPr>
              <w:fldChar w:fldCharType="begin"/>
            </w:r>
            <w:r w:rsidR="00AE2959">
              <w:rPr>
                <w:webHidden/>
              </w:rPr>
              <w:instrText xml:space="preserve"> PAGEREF _Toc514924152 \h </w:instrText>
            </w:r>
            <w:r w:rsidR="00AE2959">
              <w:rPr>
                <w:webHidden/>
              </w:rPr>
            </w:r>
            <w:r w:rsidR="00AE2959">
              <w:rPr>
                <w:webHidden/>
              </w:rPr>
              <w:fldChar w:fldCharType="separate"/>
            </w:r>
            <w:r w:rsidR="003157C9">
              <w:rPr>
                <w:webHidden/>
              </w:rPr>
              <w:t>42</w:t>
            </w:r>
            <w:r w:rsidR="00AE2959">
              <w:rPr>
                <w:webHidden/>
              </w:rPr>
              <w:fldChar w:fldCharType="end"/>
            </w:r>
          </w:hyperlink>
        </w:p>
        <w:p w:rsidR="00AE2959" w:rsidRDefault="00943CBE">
          <w:pPr>
            <w:pStyle w:val="TOC2"/>
            <w:rPr>
              <w:rFonts w:asciiTheme="minorHAnsi" w:eastAsiaTheme="minorEastAsia" w:hAnsiTheme="minorHAnsi" w:cstheme="minorBidi"/>
              <w:szCs w:val="22"/>
            </w:rPr>
          </w:pPr>
          <w:hyperlink w:anchor="_Toc514924153" w:history="1">
            <w:r w:rsidR="00AE2959" w:rsidRPr="004D05BC">
              <w:rPr>
                <w:rStyle w:val="Hyperlink"/>
              </w:rPr>
              <w:t>LSP-16 items</w:t>
            </w:r>
            <w:r w:rsidR="00AE2959">
              <w:rPr>
                <w:webHidden/>
              </w:rPr>
              <w:tab/>
            </w:r>
            <w:r w:rsidR="00AE2959">
              <w:rPr>
                <w:webHidden/>
              </w:rPr>
              <w:fldChar w:fldCharType="begin"/>
            </w:r>
            <w:r w:rsidR="00AE2959">
              <w:rPr>
                <w:webHidden/>
              </w:rPr>
              <w:instrText xml:space="preserve"> PAGEREF _Toc514924153 \h </w:instrText>
            </w:r>
            <w:r w:rsidR="00AE2959">
              <w:rPr>
                <w:webHidden/>
              </w:rPr>
            </w:r>
            <w:r w:rsidR="00AE2959">
              <w:rPr>
                <w:webHidden/>
              </w:rPr>
              <w:fldChar w:fldCharType="separate"/>
            </w:r>
            <w:r w:rsidR="003157C9">
              <w:rPr>
                <w:webHidden/>
              </w:rPr>
              <w:t>43</w:t>
            </w:r>
            <w:r w:rsidR="00AE2959">
              <w:rPr>
                <w:webHidden/>
              </w:rPr>
              <w:fldChar w:fldCharType="end"/>
            </w:r>
          </w:hyperlink>
        </w:p>
        <w:p w:rsidR="00AE2959" w:rsidRDefault="00943CBE">
          <w:pPr>
            <w:pStyle w:val="TOC1"/>
            <w:rPr>
              <w:rFonts w:asciiTheme="minorHAnsi" w:eastAsiaTheme="minorEastAsia" w:hAnsiTheme="minorHAnsi" w:cstheme="minorBidi"/>
              <w:szCs w:val="22"/>
            </w:rPr>
          </w:pPr>
          <w:hyperlink w:anchor="_Toc514924154" w:history="1">
            <w:r w:rsidR="00AE2959" w:rsidRPr="004D05BC">
              <w:rPr>
                <w:rStyle w:val="Hyperlink"/>
              </w:rPr>
              <w:t>Appendix 3: Illustration outlining the process of classifying a mental health phase of care as moderate or high HoNOS complexity</w:t>
            </w:r>
            <w:r w:rsidR="00AE2959">
              <w:rPr>
                <w:webHidden/>
              </w:rPr>
              <w:tab/>
            </w:r>
            <w:r w:rsidR="00AE2959">
              <w:rPr>
                <w:webHidden/>
              </w:rPr>
              <w:fldChar w:fldCharType="begin"/>
            </w:r>
            <w:r w:rsidR="00AE2959">
              <w:rPr>
                <w:webHidden/>
              </w:rPr>
              <w:instrText xml:space="preserve"> PAGEREF _Toc514924154 \h </w:instrText>
            </w:r>
            <w:r w:rsidR="00AE2959">
              <w:rPr>
                <w:webHidden/>
              </w:rPr>
            </w:r>
            <w:r w:rsidR="00AE2959">
              <w:rPr>
                <w:webHidden/>
              </w:rPr>
              <w:fldChar w:fldCharType="separate"/>
            </w:r>
            <w:r w:rsidR="003157C9">
              <w:rPr>
                <w:webHidden/>
              </w:rPr>
              <w:t>44</w:t>
            </w:r>
            <w:r w:rsidR="00AE2959">
              <w:rPr>
                <w:webHidden/>
              </w:rPr>
              <w:fldChar w:fldCharType="end"/>
            </w:r>
          </w:hyperlink>
        </w:p>
        <w:p w:rsidR="00E418CF" w:rsidRDefault="00E418CF" w:rsidP="00E418CF">
          <w:r>
            <w:rPr>
              <w:b/>
              <w:bCs/>
              <w:noProof/>
            </w:rPr>
            <w:fldChar w:fldCharType="end"/>
          </w:r>
        </w:p>
      </w:sdtContent>
    </w:sdt>
    <w:p w:rsidR="00154D81" w:rsidRPr="006664EF" w:rsidRDefault="00154D81" w:rsidP="006664EF">
      <w:pPr>
        <w:rPr>
          <w:noProof/>
        </w:rPr>
      </w:pPr>
      <w:r>
        <w:rPr>
          <w:noProof/>
        </w:rPr>
        <w:br w:type="page"/>
      </w:r>
    </w:p>
    <w:p w:rsidR="00154D81" w:rsidRDefault="00154D81" w:rsidP="00154D81">
      <w:pPr>
        <w:pStyle w:val="Heading1"/>
      </w:pPr>
      <w:bookmarkStart w:id="13" w:name="_Toc433900309"/>
      <w:bookmarkStart w:id="14" w:name="_Toc454793219"/>
      <w:bookmarkStart w:id="15" w:name="_Toc483478573"/>
      <w:bookmarkStart w:id="16" w:name="_Toc514924108"/>
      <w:r>
        <w:lastRenderedPageBreak/>
        <w:t>Abbreviations and acronyms</w:t>
      </w:r>
      <w:bookmarkEnd w:id="13"/>
      <w:bookmarkEnd w:id="14"/>
      <w:bookmarkEnd w:id="15"/>
      <w:bookmarkEnd w:id="16"/>
    </w:p>
    <w:p w:rsidR="00154D81" w:rsidRPr="00297FC3" w:rsidRDefault="00154D81" w:rsidP="00154D81">
      <w:pPr>
        <w:tabs>
          <w:tab w:val="left" w:pos="3544"/>
        </w:tabs>
        <w:ind w:left="2552" w:hanging="2552"/>
      </w:pPr>
      <w:r>
        <w:rPr>
          <w:b/>
        </w:rPr>
        <w:t>ABF</w:t>
      </w:r>
      <w:r>
        <w:rPr>
          <w:b/>
        </w:rPr>
        <w:tab/>
      </w:r>
      <w:r>
        <w:t xml:space="preserve">Activity based funding </w:t>
      </w:r>
    </w:p>
    <w:p w:rsidR="00154D81" w:rsidRDefault="00154D81" w:rsidP="00154D81">
      <w:pPr>
        <w:tabs>
          <w:tab w:val="left" w:pos="3544"/>
        </w:tabs>
        <w:ind w:left="2552" w:hanging="2552"/>
      </w:pPr>
      <w:r w:rsidRPr="005713D7">
        <w:rPr>
          <w:b/>
        </w:rPr>
        <w:t>AMHCC</w:t>
      </w:r>
      <w:r>
        <w:tab/>
        <w:t>Australian Mental Health Care Classification</w:t>
      </w:r>
    </w:p>
    <w:p w:rsidR="00154D81" w:rsidRDefault="00154D81" w:rsidP="00154D81">
      <w:pPr>
        <w:tabs>
          <w:tab w:val="left" w:pos="3544"/>
        </w:tabs>
        <w:ind w:left="2552" w:hanging="2552"/>
      </w:pPr>
      <w:r>
        <w:rPr>
          <w:b/>
        </w:rPr>
        <w:t>AR-DRG</w:t>
      </w:r>
      <w:r>
        <w:tab/>
      </w:r>
      <w:r w:rsidRPr="00EC52D4">
        <w:t xml:space="preserve">Australian </w:t>
      </w:r>
      <w:r>
        <w:t>Refined Diagnosis Related Group</w:t>
      </w:r>
    </w:p>
    <w:p w:rsidR="00154D81" w:rsidRDefault="00154D81" w:rsidP="00154D81">
      <w:pPr>
        <w:tabs>
          <w:tab w:val="left" w:pos="3544"/>
        </w:tabs>
        <w:ind w:left="2552" w:hanging="2552"/>
      </w:pPr>
      <w:r w:rsidRPr="00FA5220">
        <w:rPr>
          <w:b/>
        </w:rPr>
        <w:t>ECCS</w:t>
      </w:r>
      <w:r w:rsidRPr="00FA5220">
        <w:rPr>
          <w:b/>
        </w:rPr>
        <w:tab/>
      </w:r>
      <w:r>
        <w:t>Episode Clinical Complexity Score</w:t>
      </w:r>
    </w:p>
    <w:p w:rsidR="00154D81" w:rsidRDefault="00154D81" w:rsidP="00154D81">
      <w:pPr>
        <w:tabs>
          <w:tab w:val="left" w:pos="3544"/>
        </w:tabs>
        <w:ind w:left="2552" w:hanging="2552"/>
      </w:pPr>
      <w:r w:rsidRPr="00303E1D">
        <w:rPr>
          <w:b/>
        </w:rPr>
        <w:t>HoNOS</w:t>
      </w:r>
      <w:r>
        <w:tab/>
      </w:r>
      <w:r w:rsidRPr="00303E1D">
        <w:t>Health of the Nation Outcome Scales</w:t>
      </w:r>
    </w:p>
    <w:p w:rsidR="00154D81" w:rsidRDefault="00154D81" w:rsidP="00154D81">
      <w:pPr>
        <w:tabs>
          <w:tab w:val="left" w:pos="3544"/>
        </w:tabs>
        <w:ind w:left="2552" w:hanging="2552"/>
      </w:pPr>
      <w:r w:rsidRPr="00FA5220">
        <w:rPr>
          <w:b/>
        </w:rPr>
        <w:t xml:space="preserve">HoNOS 65+ </w:t>
      </w:r>
      <w:r w:rsidRPr="00FA5220">
        <w:rPr>
          <w:b/>
        </w:rPr>
        <w:tab/>
      </w:r>
      <w:r w:rsidRPr="00F42F29">
        <w:t>Health of the Nation Outcome Scale for elderly people</w:t>
      </w:r>
    </w:p>
    <w:p w:rsidR="00154D81" w:rsidRDefault="00154D81" w:rsidP="00154D81">
      <w:pPr>
        <w:ind w:left="2552" w:hanging="2552"/>
      </w:pPr>
      <w:r w:rsidRPr="00FA5220">
        <w:rPr>
          <w:b/>
        </w:rPr>
        <w:t>HoNOSCA</w:t>
      </w:r>
      <w:r>
        <w:tab/>
      </w:r>
      <w:r w:rsidRPr="00F42F29">
        <w:t>Health of the Nation Outcome Scal</w:t>
      </w:r>
      <w:r>
        <w:t>es for Children and Adolescents</w:t>
      </w:r>
    </w:p>
    <w:p w:rsidR="00154D81" w:rsidRPr="00EC52D4" w:rsidRDefault="00154D81" w:rsidP="00154D81">
      <w:pPr>
        <w:ind w:left="2552" w:hanging="2552"/>
      </w:pPr>
      <w:r>
        <w:rPr>
          <w:b/>
        </w:rPr>
        <w:t>ICD-10-AM</w:t>
      </w:r>
      <w:r>
        <w:rPr>
          <w:b/>
        </w:rPr>
        <w:tab/>
      </w:r>
      <w:r w:rsidRPr="00D22D9F">
        <w:t>International Classification of Diseases – 10th Revision – Australian Modification</w:t>
      </w:r>
    </w:p>
    <w:p w:rsidR="00154D81" w:rsidRDefault="00154D81" w:rsidP="00154D81">
      <w:pPr>
        <w:tabs>
          <w:tab w:val="left" w:pos="3544"/>
        </w:tabs>
        <w:ind w:left="2552" w:hanging="2552"/>
      </w:pPr>
      <w:r w:rsidRPr="00DD0F30">
        <w:rPr>
          <w:b/>
        </w:rPr>
        <w:t>IHPA</w:t>
      </w:r>
      <w:r>
        <w:tab/>
        <w:t>Independent Hospital Pricing Authority</w:t>
      </w:r>
    </w:p>
    <w:p w:rsidR="00154D81" w:rsidRDefault="00154D81" w:rsidP="00154D81">
      <w:pPr>
        <w:tabs>
          <w:tab w:val="left" w:pos="3544"/>
        </w:tabs>
        <w:ind w:left="2552" w:hanging="2552"/>
      </w:pPr>
      <w:r w:rsidRPr="00021EBF">
        <w:rPr>
          <w:b/>
        </w:rPr>
        <w:t>LSP</w:t>
      </w:r>
      <w:r>
        <w:tab/>
      </w:r>
      <w:r w:rsidRPr="00021EBF">
        <w:t>Life Skills Pro</w:t>
      </w:r>
      <w:r>
        <w:t>file</w:t>
      </w:r>
    </w:p>
    <w:p w:rsidR="00154D81" w:rsidRDefault="00154D81" w:rsidP="00154D81">
      <w:pPr>
        <w:tabs>
          <w:tab w:val="left" w:pos="3544"/>
        </w:tabs>
        <w:ind w:left="2552" w:hanging="2552"/>
      </w:pPr>
      <w:r w:rsidRPr="00FA5220">
        <w:rPr>
          <w:b/>
        </w:rPr>
        <w:t>LSP-16</w:t>
      </w:r>
      <w:r>
        <w:tab/>
      </w:r>
      <w:r w:rsidRPr="00E22926">
        <w:t>Abbreviated Life Skills Profile</w:t>
      </w:r>
    </w:p>
    <w:p w:rsidR="00154D81" w:rsidRDefault="00154D81" w:rsidP="00154D81">
      <w:pPr>
        <w:tabs>
          <w:tab w:val="left" w:pos="3544"/>
        </w:tabs>
        <w:ind w:left="2552" w:hanging="2552"/>
      </w:pPr>
      <w:r w:rsidRPr="003E671A">
        <w:rPr>
          <w:b/>
        </w:rPr>
        <w:t>MHLS</w:t>
      </w:r>
      <w:r>
        <w:tab/>
        <w:t>Mental Health Legal Status</w:t>
      </w:r>
    </w:p>
    <w:p w:rsidR="00154D81" w:rsidRDefault="00154D81" w:rsidP="00154D81">
      <w:pPr>
        <w:tabs>
          <w:tab w:val="left" w:pos="3544"/>
        </w:tabs>
        <w:ind w:left="2552" w:hanging="2552"/>
      </w:pPr>
      <w:r w:rsidRPr="00FA5220">
        <w:rPr>
          <w:b/>
        </w:rPr>
        <w:t>MHCERG</w:t>
      </w:r>
      <w:r>
        <w:tab/>
      </w:r>
      <w:r w:rsidRPr="004B1A51">
        <w:t xml:space="preserve">Mental Health Classification </w:t>
      </w:r>
      <w:r>
        <w:t>Expert Reference Group</w:t>
      </w:r>
    </w:p>
    <w:p w:rsidR="00154D81" w:rsidRDefault="00154D81" w:rsidP="00154D81">
      <w:pPr>
        <w:tabs>
          <w:tab w:val="left" w:pos="3544"/>
        </w:tabs>
        <w:ind w:left="2552" w:hanging="2552"/>
        <w:rPr>
          <w:b/>
        </w:rPr>
      </w:pPr>
      <w:r>
        <w:rPr>
          <w:b/>
        </w:rPr>
        <w:t>MHPoC</w:t>
      </w:r>
      <w:r>
        <w:rPr>
          <w:b/>
        </w:rPr>
        <w:tab/>
      </w:r>
      <w:r w:rsidRPr="002914BE">
        <w:t>Mental Health Phase of Care</w:t>
      </w:r>
    </w:p>
    <w:p w:rsidR="00154D81" w:rsidRDefault="00154D81" w:rsidP="00154D81">
      <w:pPr>
        <w:tabs>
          <w:tab w:val="left" w:pos="3544"/>
        </w:tabs>
        <w:ind w:left="2552" w:hanging="2552"/>
      </w:pPr>
      <w:r w:rsidRPr="00FA5220">
        <w:rPr>
          <w:b/>
        </w:rPr>
        <w:t>MHWG</w:t>
      </w:r>
      <w:r w:rsidRPr="00FA5220">
        <w:rPr>
          <w:b/>
        </w:rPr>
        <w:tab/>
      </w:r>
      <w:r>
        <w:t>Mental Health Working Group</w:t>
      </w:r>
    </w:p>
    <w:p w:rsidR="00154D81" w:rsidRDefault="00154D81" w:rsidP="00154D81">
      <w:pPr>
        <w:tabs>
          <w:tab w:val="left" w:pos="3544"/>
        </w:tabs>
        <w:ind w:left="2552" w:hanging="2552"/>
      </w:pPr>
      <w:r>
        <w:rPr>
          <w:b/>
        </w:rPr>
        <w:t>NHRA</w:t>
      </w:r>
      <w:r>
        <w:rPr>
          <w:b/>
        </w:rPr>
        <w:tab/>
      </w:r>
      <w:r w:rsidRPr="00CF79AD">
        <w:t>National Health Reform Agreement</w:t>
      </w:r>
    </w:p>
    <w:p w:rsidR="00154D81" w:rsidRDefault="00154D81" w:rsidP="00154D81">
      <w:pPr>
        <w:tabs>
          <w:tab w:val="left" w:pos="3544"/>
        </w:tabs>
        <w:ind w:left="2552" w:hanging="2552"/>
      </w:pPr>
      <w:r w:rsidRPr="00EA2475">
        <w:rPr>
          <w:b/>
        </w:rPr>
        <w:t>NOCC</w:t>
      </w:r>
      <w:r>
        <w:tab/>
        <w:t>National Outcomes and Casemix Collection</w:t>
      </w:r>
    </w:p>
    <w:p w:rsidR="00154D81" w:rsidRDefault="00154D81" w:rsidP="00154D81">
      <w:pPr>
        <w:spacing w:after="0" w:line="240" w:lineRule="auto"/>
      </w:pPr>
      <w:r>
        <w:br w:type="page"/>
      </w:r>
    </w:p>
    <w:p w:rsidR="00154D81" w:rsidRPr="0031263F" w:rsidRDefault="00154D81" w:rsidP="00154D81">
      <w:pPr>
        <w:pStyle w:val="Heading1"/>
        <w:rPr>
          <w:caps/>
        </w:rPr>
      </w:pPr>
      <w:bookmarkStart w:id="17" w:name="_Toc433900310"/>
      <w:bookmarkStart w:id="18" w:name="_Toc454793220"/>
      <w:bookmarkStart w:id="19" w:name="_Toc483478574"/>
      <w:bookmarkStart w:id="20" w:name="_Toc514924109"/>
      <w:r w:rsidRPr="0031263F">
        <w:lastRenderedPageBreak/>
        <w:t>Executive summary</w:t>
      </w:r>
      <w:bookmarkEnd w:id="17"/>
      <w:bookmarkEnd w:id="18"/>
      <w:bookmarkEnd w:id="19"/>
      <w:bookmarkEnd w:id="20"/>
    </w:p>
    <w:p w:rsidR="00154D81" w:rsidRDefault="00154D81" w:rsidP="00154D81">
      <w:r>
        <w:t xml:space="preserve">The Independent Hospital Pricing Authority (IHPA) developed the Australian Mental Health Care Classification (AMHCC) as a </w:t>
      </w:r>
      <w:r w:rsidRPr="00B056D5">
        <w:t>national classification for mental health care</w:t>
      </w:r>
      <w:r>
        <w:t xml:space="preserve">. The AMHCC aims to </w:t>
      </w:r>
      <w:r w:rsidRPr="00B056D5">
        <w:t xml:space="preserve">improve the clinical meaningfulness of </w:t>
      </w:r>
      <w:r>
        <w:t>how</w:t>
      </w:r>
      <w:r w:rsidRPr="00B056D5">
        <w:t xml:space="preserve"> mental health care services </w:t>
      </w:r>
      <w:r>
        <w:t>are</w:t>
      </w:r>
      <w:r w:rsidRPr="00B056D5">
        <w:t xml:space="preserve"> classified, counted and costed.</w:t>
      </w:r>
      <w:r>
        <w:t xml:space="preserve"> Development of the AMHCC involved defining mental health services, identifying mental health care specific cost drivers, conducting a mental health consumer level costing study, and the undertaking of data modelling methods to develop the classification.</w:t>
      </w:r>
    </w:p>
    <w:p w:rsidR="00154D81" w:rsidRPr="00454DF4" w:rsidRDefault="00154D81" w:rsidP="00154D81">
      <w:pPr>
        <w:rPr>
          <w:i/>
        </w:rPr>
      </w:pPr>
      <w:r>
        <w:t>This User M</w:t>
      </w:r>
      <w:r w:rsidRPr="00454DF4">
        <w:t>anual was designed to provide detailed information for users of the AMHCC Version</w:t>
      </w:r>
      <w:r>
        <w:t> </w:t>
      </w:r>
      <w:r w:rsidRPr="00454DF4">
        <w:t>1.0 which w</w:t>
      </w:r>
      <w:r>
        <w:t>as</w:t>
      </w:r>
      <w:r w:rsidRPr="00454DF4">
        <w:t xml:space="preserve"> implemented on a best endeavours basis from 1 July 2016. </w:t>
      </w:r>
    </w:p>
    <w:p w:rsidR="00154D81" w:rsidRDefault="00154D81" w:rsidP="00154D81">
      <w:r w:rsidRPr="00454DF4">
        <w:t xml:space="preserve">It is important to note that although the AMHCC was developed by IHPA for the purposes of classifying public hospital mental health services, the AMHCC can also be used by other mental health care services in Australia. </w:t>
      </w:r>
    </w:p>
    <w:p w:rsidR="00154D81" w:rsidRPr="00454DF4" w:rsidRDefault="00154D81" w:rsidP="00154D81">
      <w:r>
        <w:t>The information contained in this document relates to the implementation of the AMHCC. Further work is being undertaken to align the AMHCC with the existing National Outcomes and Casemix Collection (NOCC).</w:t>
      </w:r>
    </w:p>
    <w:p w:rsidR="00154D81" w:rsidRPr="006664EF" w:rsidRDefault="00154D81" w:rsidP="006664EF">
      <w:r>
        <w:br w:type="page"/>
      </w:r>
    </w:p>
    <w:p w:rsidR="00154D81" w:rsidRPr="006F4EA9" w:rsidRDefault="00154D81" w:rsidP="00154D81">
      <w:pPr>
        <w:pStyle w:val="Heading1"/>
        <w:numPr>
          <w:ilvl w:val="0"/>
          <w:numId w:val="14"/>
        </w:numPr>
        <w:spacing w:after="1320" w:line="216" w:lineRule="auto"/>
      </w:pPr>
      <w:bookmarkStart w:id="21" w:name="_Toc483478575"/>
      <w:bookmarkStart w:id="22" w:name="_Toc514924110"/>
      <w:r>
        <w:lastRenderedPageBreak/>
        <w:t>Introduction</w:t>
      </w:r>
      <w:bookmarkEnd w:id="21"/>
      <w:bookmarkEnd w:id="22"/>
    </w:p>
    <w:p w:rsidR="00154D81" w:rsidRPr="00F8403C" w:rsidRDefault="00154D81" w:rsidP="00154D81">
      <w:pPr>
        <w:pStyle w:val="Heading2"/>
      </w:pPr>
      <w:bookmarkStart w:id="23" w:name="_Toc433900312"/>
      <w:bookmarkStart w:id="24" w:name="_Toc454793222"/>
      <w:bookmarkStart w:id="25" w:name="_Toc483478576"/>
      <w:bookmarkStart w:id="26" w:name="_Toc514924111"/>
      <w:r>
        <w:t>1.1 Independent Hospital Pricing Authority</w:t>
      </w:r>
      <w:bookmarkEnd w:id="23"/>
      <w:bookmarkEnd w:id="24"/>
      <w:bookmarkEnd w:id="25"/>
      <w:bookmarkEnd w:id="26"/>
      <w:r>
        <w:t xml:space="preserve"> </w:t>
      </w:r>
    </w:p>
    <w:p w:rsidR="00154D81" w:rsidRDefault="00154D81" w:rsidP="00154D81">
      <w:bookmarkStart w:id="27" w:name="_Toc433900313"/>
      <w:bookmarkStart w:id="28" w:name="_Toc454793223"/>
      <w:r>
        <w:t xml:space="preserve">The </w:t>
      </w:r>
      <w:r w:rsidRPr="00AC5562">
        <w:t xml:space="preserve">Independent Hospital Pricing Authority </w:t>
      </w:r>
      <w:r>
        <w:t xml:space="preserve">(IHPA) </w:t>
      </w:r>
      <w:r w:rsidRPr="00B20BF8">
        <w:t xml:space="preserve">was established as part of the implementation of the National Health Reform Agreement 2011 (NHRA). Under the NHRA, the Council of Australian Governments unanimously agreed to the establishment of activity based funding (ABF) as the primary funding methodology for public hospitals throughout Australia. </w:t>
      </w:r>
      <w:r>
        <w:t xml:space="preserve">The aim of a national ABF system is to improve the efficiency and transparency in the delivery and funding of Australian public hospital services. </w:t>
      </w:r>
      <w:r w:rsidRPr="005A43B6">
        <w:t>IHPA’s overall functions and performance is governed by the Pricing Authority.</w:t>
      </w:r>
      <w:r>
        <w:t xml:space="preserve"> </w:t>
      </w:r>
    </w:p>
    <w:p w:rsidR="00154D81" w:rsidRDefault="00154D81" w:rsidP="00154D81">
      <w:r w:rsidRPr="00B20BF8">
        <w:t>IHPA has a number of determinative functions as specified by the NHRA. IHPA’s primary role is to determine t</w:t>
      </w:r>
      <w:r>
        <w:t>he national efficient price</w:t>
      </w:r>
      <w:r w:rsidRPr="00B20BF8">
        <w:t xml:space="preserve"> and national efficient cost for public hospital services. </w:t>
      </w:r>
    </w:p>
    <w:p w:rsidR="00154D81" w:rsidRDefault="00154D81" w:rsidP="00154D81">
      <w:r w:rsidRPr="00B20BF8">
        <w:t xml:space="preserve">Other functions IHPA has responsibility for include determining adjustments to the </w:t>
      </w:r>
      <w:r>
        <w:t>national efficient price</w:t>
      </w:r>
      <w:r w:rsidRPr="00B20BF8">
        <w:t xml:space="preserve"> to reflect legitimate and unavoidable variations in the cost of delivering health services, determining data requirements and developing and specifying the classifications for services provided by public hospitals.</w:t>
      </w:r>
      <w:r>
        <w:t xml:space="preserve"> </w:t>
      </w:r>
      <w:r w:rsidRPr="00975E3E">
        <w:t>IHPA undertakes reviews and updates of existing classifications and is also responsible for introducing new classifications</w:t>
      </w:r>
      <w:r>
        <w:t>.</w:t>
      </w:r>
    </w:p>
    <w:p w:rsidR="00154D81" w:rsidRPr="007C4CA3" w:rsidRDefault="00154D81" w:rsidP="00154D81">
      <w:pPr>
        <w:pStyle w:val="Heading2"/>
      </w:pPr>
      <w:bookmarkStart w:id="29" w:name="_Toc483478577"/>
      <w:bookmarkStart w:id="30" w:name="_Toc514924112"/>
      <w:r>
        <w:t>1.2 C</w:t>
      </w:r>
      <w:r w:rsidRPr="007C4CA3">
        <w:t>lassification systems</w:t>
      </w:r>
      <w:bookmarkEnd w:id="27"/>
      <w:bookmarkEnd w:id="28"/>
      <w:bookmarkEnd w:id="29"/>
      <w:bookmarkEnd w:id="30"/>
    </w:p>
    <w:p w:rsidR="00154D81" w:rsidRDefault="00154D81" w:rsidP="00154D81">
      <w:bookmarkStart w:id="31" w:name="_Toc433900314"/>
      <w:bookmarkStart w:id="32" w:name="_Toc448227608"/>
      <w:bookmarkStart w:id="33" w:name="_Toc454793224"/>
      <w:r w:rsidRPr="00CD6E2C">
        <w:t>Classification</w:t>
      </w:r>
      <w:r>
        <w:t xml:space="preserve"> system</w:t>
      </w:r>
      <w:r w:rsidRPr="00CD6E2C">
        <w:t xml:space="preserve">s aim to provide the health care sector with a nationally consistent method of classifying </w:t>
      </w:r>
      <w:r>
        <w:t>the different types of patients/consumers of mental health services</w:t>
      </w:r>
      <w:r>
        <w:rPr>
          <w:rStyle w:val="FootnoteReference"/>
        </w:rPr>
        <w:footnoteReference w:id="1"/>
      </w:r>
      <w:r w:rsidRPr="00CD6E2C">
        <w:t>, their treatment and associated costs</w:t>
      </w:r>
      <w:r>
        <w:t>. Classification systems categorise consumers on the basis of similar diagnostic, clinical and therapeutic attributes.</w:t>
      </w:r>
    </w:p>
    <w:p w:rsidR="00154D81" w:rsidRDefault="00154D81" w:rsidP="00154D81">
      <w:r>
        <w:t xml:space="preserve">In other words, a classification system groups consumers who are clinically similar and have similar resource needs into groups. Classification systems enable vast amount of clinical information to be converted into manageable data categories. Classification systems enable hospital and health service provider usage, output and performance to be measured by creating a link between the consumers treated and the resources consumed during the provision of those treatments. </w:t>
      </w:r>
    </w:p>
    <w:p w:rsidR="00154D81" w:rsidRDefault="00154D81" w:rsidP="00154D81">
      <w:r w:rsidRPr="00FC26FA">
        <w:t>Classification systems are</w:t>
      </w:r>
      <w:r>
        <w:t xml:space="preserve"> also</w:t>
      </w:r>
      <w:r w:rsidRPr="00FC26FA">
        <w:t xml:space="preserve"> a critical element of any ABF system.</w:t>
      </w:r>
      <w:r>
        <w:t xml:space="preserve"> Using such a classification system can result in</w:t>
      </w:r>
      <w:r w:rsidRPr="00CD6E2C">
        <w:t xml:space="preserve"> improved mana</w:t>
      </w:r>
      <w:r>
        <w:t xml:space="preserve">gement, measurement and funding. </w:t>
      </w:r>
    </w:p>
    <w:p w:rsidR="00154D81" w:rsidRPr="00E975BD" w:rsidRDefault="00154D81" w:rsidP="00154D81">
      <w:pPr>
        <w:pStyle w:val="Heading2"/>
      </w:pPr>
      <w:bookmarkStart w:id="34" w:name="_Toc483478578"/>
      <w:bookmarkStart w:id="35" w:name="_Toc514924113"/>
      <w:r>
        <w:lastRenderedPageBreak/>
        <w:t>1.3 Historical classification and pricing of public hospital mental health services</w:t>
      </w:r>
      <w:bookmarkEnd w:id="31"/>
      <w:bookmarkEnd w:id="32"/>
      <w:bookmarkEnd w:id="33"/>
      <w:bookmarkEnd w:id="34"/>
      <w:bookmarkEnd w:id="35"/>
      <w:r>
        <w:t xml:space="preserve"> </w:t>
      </w:r>
    </w:p>
    <w:p w:rsidR="00154D81" w:rsidRDefault="00154D81" w:rsidP="00154D81">
      <w:pPr>
        <w:keepNext/>
      </w:pPr>
      <w:bookmarkStart w:id="36" w:name="_Toc433900315"/>
      <w:bookmarkStart w:id="37" w:name="_Toc454793225"/>
      <w:r>
        <w:t>The NHRA stated that the implementation of ABF for public hospital mental health services would commence from 1 July 2013. To achieve</w:t>
      </w:r>
      <w:r w:rsidRPr="00166FC7">
        <w:t xml:space="preserve"> a nationally consistent classification of mental health services</w:t>
      </w:r>
      <w:r>
        <w:t xml:space="preserve">, all </w:t>
      </w:r>
      <w:r w:rsidRPr="00166FC7">
        <w:t xml:space="preserve">mental health </w:t>
      </w:r>
      <w:r>
        <w:t>consumer</w:t>
      </w:r>
      <w:r w:rsidRPr="00166FC7">
        <w:t xml:space="preserve"> activity</w:t>
      </w:r>
      <w:r>
        <w:t xml:space="preserve">, except non-admitted specialist mental health services, was categorised using the following established </w:t>
      </w:r>
      <w:r w:rsidRPr="00166FC7">
        <w:t>classif</w:t>
      </w:r>
      <w:r>
        <w:t xml:space="preserve">ications: </w:t>
      </w:r>
    </w:p>
    <w:p w:rsidR="00154D81" w:rsidRDefault="00154D81" w:rsidP="00154D81">
      <w:pPr>
        <w:pStyle w:val="ListParagraph"/>
        <w:keepNext/>
        <w:numPr>
          <w:ilvl w:val="0"/>
          <w:numId w:val="15"/>
        </w:numPr>
        <w:spacing w:before="0" w:after="200" w:line="276" w:lineRule="auto"/>
        <w:ind w:left="714" w:hanging="357"/>
        <w:contextualSpacing/>
      </w:pPr>
      <w:r>
        <w:t xml:space="preserve">admitted mental health consumers using the </w:t>
      </w:r>
      <w:r w:rsidRPr="00166FC7">
        <w:t>Australian Refined Diagnosis Related Group</w:t>
      </w:r>
      <w:r>
        <w:t>s (AR-DRG) classification system</w:t>
      </w:r>
    </w:p>
    <w:p w:rsidR="00154D81" w:rsidRDefault="00154D81" w:rsidP="00154D81">
      <w:pPr>
        <w:pStyle w:val="ListParagraph"/>
        <w:numPr>
          <w:ilvl w:val="0"/>
          <w:numId w:val="15"/>
        </w:numPr>
        <w:spacing w:before="0" w:after="200" w:line="276" w:lineRule="auto"/>
        <w:contextualSpacing/>
      </w:pPr>
      <w:r>
        <w:t xml:space="preserve">admitted psychogeriatric consumers using the </w:t>
      </w:r>
      <w:r w:rsidRPr="003911DC">
        <w:t xml:space="preserve">Australian National Subacute and Non-Acute Patient </w:t>
      </w:r>
      <w:r>
        <w:t>classification system, and</w:t>
      </w:r>
    </w:p>
    <w:p w:rsidR="00154D81" w:rsidRDefault="00154D81" w:rsidP="00154D81">
      <w:pPr>
        <w:pStyle w:val="ListParagraph"/>
        <w:numPr>
          <w:ilvl w:val="0"/>
          <w:numId w:val="15"/>
        </w:numPr>
        <w:spacing w:before="0" w:after="200" w:line="276" w:lineRule="auto"/>
        <w:contextualSpacing/>
      </w:pPr>
      <w:r>
        <w:t xml:space="preserve">mental health care provided in emergency departments using the Urgency Related Groups and </w:t>
      </w:r>
      <w:r w:rsidRPr="006039CD">
        <w:t>Urgency Disposition Group</w:t>
      </w:r>
      <w:r>
        <w:t>s</w:t>
      </w:r>
      <w:r w:rsidRPr="006039CD">
        <w:t xml:space="preserve"> </w:t>
      </w:r>
      <w:r>
        <w:t>classification systems.</w:t>
      </w:r>
    </w:p>
    <w:p w:rsidR="00154D81" w:rsidRDefault="00154D81" w:rsidP="00154D81">
      <w:r w:rsidRPr="00A23C27">
        <w:t xml:space="preserve">Non-admitted </w:t>
      </w:r>
      <w:r>
        <w:t xml:space="preserve">(also known as community) </w:t>
      </w:r>
      <w:r w:rsidRPr="00A23C27">
        <w:t>specialist mental health</w:t>
      </w:r>
      <w:r>
        <w:t xml:space="preserve"> care services continued to</w:t>
      </w:r>
      <w:r w:rsidRPr="00A23C27">
        <w:t xml:space="preserve"> be block funded in recognition of the fact that the counting and costing inf</w:t>
      </w:r>
      <w:r>
        <w:t>rastructure for these services</w:t>
      </w:r>
      <w:r w:rsidRPr="00A23C27">
        <w:t xml:space="preserve"> </w:t>
      </w:r>
      <w:r>
        <w:t>was</w:t>
      </w:r>
      <w:r w:rsidRPr="00A23C27">
        <w:t xml:space="preserve"> less robust than for inpatient services</w:t>
      </w:r>
      <w:r>
        <w:t>.</w:t>
      </w:r>
    </w:p>
    <w:p w:rsidR="00154D81" w:rsidRDefault="00154D81" w:rsidP="00154D81">
      <w:pPr>
        <w:pStyle w:val="Heading2"/>
      </w:pPr>
      <w:bookmarkStart w:id="38" w:name="_Toc483478579"/>
      <w:bookmarkStart w:id="39" w:name="_Toc514924114"/>
      <w:r>
        <w:t>1.4 Requirement for the AMHCC</w:t>
      </w:r>
      <w:bookmarkEnd w:id="36"/>
      <w:bookmarkEnd w:id="37"/>
      <w:bookmarkEnd w:id="38"/>
      <w:bookmarkEnd w:id="39"/>
    </w:p>
    <w:p w:rsidR="00154D81" w:rsidRDefault="00154D81" w:rsidP="00154D81">
      <w:pPr>
        <w:rPr>
          <w:lang w:eastAsia="ja-JP"/>
        </w:rPr>
      </w:pPr>
      <w:bookmarkStart w:id="40" w:name="_Toc433900316"/>
      <w:bookmarkStart w:id="41" w:name="_Toc454793226"/>
      <w:r>
        <w:t xml:space="preserve">It was widely recognised that the AR-DRG system was not the ideal classification system to use for ABF of mental health care as diagnosis is not always the most important cost driver in the sector. </w:t>
      </w:r>
      <w:r w:rsidRPr="00FA08C0">
        <w:t xml:space="preserve">In 2012, the Pricing Authority </w:t>
      </w:r>
      <w:r>
        <w:t>determined</w:t>
      </w:r>
      <w:r w:rsidRPr="00FA08C0">
        <w:t xml:space="preserve"> that a new mental health classification would be developed for mental health services </w:t>
      </w:r>
      <w:r>
        <w:t xml:space="preserve">in Australia. Such a classification would </w:t>
      </w:r>
      <w:r>
        <w:rPr>
          <w:lang w:eastAsia="ja-JP"/>
        </w:rPr>
        <w:t xml:space="preserve">improve cost prediction and support new models of care that are being implemented in states and territories. </w:t>
      </w:r>
    </w:p>
    <w:p w:rsidR="00154D81" w:rsidRDefault="00154D81" w:rsidP="00154D81">
      <w:pPr>
        <w:rPr>
          <w:lang w:eastAsia="ja-JP"/>
        </w:rPr>
      </w:pPr>
      <w:r>
        <w:t>The AMHCC Version 1.0 was developed to provide more accurate and consistent data about the services provided across different mental health care settings. The AMHCC is a clinically relevant classification that better explains resource consumption (cost) at the consumer level. It has the potential to support integrated service delivery by providing data across different service settings and health services.</w:t>
      </w:r>
      <w:r w:rsidDel="00904FDE">
        <w:t xml:space="preserve"> </w:t>
      </w:r>
      <w:r>
        <w:t>It is important to remember that the AMHCC can be applied to services not currently eligible for Commonwealth funding under the NHRA and IHPA’s Pricing Framework. For example, child and adolescent community mental health services are not currently considered as in scope public hospital service under the NHRA. Services that are currently not included in the AMHCC may still be reported through the Activity Based Funding Mental Health Care National Best Endeavours Data Set so that they may be considered for inclusion in future iterations of the AMHCC.</w:t>
      </w:r>
    </w:p>
    <w:p w:rsidR="00154D81" w:rsidRPr="00665C0F" w:rsidRDefault="00154D81" w:rsidP="00154D81">
      <w:pPr>
        <w:pStyle w:val="Heading2"/>
        <w:rPr>
          <w:lang w:eastAsia="ja-JP"/>
        </w:rPr>
      </w:pPr>
      <w:bookmarkStart w:id="42" w:name="_Toc483478580"/>
      <w:bookmarkStart w:id="43" w:name="_Toc514924115"/>
      <w:r>
        <w:rPr>
          <w:lang w:eastAsia="ja-JP"/>
        </w:rPr>
        <w:t>1.5 Next steps</w:t>
      </w:r>
      <w:bookmarkEnd w:id="40"/>
      <w:bookmarkEnd w:id="41"/>
      <w:bookmarkEnd w:id="42"/>
      <w:bookmarkEnd w:id="43"/>
    </w:p>
    <w:p w:rsidR="00154D81" w:rsidRPr="00E927C1" w:rsidRDefault="00154D81" w:rsidP="00154D81">
      <w:r w:rsidRPr="00E927C1">
        <w:t xml:space="preserve">Under the </w:t>
      </w:r>
      <w:r w:rsidRPr="00E927C1">
        <w:rPr>
          <w:i/>
        </w:rPr>
        <w:t>National Health Reform Act 2011</w:t>
      </w:r>
      <w:r w:rsidRPr="00E927C1">
        <w:t xml:space="preserve">, IHPA has a legislative requirement to </w:t>
      </w:r>
      <w:r>
        <w:t xml:space="preserve">continue to develop health care </w:t>
      </w:r>
      <w:r w:rsidRPr="00E927C1">
        <w:t>classification system</w:t>
      </w:r>
      <w:r>
        <w:t xml:space="preserve">s. In line with these legislative requirements IHPA </w:t>
      </w:r>
      <w:r w:rsidRPr="00E927C1">
        <w:t xml:space="preserve">is committed to the ongoing </w:t>
      </w:r>
      <w:r>
        <w:t xml:space="preserve">development and refinement </w:t>
      </w:r>
      <w:r w:rsidRPr="00E927C1">
        <w:t>of the AMHCC.</w:t>
      </w:r>
    </w:p>
    <w:p w:rsidR="00154D81" w:rsidRDefault="00154D81" w:rsidP="00154D81">
      <w:r w:rsidRPr="00E927C1">
        <w:t>As with other classification systems,</w:t>
      </w:r>
      <w:r>
        <w:t xml:space="preserve"> this</w:t>
      </w:r>
      <w:r w:rsidRPr="00E927C1">
        <w:t xml:space="preserve"> </w:t>
      </w:r>
      <w:r>
        <w:t>d</w:t>
      </w:r>
      <w:r w:rsidRPr="00E927C1">
        <w:t>evelopment and refinement will</w:t>
      </w:r>
      <w:r>
        <w:t xml:space="preserve"> be supported by </w:t>
      </w:r>
      <w:r w:rsidRPr="00E927C1">
        <w:t>ongoing</w:t>
      </w:r>
      <w:r>
        <w:t xml:space="preserve"> improvement in the quantity and quality of the data that is being collected. These improvements in data collection will only be possible with the support of clinicians and through clinical leadership.</w:t>
      </w:r>
      <w:r w:rsidRPr="00E927C1">
        <w:t xml:space="preserve"> </w:t>
      </w:r>
    </w:p>
    <w:p w:rsidR="00154D81" w:rsidRDefault="00154D81" w:rsidP="006664EF">
      <w:pPr>
        <w:keepLines/>
      </w:pPr>
      <w:r w:rsidRPr="00E92BDE">
        <w:lastRenderedPageBreak/>
        <w:t xml:space="preserve">IHPA, </w:t>
      </w:r>
      <w:r>
        <w:t>through its Mental Health Working Group (MHWG) and its consultations with the sector, has seen an enthusiasm for, and commitment to,</w:t>
      </w:r>
      <w:r w:rsidRPr="00E92BDE">
        <w:t xml:space="preserve"> a nationally consistent way of classifying all types of mental health care and associated costs</w:t>
      </w:r>
      <w:r>
        <w:t xml:space="preserve">. Mental health leaders are increasingly calling for better data to </w:t>
      </w:r>
      <w:r w:rsidRPr="00E92BDE">
        <w:t xml:space="preserve">manage, measure, and fund health care services </w:t>
      </w:r>
      <w:r>
        <w:t>transparently and with greater efficiency.</w:t>
      </w:r>
      <w:r w:rsidRPr="00E92BDE">
        <w:t xml:space="preserve"> </w:t>
      </w:r>
    </w:p>
    <w:p w:rsidR="00154D81" w:rsidRDefault="00154D81" w:rsidP="00154D81">
      <w:r>
        <w:t>IHPA however recognises that the mental health care sector is diverse. IHPA is committed to working with existing committees and advisory groups, public consultation and clinical reviews to develop and refine the AMHCC</w:t>
      </w:r>
      <w:r w:rsidRPr="00E927C1">
        <w:t xml:space="preserve">. </w:t>
      </w:r>
      <w:r>
        <w:br w:type="page"/>
      </w:r>
    </w:p>
    <w:p w:rsidR="00154D81" w:rsidRDefault="00154D81" w:rsidP="00154D81">
      <w:pPr>
        <w:pStyle w:val="Heading1"/>
        <w:numPr>
          <w:ilvl w:val="0"/>
          <w:numId w:val="14"/>
        </w:numPr>
        <w:spacing w:after="1320" w:line="216" w:lineRule="auto"/>
        <w:ind w:left="567" w:hanging="567"/>
      </w:pPr>
      <w:bookmarkStart w:id="44" w:name="_Toc483478581"/>
      <w:bookmarkStart w:id="45" w:name="_Toc514924116"/>
      <w:r>
        <w:lastRenderedPageBreak/>
        <w:t>IHPA’s approach to develop the AMHCC</w:t>
      </w:r>
      <w:bookmarkEnd w:id="44"/>
      <w:bookmarkEnd w:id="45"/>
    </w:p>
    <w:p w:rsidR="00154D81" w:rsidRPr="007D3CA6" w:rsidRDefault="00154D81" w:rsidP="00154D81">
      <w:pPr>
        <w:pStyle w:val="Heading2"/>
      </w:pPr>
      <w:bookmarkStart w:id="46" w:name="_Toc433900318"/>
      <w:bookmarkStart w:id="47" w:name="_Toc454793228"/>
      <w:bookmarkStart w:id="48" w:name="_Toc483478582"/>
      <w:bookmarkStart w:id="49" w:name="_Toc514924117"/>
      <w:r>
        <w:t>2.1 Definition of services</w:t>
      </w:r>
      <w:bookmarkEnd w:id="46"/>
      <w:bookmarkEnd w:id="47"/>
      <w:bookmarkEnd w:id="48"/>
      <w:bookmarkEnd w:id="49"/>
      <w:r>
        <w:t xml:space="preserve"> </w:t>
      </w:r>
    </w:p>
    <w:p w:rsidR="00154D81" w:rsidRDefault="00154D81" w:rsidP="00154D81">
      <w:bookmarkStart w:id="50" w:name="_Toc433900319"/>
      <w:bookmarkStart w:id="51" w:name="_Toc454793230"/>
      <w:r>
        <w:t xml:space="preserve">In 2012, IHPA undertook the </w:t>
      </w:r>
      <w:r w:rsidRPr="00754F0D">
        <w:rPr>
          <w:i/>
        </w:rPr>
        <w:t>Definition and Cost Drivers for Mental Health Services project</w:t>
      </w:r>
      <w:r>
        <w:rPr>
          <w:vertAlign w:val="superscript"/>
        </w:rPr>
        <w:t>1</w:t>
      </w:r>
      <w:r>
        <w:rPr>
          <w:i/>
        </w:rPr>
        <w:t xml:space="preserve"> </w:t>
      </w:r>
      <w:r>
        <w:t xml:space="preserve">to develop a definition of mental health care for ABF purposes, </w:t>
      </w:r>
      <w:r w:rsidRPr="00754F0D">
        <w:t xml:space="preserve">and to define the cost drivers associated with </w:t>
      </w:r>
      <w:r>
        <w:t>mental health</w:t>
      </w:r>
      <w:r w:rsidRPr="00754F0D">
        <w:t xml:space="preserve"> services</w:t>
      </w:r>
      <w:r>
        <w:t xml:space="preserve">. The mental health care definition </w:t>
      </w:r>
      <w:r w:rsidRPr="004D5A1D">
        <w:t xml:space="preserve">sets the scope of the AMHCC. </w:t>
      </w:r>
      <w:r>
        <w:t xml:space="preserve">It was approved by the Pricing Authority on 31 May 2013 and was further implemented </w:t>
      </w:r>
      <w:r w:rsidRPr="00E642D7">
        <w:t xml:space="preserve">as a </w:t>
      </w:r>
      <w:hyperlink r:id="rId16" w:history="1">
        <w:r w:rsidRPr="00E642D7">
          <w:rPr>
            <w:rStyle w:val="Hyperlink"/>
          </w:rPr>
          <w:t>Health Standard</w:t>
        </w:r>
      </w:hyperlink>
      <w:r w:rsidRPr="00E642D7">
        <w:t xml:space="preserve"> effective</w:t>
      </w:r>
      <w:r>
        <w:t xml:space="preserve"> 1 July 2014.</w:t>
      </w:r>
    </w:p>
    <w:p w:rsidR="00154D81" w:rsidRDefault="00154D81" w:rsidP="00154D81">
      <w:r>
        <w:t>The approved mental health care definition</w:t>
      </w:r>
      <w:r>
        <w:rPr>
          <w:vertAlign w:val="superscript"/>
        </w:rPr>
        <w:t>2</w:t>
      </w:r>
      <w:r>
        <w:t xml:space="preserve"> is:</w:t>
      </w:r>
    </w:p>
    <w:p w:rsidR="00154D81" w:rsidRPr="00723E69" w:rsidRDefault="00154D81" w:rsidP="00154D81">
      <w:pPr>
        <w:rPr>
          <w:i/>
        </w:rPr>
      </w:pPr>
      <w:r w:rsidRPr="00723E69">
        <w:rPr>
          <w:i/>
        </w:rPr>
        <w:t>Mental health care is care in which the primary clinical purpose or treatment goal is improvement in the symptoms and/or psychosocial, environmental and physical function</w:t>
      </w:r>
      <w:r w:rsidR="00C86AAD">
        <w:rPr>
          <w:i/>
        </w:rPr>
        <w:t>ing</w:t>
      </w:r>
      <w:r w:rsidRPr="00723E69">
        <w:rPr>
          <w:i/>
        </w:rPr>
        <w:t xml:space="preserve"> relat</w:t>
      </w:r>
      <w:r w:rsidR="00C86AAD">
        <w:rPr>
          <w:i/>
        </w:rPr>
        <w:t>ed</w:t>
      </w:r>
      <w:r w:rsidRPr="00723E69">
        <w:rPr>
          <w:i/>
        </w:rPr>
        <w:t xml:space="preserve"> to a patient’s mental disorder.</w:t>
      </w:r>
    </w:p>
    <w:p w:rsidR="00154D81" w:rsidRPr="00723E69" w:rsidRDefault="00154D81" w:rsidP="00154D81">
      <w:pPr>
        <w:rPr>
          <w:i/>
        </w:rPr>
      </w:pPr>
      <w:r w:rsidRPr="00723E69">
        <w:rPr>
          <w:i/>
        </w:rPr>
        <w:t>Mental health care:</w:t>
      </w:r>
    </w:p>
    <w:p w:rsidR="00154D81" w:rsidRPr="00723E69" w:rsidRDefault="00154D81" w:rsidP="00154D81">
      <w:pPr>
        <w:pStyle w:val="ListParagraph"/>
        <w:numPr>
          <w:ilvl w:val="0"/>
          <w:numId w:val="16"/>
        </w:numPr>
        <w:spacing w:before="0" w:after="200" w:line="276" w:lineRule="auto"/>
        <w:contextualSpacing/>
        <w:rPr>
          <w:i/>
        </w:rPr>
      </w:pPr>
      <w:r w:rsidRPr="00723E69">
        <w:rPr>
          <w:i/>
        </w:rPr>
        <w:t xml:space="preserve">is delivered under the management of, or regularly informed by, a clinician with specialised expertise in mental health; </w:t>
      </w:r>
    </w:p>
    <w:p w:rsidR="00154D81" w:rsidRPr="00723E69" w:rsidRDefault="00154D81" w:rsidP="00154D81">
      <w:pPr>
        <w:pStyle w:val="ListParagraph"/>
        <w:numPr>
          <w:ilvl w:val="0"/>
          <w:numId w:val="16"/>
        </w:numPr>
        <w:spacing w:before="0" w:after="200" w:line="276" w:lineRule="auto"/>
        <w:contextualSpacing/>
        <w:rPr>
          <w:i/>
        </w:rPr>
      </w:pPr>
      <w:r w:rsidRPr="00723E69">
        <w:rPr>
          <w:i/>
        </w:rPr>
        <w:t xml:space="preserve">is evidenced by an individualised formal mental health assessment and the implementation of a documented mental health plan; and </w:t>
      </w:r>
    </w:p>
    <w:p w:rsidR="00154D81" w:rsidRPr="00723E69" w:rsidRDefault="00154D81" w:rsidP="00154D81">
      <w:pPr>
        <w:pStyle w:val="ListParagraph"/>
        <w:numPr>
          <w:ilvl w:val="0"/>
          <w:numId w:val="16"/>
        </w:numPr>
        <w:spacing w:before="0" w:after="200" w:line="276" w:lineRule="auto"/>
        <w:contextualSpacing/>
        <w:rPr>
          <w:i/>
        </w:rPr>
      </w:pPr>
      <w:r w:rsidRPr="00723E69">
        <w:rPr>
          <w:i/>
        </w:rPr>
        <w:t>may include significant psychosocial components</w:t>
      </w:r>
      <w:r w:rsidR="00C86AAD">
        <w:rPr>
          <w:i/>
        </w:rPr>
        <w:t>,</w:t>
      </w:r>
      <w:r w:rsidRPr="00723E69">
        <w:rPr>
          <w:i/>
        </w:rPr>
        <w:t xml:space="preserve"> including family and carer support. </w:t>
      </w:r>
    </w:p>
    <w:p w:rsidR="00154D81" w:rsidRPr="00A42657" w:rsidRDefault="00154D81" w:rsidP="00154D81">
      <w:pPr>
        <w:rPr>
          <w:b/>
          <w:bCs/>
        </w:rPr>
      </w:pPr>
      <w:r w:rsidRPr="00A42657">
        <w:t>It is important to note that ‘assessment only’ activities are considered in scope for the classification.</w:t>
      </w:r>
    </w:p>
    <w:p w:rsidR="00154D81" w:rsidRPr="006876D7" w:rsidRDefault="00154D81" w:rsidP="00154D81">
      <w:pPr>
        <w:pStyle w:val="Heading2"/>
      </w:pPr>
      <w:bookmarkStart w:id="52" w:name="_Toc483478583"/>
      <w:bookmarkStart w:id="53" w:name="_Toc514924118"/>
      <w:r>
        <w:t>2.2 Identification of cost drivers</w:t>
      </w:r>
      <w:bookmarkEnd w:id="50"/>
      <w:bookmarkEnd w:id="51"/>
      <w:bookmarkEnd w:id="52"/>
      <w:bookmarkEnd w:id="53"/>
    </w:p>
    <w:p w:rsidR="00154D81" w:rsidRDefault="00154D81" w:rsidP="00154D81">
      <w:bookmarkStart w:id="54" w:name="_Toc433900320"/>
      <w:bookmarkStart w:id="55" w:name="_Toc454793231"/>
      <w:r>
        <w:t xml:space="preserve">The </w:t>
      </w:r>
      <w:r w:rsidRPr="00754F0D">
        <w:rPr>
          <w:i/>
        </w:rPr>
        <w:t xml:space="preserve">Definition and Cost Drivers for Mental Health Services </w:t>
      </w:r>
      <w:r>
        <w:rPr>
          <w:i/>
        </w:rPr>
        <w:t xml:space="preserve">project </w:t>
      </w:r>
      <w:r>
        <w:t>identified possible cost drivers for further examination in the mental health classification development. The project involved a number of stages, including:</w:t>
      </w:r>
    </w:p>
    <w:p w:rsidR="00154D81" w:rsidRDefault="00154D81" w:rsidP="00154D81">
      <w:pPr>
        <w:pStyle w:val="ListParagraph"/>
        <w:numPr>
          <w:ilvl w:val="0"/>
          <w:numId w:val="17"/>
        </w:numPr>
        <w:spacing w:before="0" w:after="200" w:line="276" w:lineRule="auto"/>
        <w:contextualSpacing/>
      </w:pPr>
      <w:r>
        <w:t>comprehensive literature review</w:t>
      </w:r>
    </w:p>
    <w:p w:rsidR="00154D81" w:rsidRDefault="00154D81" w:rsidP="00154D81">
      <w:pPr>
        <w:pStyle w:val="ListParagraph"/>
        <w:numPr>
          <w:ilvl w:val="0"/>
          <w:numId w:val="17"/>
        </w:numPr>
        <w:spacing w:before="0" w:after="200" w:line="276" w:lineRule="auto"/>
        <w:contextualSpacing/>
      </w:pPr>
      <w:r>
        <w:t>wide ranging stakeholder consultation</w:t>
      </w:r>
    </w:p>
    <w:p w:rsidR="00154D81" w:rsidRDefault="00154D81" w:rsidP="00154D81">
      <w:pPr>
        <w:pStyle w:val="ListParagraph"/>
        <w:numPr>
          <w:ilvl w:val="0"/>
          <w:numId w:val="17"/>
        </w:numPr>
        <w:spacing w:before="0" w:after="200" w:line="276" w:lineRule="auto"/>
        <w:contextualSpacing/>
      </w:pPr>
      <w:r>
        <w:t>quantitative analysis using data obtained from Queensland, Victoria and New South Wales.</w:t>
      </w:r>
    </w:p>
    <w:p w:rsidR="00154D81" w:rsidRDefault="00154D81" w:rsidP="00154D81">
      <w:r>
        <w:t>The project identified potential cost drivers as falling into the following five categories:</w:t>
      </w:r>
    </w:p>
    <w:p w:rsidR="00154D81" w:rsidRDefault="00154D81" w:rsidP="00154D81">
      <w:pPr>
        <w:pStyle w:val="ListParagraph"/>
        <w:numPr>
          <w:ilvl w:val="0"/>
          <w:numId w:val="18"/>
        </w:numPr>
        <w:spacing w:before="0" w:after="200" w:line="276" w:lineRule="auto"/>
        <w:contextualSpacing/>
      </w:pPr>
      <w:r>
        <w:t>c</w:t>
      </w:r>
      <w:r w:rsidRPr="00877ED5">
        <w:t>onsumer-related factors</w:t>
      </w:r>
    </w:p>
    <w:p w:rsidR="00154D81" w:rsidRDefault="00154D81" w:rsidP="00154D81">
      <w:pPr>
        <w:pStyle w:val="ListParagraph"/>
        <w:numPr>
          <w:ilvl w:val="0"/>
          <w:numId w:val="18"/>
        </w:numPr>
        <w:spacing w:before="0" w:after="200" w:line="276" w:lineRule="auto"/>
        <w:contextualSpacing/>
      </w:pPr>
      <w:r w:rsidRPr="00877ED5">
        <w:t>service factors</w:t>
      </w:r>
    </w:p>
    <w:p w:rsidR="00154D81" w:rsidRDefault="00154D81" w:rsidP="00154D81">
      <w:pPr>
        <w:pStyle w:val="ListParagraph"/>
        <w:numPr>
          <w:ilvl w:val="0"/>
          <w:numId w:val="18"/>
        </w:numPr>
        <w:spacing w:before="0" w:after="200" w:line="276" w:lineRule="auto"/>
        <w:contextualSpacing/>
      </w:pPr>
      <w:r>
        <w:t>t</w:t>
      </w:r>
      <w:r w:rsidRPr="00877ED5">
        <w:t>reatment factors</w:t>
      </w:r>
    </w:p>
    <w:p w:rsidR="00154D81" w:rsidRDefault="00154D81" w:rsidP="00154D81">
      <w:pPr>
        <w:pStyle w:val="ListParagraph"/>
        <w:numPr>
          <w:ilvl w:val="0"/>
          <w:numId w:val="18"/>
        </w:numPr>
        <w:spacing w:before="0" w:after="200" w:line="276" w:lineRule="auto"/>
        <w:contextualSpacing/>
      </w:pPr>
      <w:r>
        <w:t>l</w:t>
      </w:r>
      <w:r w:rsidRPr="00877ED5">
        <w:t>egal sta</w:t>
      </w:r>
      <w:r>
        <w:t>tus, safety and emergency care</w:t>
      </w:r>
    </w:p>
    <w:p w:rsidR="00154D81" w:rsidRPr="00877ED5" w:rsidRDefault="00154D81" w:rsidP="00154D81">
      <w:pPr>
        <w:pStyle w:val="ListParagraph"/>
        <w:numPr>
          <w:ilvl w:val="0"/>
          <w:numId w:val="18"/>
        </w:numPr>
        <w:spacing w:before="0" w:after="200" w:line="276" w:lineRule="auto"/>
        <w:contextualSpacing/>
        <w:rPr>
          <w:b/>
        </w:rPr>
      </w:pPr>
      <w:r>
        <w:t>chronic disease management.</w:t>
      </w:r>
    </w:p>
    <w:p w:rsidR="00154D81" w:rsidRDefault="00154D81" w:rsidP="00154D81">
      <w:r>
        <w:lastRenderedPageBreak/>
        <w:t>The project concluded that mental health care costs are driven by multiple consumer factors, including (but not limited to) diagnoses, complications and comorbidities, symptoms severity and function.</w:t>
      </w:r>
    </w:p>
    <w:p w:rsidR="00154D81" w:rsidRDefault="00154D81" w:rsidP="00154D81">
      <w:r>
        <w:t xml:space="preserve">In addition to the development of definitions and the identification of cost drivers, a mental health classification framework was developed by the project which formed the basis of the consumer level costing study. </w:t>
      </w:r>
    </w:p>
    <w:p w:rsidR="00154D81" w:rsidRDefault="00154D81" w:rsidP="00154D81">
      <w:pPr>
        <w:pStyle w:val="Heading2"/>
      </w:pPr>
      <w:bookmarkStart w:id="56" w:name="_Toc483478584"/>
      <w:bookmarkStart w:id="57" w:name="_Toc514924119"/>
      <w:r>
        <w:t>2.3 Consumer level costing study</w:t>
      </w:r>
      <w:bookmarkEnd w:id="54"/>
      <w:bookmarkEnd w:id="55"/>
      <w:bookmarkEnd w:id="56"/>
      <w:bookmarkEnd w:id="57"/>
    </w:p>
    <w:p w:rsidR="00154D81" w:rsidRDefault="00154D81" w:rsidP="00154D81">
      <w:bookmarkStart w:id="58" w:name="_Toc433900327"/>
      <w:bookmarkStart w:id="59" w:name="_Toc454793232"/>
      <w:r>
        <w:t xml:space="preserve">A key finding of the </w:t>
      </w:r>
      <w:r w:rsidRPr="006E67AD">
        <w:rPr>
          <w:i/>
        </w:rPr>
        <w:t>Definition and Cost Drivers for Mental Health Services project</w:t>
      </w:r>
      <w:r w:rsidRPr="006E67AD">
        <w:t xml:space="preserve"> </w:t>
      </w:r>
      <w:r>
        <w:t xml:space="preserve">was that the costing data submitted to the National Hospital Cost Data Collection by jurisdictions for mental health services was not considered to be sufficient for classification development. Some variables identified as important cost drivers, for example consumer clinical ratings, were either incomplete or not collected at critical points in the overall episode of mental health care. A key recommendation of the project was that a comprehensive mental health costing study would be required. </w:t>
      </w:r>
    </w:p>
    <w:p w:rsidR="00154D81" w:rsidRPr="004138D0" w:rsidRDefault="00154D81" w:rsidP="00154D81">
      <w:r>
        <w:t xml:space="preserve">In February 2014, </w:t>
      </w:r>
      <w:r w:rsidRPr="00E80CD5">
        <w:t xml:space="preserve">IHPA undertook a </w:t>
      </w:r>
      <w:r w:rsidRPr="004F6A1A">
        <w:t>m</w:t>
      </w:r>
      <w:r w:rsidRPr="00E80CD5">
        <w:t>ental health costing study to inform the development of the Australian Mental Health Care Classification</w:t>
      </w:r>
      <w:r>
        <w:rPr>
          <w:vertAlign w:val="superscript"/>
        </w:rPr>
        <w:t xml:space="preserve">3 </w:t>
      </w:r>
      <w:r w:rsidRPr="004138D0">
        <w:t>to</w:t>
      </w:r>
      <w:r>
        <w:rPr>
          <w:vertAlign w:val="superscript"/>
        </w:rPr>
        <w:t xml:space="preserve"> </w:t>
      </w:r>
      <w:r w:rsidRPr="000606A0">
        <w:t xml:space="preserve">generate a data set on mental health services and costs </w:t>
      </w:r>
      <w:r>
        <w:t>in order</w:t>
      </w:r>
      <w:r w:rsidRPr="000606A0">
        <w:t xml:space="preserve"> to </w:t>
      </w:r>
      <w:r>
        <w:t xml:space="preserve">inform the </w:t>
      </w:r>
      <w:r w:rsidRPr="000606A0">
        <w:t>develop</w:t>
      </w:r>
      <w:r>
        <w:t>ment of</w:t>
      </w:r>
      <w:r w:rsidRPr="000606A0">
        <w:t xml:space="preserve"> the AMHCC</w:t>
      </w:r>
      <w:r>
        <w:t xml:space="preserve"> Version 1.0</w:t>
      </w:r>
      <w:r w:rsidRPr="000606A0">
        <w:t>.</w:t>
      </w:r>
      <w:r>
        <w:t xml:space="preserve"> The aim of the costing study was to produce a robust consumer level dataset that is representative of mental health services provided in Australia.</w:t>
      </w:r>
    </w:p>
    <w:p w:rsidR="00154D81" w:rsidRDefault="00154D81" w:rsidP="00154D81">
      <w:r>
        <w:t xml:space="preserve">A prospective collection of activity and cost data at the consumer level was undertaken between 1 July 2014 and 31 December 2014. A total of 26 mental health services across five Australian states and territories participated in the study, including New South Wales, Victoria, Queensland, Western Australia and South Australia. The participating health services included four private hospitals. </w:t>
      </w:r>
    </w:p>
    <w:p w:rsidR="00154D81" w:rsidRDefault="00154D81" w:rsidP="00154D81">
      <w:r>
        <w:t xml:space="preserve">Analysis showed that the costing study data set was broadly representative for age, sex, Indigenous status and length of stay characteristics when compared to the national minimum data sets for admitted and community services. </w:t>
      </w:r>
    </w:p>
    <w:p w:rsidR="00154D81" w:rsidRDefault="00154D81" w:rsidP="00154D81">
      <w:r>
        <w:t xml:space="preserve">Due to the low number of episodes in residential mental health services in the costing study, no meaningful analysis on the residential setting could be undertaken. It is likely that the population in the residential setting in this costing study is not representative of the national population, due to a very small sample size. </w:t>
      </w:r>
      <w:r w:rsidRPr="00C66932">
        <w:t xml:space="preserve">Further work will be undertaken </w:t>
      </w:r>
      <w:r>
        <w:t xml:space="preserve">by IHPA </w:t>
      </w:r>
      <w:r w:rsidRPr="00C66932">
        <w:t>to inform development of this branch of the classification</w:t>
      </w:r>
      <w:r>
        <w:t xml:space="preserve"> and at present, the AMHCC does not cover the residential mental health care setting</w:t>
      </w:r>
      <w:r w:rsidRPr="00C66932">
        <w:t>.</w:t>
      </w:r>
    </w:p>
    <w:p w:rsidR="00154D81" w:rsidRDefault="00154D81" w:rsidP="00154D81">
      <w:r>
        <w:t>The costing study data obtained from the admitted and community settings was representative of mental health services provided in these settings throughout Australia.</w:t>
      </w:r>
    </w:p>
    <w:p w:rsidR="00154D81" w:rsidRDefault="00154D81" w:rsidP="00154D81">
      <w:r w:rsidRPr="0050779F">
        <w:t>IHPA recognises that whilst the AMHCC Version 1.0 is being implemented on a best e</w:t>
      </w:r>
      <w:r>
        <w:t>ndeavours</w:t>
      </w:r>
      <w:r w:rsidRPr="0050779F">
        <w:t xml:space="preserve"> basis from 1 July 2016, some areas of the classification require further refinement.</w:t>
      </w:r>
      <w:r>
        <w:t xml:space="preserve"> Ongoing development will be undertaken to ensure improvement of the classification to increase the alignment of the new classification to clinical practice, and to further support implementation. </w:t>
      </w:r>
    </w:p>
    <w:p w:rsidR="00154D81" w:rsidRDefault="00154D81" w:rsidP="00154D81">
      <w:pPr>
        <w:pStyle w:val="Heading2"/>
      </w:pPr>
      <w:bookmarkStart w:id="60" w:name="_Toc483478585"/>
      <w:bookmarkStart w:id="61" w:name="_Toc514924120"/>
      <w:r>
        <w:lastRenderedPageBreak/>
        <w:t>2.4 Implementation of AMHCC Version 1.0</w:t>
      </w:r>
      <w:bookmarkEnd w:id="58"/>
      <w:bookmarkEnd w:id="59"/>
      <w:bookmarkEnd w:id="60"/>
      <w:bookmarkEnd w:id="61"/>
    </w:p>
    <w:p w:rsidR="00154D81" w:rsidRPr="00B90268" w:rsidRDefault="00154D81" w:rsidP="00154D81">
      <w:pPr>
        <w:keepNext/>
      </w:pPr>
      <w:r w:rsidRPr="00B90268">
        <w:t>On 25 February 2016, the Pricing Authority approved the AMHCC Version 1.0. The AMHCC w</w:t>
      </w:r>
      <w:r>
        <w:t>as</w:t>
      </w:r>
      <w:r w:rsidRPr="00B90268">
        <w:t xml:space="preserve"> implemented on a best </w:t>
      </w:r>
      <w:r>
        <w:t>endeavours</w:t>
      </w:r>
      <w:r w:rsidRPr="00B90268">
        <w:t xml:space="preserve"> basis from 1 July 2016.</w:t>
      </w:r>
    </w:p>
    <w:p w:rsidR="00154D81" w:rsidRPr="00B90268" w:rsidRDefault="00154D81" w:rsidP="00154D81">
      <w:pPr>
        <w:keepNext/>
        <w:spacing w:line="240" w:lineRule="auto"/>
      </w:pPr>
      <w:r w:rsidRPr="00B90268">
        <w:t>The following materials are req</w:t>
      </w:r>
      <w:r>
        <w:t>uired to support implementation of AMHCC Version 1.0 and should be read in conjunction with this document:</w:t>
      </w:r>
    </w:p>
    <w:p w:rsidR="00154D81" w:rsidRPr="00B90268" w:rsidRDefault="00154D81" w:rsidP="00154D81">
      <w:pPr>
        <w:pStyle w:val="ListParagraph"/>
        <w:keepNext/>
        <w:numPr>
          <w:ilvl w:val="0"/>
          <w:numId w:val="19"/>
        </w:numPr>
        <w:spacing w:before="0" w:line="240" w:lineRule="auto"/>
        <w:ind w:left="714" w:hanging="357"/>
      </w:pPr>
      <w:r w:rsidRPr="00B90268">
        <w:t xml:space="preserve">the Activity Based Funding Mental Health Care Data Request Specification (ABF MHC DRS) and </w:t>
      </w:r>
      <w:r>
        <w:t xml:space="preserve">National Best Endeavours </w:t>
      </w:r>
      <w:r w:rsidRPr="00B90268">
        <w:t xml:space="preserve">Data Set (ABF MHC </w:t>
      </w:r>
      <w:r>
        <w:t>NBEDS</w:t>
      </w:r>
      <w:r w:rsidRPr="00B90268">
        <w:t>);</w:t>
      </w:r>
    </w:p>
    <w:p w:rsidR="00154D81" w:rsidRPr="00B90268" w:rsidRDefault="00154D81" w:rsidP="00154D81">
      <w:pPr>
        <w:pStyle w:val="ListParagraph"/>
        <w:numPr>
          <w:ilvl w:val="0"/>
          <w:numId w:val="19"/>
        </w:numPr>
        <w:spacing w:before="0" w:line="240" w:lineRule="auto"/>
        <w:ind w:left="714" w:hanging="357"/>
      </w:pPr>
      <w:r w:rsidRPr="00B90268">
        <w:t>incorporation of phase of care into the National Hospital Cost Data Collection (NHCDC) Data Request Specification;</w:t>
      </w:r>
    </w:p>
    <w:p w:rsidR="00154D81" w:rsidRPr="00B90268" w:rsidRDefault="00154D81" w:rsidP="00154D81">
      <w:pPr>
        <w:pStyle w:val="ListParagraph"/>
        <w:numPr>
          <w:ilvl w:val="0"/>
          <w:numId w:val="19"/>
        </w:numPr>
        <w:spacing w:before="0" w:line="240" w:lineRule="auto"/>
        <w:ind w:left="714" w:hanging="357"/>
      </w:pPr>
      <w:r w:rsidRPr="00B90268">
        <w:t xml:space="preserve">the AMHCC User Manual and Mental Health Phase of Care </w:t>
      </w:r>
      <w:r w:rsidR="00D35CEF">
        <w:t>Fact Sheet</w:t>
      </w:r>
      <w:r w:rsidRPr="00B90268">
        <w:t>;</w:t>
      </w:r>
    </w:p>
    <w:p w:rsidR="00154D81" w:rsidRPr="00B90268" w:rsidRDefault="00154D81" w:rsidP="00154D81">
      <w:pPr>
        <w:pStyle w:val="ListParagraph"/>
        <w:numPr>
          <w:ilvl w:val="0"/>
          <w:numId w:val="19"/>
        </w:numPr>
        <w:spacing w:before="0" w:line="240" w:lineRule="auto"/>
        <w:ind w:left="714" w:hanging="357"/>
      </w:pPr>
      <w:r>
        <w:t>the</w:t>
      </w:r>
      <w:r w:rsidRPr="00B90268">
        <w:t xml:space="preserve"> AMHCC grouper.</w:t>
      </w:r>
    </w:p>
    <w:p w:rsidR="00154D81" w:rsidRPr="00D64EE5" w:rsidRDefault="00154D81" w:rsidP="00154D81">
      <w:r w:rsidRPr="00D64EE5">
        <w:t xml:space="preserve">The ABF MHC DRS and </w:t>
      </w:r>
      <w:r>
        <w:t>NBEDS</w:t>
      </w:r>
      <w:r w:rsidRPr="00D64EE5">
        <w:t xml:space="preserve"> specify the activity data items required for collection and have been published on IHPA’s website. </w:t>
      </w:r>
    </w:p>
    <w:p w:rsidR="00154D81" w:rsidRPr="002F2FFC" w:rsidRDefault="00154D81" w:rsidP="00FB0777">
      <w:pPr>
        <w:ind w:right="-53"/>
      </w:pPr>
      <w:r w:rsidRPr="00D64EE5">
        <w:t xml:space="preserve">The NHCDC DRS specifies the cost data to be reported through the </w:t>
      </w:r>
      <w:r w:rsidRPr="002F2FFC">
        <w:t>NHCDC. IHPA is currently finalising the DRS for Round 20, which relates to 2015-16 data and will be reported in early 2017.</w:t>
      </w:r>
    </w:p>
    <w:p w:rsidR="00154D81" w:rsidRDefault="00154D81" w:rsidP="00154D81">
      <w:r w:rsidRPr="002F2FFC">
        <w:t>IHPA has developed a grouper (a piece of software) and accompanying specification</w:t>
      </w:r>
      <w:r w:rsidRPr="00D64EE5">
        <w:t xml:space="preserve"> guide </w:t>
      </w:r>
      <w:r w:rsidRPr="004B57E2">
        <w:t>for the</w:t>
      </w:r>
      <w:r>
        <w:t xml:space="preserve"> AMHCC</w:t>
      </w:r>
      <w:r w:rsidRPr="004B57E2">
        <w:t>. The AMHCC Version 1.0 grouper assigns mental health consumer presentations to the appropriate AMHCC end class</w:t>
      </w:r>
      <w:r>
        <w:t xml:space="preserve"> by sorting episodes into medical record number, phase start date, phase end date and service contact date</w:t>
      </w:r>
      <w:r w:rsidRPr="004B57E2">
        <w:t>. The AMHCC Version 1.0 grouper package consist</w:t>
      </w:r>
      <w:r>
        <w:t>s</w:t>
      </w:r>
      <w:r w:rsidRPr="004B57E2">
        <w:t xml:space="preserve"> of a SAS grouper and </w:t>
      </w:r>
      <w:r>
        <w:t xml:space="preserve">an </w:t>
      </w:r>
      <w:r w:rsidRPr="004B57E2">
        <w:t xml:space="preserve">alternate grouper .exe application grouper. These </w:t>
      </w:r>
      <w:r>
        <w:t xml:space="preserve">have been </w:t>
      </w:r>
      <w:r w:rsidRPr="004B57E2">
        <w:t xml:space="preserve">published </w:t>
      </w:r>
      <w:r>
        <w:t>on the IHPA website.</w:t>
      </w:r>
    </w:p>
    <w:p w:rsidR="00154D81" w:rsidRPr="00B921C9" w:rsidRDefault="00154D81" w:rsidP="00154D81">
      <w:pPr>
        <w:rPr>
          <w:lang w:eastAsia="ja-JP"/>
        </w:rPr>
      </w:pPr>
      <w:r>
        <w:t xml:space="preserve">For more information about the background to the development of the AMHCC, and the two public consultations conducted to date, please visit: </w:t>
      </w:r>
      <w:hyperlink r:id="rId17" w:history="1">
        <w:r w:rsidRPr="00A951BC">
          <w:rPr>
            <w:rStyle w:val="Hyperlink"/>
          </w:rPr>
          <w:t>ihpa.gov.au/</w:t>
        </w:r>
      </w:hyperlink>
      <w:r>
        <w:t xml:space="preserve">. </w:t>
      </w:r>
    </w:p>
    <w:p w:rsidR="00154D81" w:rsidRPr="00CB1827" w:rsidRDefault="00154D81" w:rsidP="00154D81">
      <w:pPr>
        <w:rPr>
          <w:lang w:eastAsia="ja-JP"/>
        </w:rPr>
      </w:pPr>
      <w:bookmarkStart w:id="62" w:name="_Toc422213358"/>
      <w:bookmarkStart w:id="63" w:name="_Toc445889590"/>
      <w:r>
        <w:rPr>
          <w:lang w:eastAsia="ja-JP"/>
        </w:rPr>
        <w:br w:type="page"/>
      </w:r>
    </w:p>
    <w:p w:rsidR="00154D81" w:rsidRPr="00DB79B6" w:rsidRDefault="00154D81" w:rsidP="00154D81">
      <w:pPr>
        <w:pStyle w:val="Heading1"/>
        <w:numPr>
          <w:ilvl w:val="0"/>
          <w:numId w:val="14"/>
        </w:numPr>
        <w:spacing w:after="1320" w:line="216" w:lineRule="auto"/>
        <w:ind w:left="567" w:hanging="567"/>
      </w:pPr>
      <w:bookmarkStart w:id="64" w:name="_Toc483478586"/>
      <w:bookmarkStart w:id="65" w:name="_Toc514924121"/>
      <w:bookmarkEnd w:id="62"/>
      <w:bookmarkEnd w:id="63"/>
      <w:r>
        <w:lastRenderedPageBreak/>
        <w:t>AMHCC Version 1.0</w:t>
      </w:r>
      <w:bookmarkEnd w:id="64"/>
      <w:bookmarkEnd w:id="65"/>
    </w:p>
    <w:p w:rsidR="00154D81" w:rsidRDefault="00154D81" w:rsidP="00154D81">
      <w:pPr>
        <w:pStyle w:val="Heading2"/>
      </w:pPr>
      <w:bookmarkStart w:id="66" w:name="_Toc433900334"/>
      <w:bookmarkStart w:id="67" w:name="_Toc454793234"/>
      <w:bookmarkStart w:id="68" w:name="_Toc483478587"/>
      <w:bookmarkStart w:id="69" w:name="_Toc514924122"/>
      <w:r>
        <w:t>3.1 Structure of the AMHCC Version 1.0</w:t>
      </w:r>
      <w:bookmarkEnd w:id="66"/>
      <w:bookmarkEnd w:id="67"/>
      <w:bookmarkEnd w:id="68"/>
      <w:bookmarkEnd w:id="69"/>
    </w:p>
    <w:p w:rsidR="00154D81" w:rsidRDefault="00154D81" w:rsidP="00154D81">
      <w:bookmarkStart w:id="70" w:name="_Toc454793235"/>
      <w:r>
        <w:t xml:space="preserve">The AMHCC Version 1.0 is a consumer level classification that avoids the use of administrative and input oriented variables, with a simple structure which will allow flexibility for further refinement. </w:t>
      </w:r>
    </w:p>
    <w:p w:rsidR="00154D81" w:rsidRDefault="00154D81" w:rsidP="00154D81">
      <w:r w:rsidRPr="005B5E10">
        <w:t>The classification has six major splitting variables</w:t>
      </w:r>
      <w:r w:rsidRPr="00AB6647">
        <w:t xml:space="preserve"> that comprise the AMHCC</w:t>
      </w:r>
      <w:r>
        <w:t xml:space="preserve"> and are</w:t>
      </w:r>
      <w:r w:rsidRPr="00AB6647">
        <w:t xml:space="preserve"> </w:t>
      </w:r>
      <w:r>
        <w:t xml:space="preserve">unrelated to the </w:t>
      </w:r>
      <w:r w:rsidRPr="00AB6647">
        <w:t>clinical decision-making process</w:t>
      </w:r>
      <w:r w:rsidRPr="005B5E10">
        <w:t xml:space="preserve">. The first </w:t>
      </w:r>
      <w:r>
        <w:t>three</w:t>
      </w:r>
      <w:r w:rsidRPr="005B5E10">
        <w:t xml:space="preserve"> variables are categorical variables, and the</w:t>
      </w:r>
      <w:r>
        <w:t xml:space="preserve"> remaining</w:t>
      </w:r>
      <w:r w:rsidRPr="005B5E10">
        <w:t xml:space="preserve"> variables are complexity variables</w:t>
      </w:r>
      <w:r>
        <w:t>.</w:t>
      </w:r>
    </w:p>
    <w:p w:rsidR="00154D81" w:rsidRPr="00B6374D" w:rsidRDefault="00154D81" w:rsidP="00154D81">
      <w:pPr>
        <w:rPr>
          <w:rFonts w:asciiTheme="minorHAnsi" w:eastAsiaTheme="minorHAnsi" w:hAnsiTheme="minorHAnsi" w:cstheme="minorBidi"/>
          <w:szCs w:val="22"/>
        </w:rPr>
      </w:pPr>
      <w:r w:rsidRPr="008A4673">
        <w:t xml:space="preserve">The classification </w:t>
      </w:r>
      <w:r>
        <w:t xml:space="preserve">is </w:t>
      </w:r>
      <w:r w:rsidRPr="008A4673">
        <w:t xml:space="preserve">illustrated at </w:t>
      </w:r>
      <w:r w:rsidRPr="00313C7F">
        <w:t>Figures</w:t>
      </w:r>
      <w:r>
        <w:t xml:space="preserve"> 1 and </w:t>
      </w:r>
      <w:r w:rsidRPr="00313C7F">
        <w:t>2</w:t>
      </w:r>
      <w:r>
        <w:t xml:space="preserve"> and described below</w:t>
      </w:r>
      <w:r w:rsidRPr="008A4673">
        <w:t>.</w:t>
      </w:r>
      <w:r>
        <w:t xml:space="preserve"> It should be noted that both Figures 1 and 2 describe the major splitting variables that comprise the AMHCC and do not represent a clinical decision-making process. </w:t>
      </w:r>
    </w:p>
    <w:p w:rsidR="00154D81" w:rsidRPr="00FE1FD8" w:rsidRDefault="00154D81" w:rsidP="00154D81">
      <w:pPr>
        <w:pStyle w:val="Heading2"/>
      </w:pPr>
      <w:bookmarkStart w:id="71" w:name="_Toc483478588"/>
      <w:bookmarkStart w:id="72" w:name="_Toc514924123"/>
      <w:r w:rsidRPr="00FE1FD8">
        <w:t>3.2 Admitted setting structure</w:t>
      </w:r>
      <w:bookmarkEnd w:id="70"/>
      <w:bookmarkEnd w:id="71"/>
      <w:bookmarkEnd w:id="72"/>
      <w:r w:rsidRPr="00FE1FD8">
        <w:t xml:space="preserve"> </w:t>
      </w:r>
    </w:p>
    <w:p w:rsidR="00154D81" w:rsidRDefault="00154D81" w:rsidP="00154D81">
      <w:r>
        <w:t xml:space="preserve">There are a total of </w:t>
      </w:r>
      <w:r w:rsidRPr="008A4673">
        <w:t>45</w:t>
      </w:r>
      <w:r>
        <w:t xml:space="preserve"> classes in the admitted setting,</w:t>
      </w:r>
      <w:r w:rsidRPr="008A4673">
        <w:t xml:space="preserve"> including 16 end classes resulting from unknown mental health phase</w:t>
      </w:r>
      <w:r>
        <w:t>s</w:t>
      </w:r>
      <w:r w:rsidRPr="008A4673">
        <w:t xml:space="preserve"> of care or unknown HoNOS scores.</w:t>
      </w:r>
      <w:r>
        <w:t xml:space="preserve"> </w:t>
      </w:r>
    </w:p>
    <w:p w:rsidR="00154D81" w:rsidRDefault="00154D81" w:rsidP="00154D81">
      <w:r>
        <w:t>Figure 1 provides an overview of the structure of the admitted setting for the AMHCC Version 1.0. Appendix 1 lists all of the end classes in the admitted setting.</w:t>
      </w:r>
    </w:p>
    <w:p w:rsidR="00154D81" w:rsidRPr="00F317C8" w:rsidRDefault="00154D81" w:rsidP="00154D81">
      <w:pPr>
        <w:rPr>
          <w:b/>
        </w:rPr>
      </w:pPr>
      <w:r>
        <w:rPr>
          <w:rFonts w:eastAsia="Arial" w:cs="Arial"/>
          <w:b/>
          <w:i/>
        </w:rPr>
        <w:t xml:space="preserve">Figure 1 - </w:t>
      </w:r>
      <w:r w:rsidRPr="00CA2469">
        <w:rPr>
          <w:rFonts w:eastAsia="Arial" w:cs="Arial"/>
          <w:b/>
          <w:i/>
        </w:rPr>
        <w:t>AMHCC Version 1.0 admitted setting structure</w:t>
      </w:r>
      <w:r>
        <w:rPr>
          <w:b/>
        </w:rPr>
        <w:t xml:space="preserve"> </w:t>
      </w:r>
    </w:p>
    <w:p w:rsidR="00154D81" w:rsidRDefault="00154D81" w:rsidP="00154D81">
      <w:pPr>
        <w:rPr>
          <w:rFonts w:asciiTheme="majorHAnsi" w:eastAsiaTheme="majorEastAsia" w:hAnsiTheme="majorHAnsi" w:cstheme="majorBidi"/>
          <w:b/>
          <w:bCs/>
          <w:color w:val="FFFFFF" w:themeColor="background2"/>
          <w:sz w:val="28"/>
          <w:szCs w:val="32"/>
        </w:rPr>
      </w:pPr>
      <w:bookmarkStart w:id="73" w:name="_Toc433653978"/>
      <w:r>
        <w:rPr>
          <w:noProof/>
        </w:rPr>
        <w:drawing>
          <wp:inline distT="0" distB="0" distL="0" distR="0" wp14:anchorId="77609E54" wp14:editId="50A6E1E5">
            <wp:extent cx="5598544" cy="3990522"/>
            <wp:effectExtent l="0" t="0" r="2540" b="0"/>
            <wp:docPr id="14" name="Picture 14" descr="Describes the five variables in the admitted setting." title="Admitted setting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souva\AppData\Local\Microsoft\Windows\Temporary Internet Files\Content.Outlook\RQ4WFX8R\Admitted setting 2 1 (2).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615150" cy="4002358"/>
                    </a:xfrm>
                    <a:prstGeom prst="rect">
                      <a:avLst/>
                    </a:prstGeom>
                    <a:noFill/>
                    <a:ln>
                      <a:noFill/>
                    </a:ln>
                  </pic:spPr>
                </pic:pic>
              </a:graphicData>
            </a:graphic>
          </wp:inline>
        </w:drawing>
      </w:r>
    </w:p>
    <w:p w:rsidR="00154D81" w:rsidRDefault="00154D81" w:rsidP="00154D81">
      <w:pPr>
        <w:pStyle w:val="Heading2"/>
      </w:pPr>
      <w:bookmarkStart w:id="74" w:name="_Toc454793236"/>
      <w:bookmarkStart w:id="75" w:name="_Toc483478589"/>
      <w:bookmarkStart w:id="76" w:name="_Toc514924124"/>
      <w:r>
        <w:lastRenderedPageBreak/>
        <w:t>3.3 Community setting structure</w:t>
      </w:r>
      <w:bookmarkEnd w:id="74"/>
      <w:bookmarkEnd w:id="75"/>
      <w:bookmarkEnd w:id="76"/>
      <w:r>
        <w:t xml:space="preserve"> </w:t>
      </w:r>
    </w:p>
    <w:p w:rsidR="00154D81" w:rsidRDefault="00154D81" w:rsidP="00154D81">
      <w:r>
        <w:t>There are a total of 46 classes in the community setting</w:t>
      </w:r>
      <w:r w:rsidRPr="008A4673">
        <w:t>, including 15 end classes resulting from unknown mental health phase of care or unknown HoNOS scores.</w:t>
      </w:r>
      <w:r>
        <w:t xml:space="preserve"> </w:t>
      </w:r>
    </w:p>
    <w:p w:rsidR="00154D81" w:rsidRDefault="00154D81" w:rsidP="00154D81">
      <w:r>
        <w:t>Figure 2 provides an overview of the structure of the community setting for the AMHCC Version 1.0</w:t>
      </w:r>
      <w:r w:rsidRPr="008A4673">
        <w:t xml:space="preserve">. Appendix </w:t>
      </w:r>
      <w:r>
        <w:t>1</w:t>
      </w:r>
      <w:r w:rsidRPr="000B1758">
        <w:t xml:space="preserve"> lists all of the end classes in the community setting</w:t>
      </w:r>
      <w:r>
        <w:t>.</w:t>
      </w:r>
    </w:p>
    <w:p w:rsidR="00154D81" w:rsidRPr="00F317C8" w:rsidRDefault="00154D81" w:rsidP="00154D81">
      <w:pPr>
        <w:pStyle w:val="NoSpacing"/>
        <w:keepNext/>
        <w:spacing w:after="120"/>
        <w:rPr>
          <w:rFonts w:cs="Arial"/>
          <w:b/>
          <w:i/>
          <w:szCs w:val="20"/>
        </w:rPr>
      </w:pPr>
      <w:r>
        <w:rPr>
          <w:rFonts w:cs="Arial"/>
          <w:b/>
          <w:i/>
          <w:szCs w:val="20"/>
        </w:rPr>
        <w:t>Figure 2</w:t>
      </w:r>
      <w:r w:rsidRPr="00CA2469">
        <w:rPr>
          <w:rFonts w:cs="Arial"/>
          <w:b/>
          <w:i/>
          <w:szCs w:val="20"/>
        </w:rPr>
        <w:t xml:space="preserve"> - AMHCC Version </w:t>
      </w:r>
      <w:r>
        <w:rPr>
          <w:rFonts w:cs="Arial"/>
          <w:b/>
          <w:i/>
          <w:szCs w:val="20"/>
        </w:rPr>
        <w:t>1.0 community setting structure</w:t>
      </w:r>
    </w:p>
    <w:p w:rsidR="00154D81" w:rsidRPr="00DC365D" w:rsidRDefault="00154D81" w:rsidP="00154D81">
      <w:pPr>
        <w:keepNext/>
        <w:rPr>
          <w:rFonts w:eastAsia="Arial" w:cs="Arial"/>
          <w:bCs/>
        </w:rPr>
      </w:pPr>
      <w:r>
        <w:rPr>
          <w:noProof/>
        </w:rPr>
        <w:drawing>
          <wp:inline distT="0" distB="0" distL="0" distR="0" wp14:anchorId="2D34DEE4" wp14:editId="60579C5B">
            <wp:extent cx="5745193" cy="4013186"/>
            <wp:effectExtent l="0" t="0" r="8255" b="6985"/>
            <wp:docPr id="15" name="Picture 15" descr="Describes the five variables in the community setting." title="Communnity setting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dsouva\AppData\Local\Microsoft\Windows\Temporary Internet Files\Content.Outlook\RQ4WFX8R\Community setting 2 1 (3).jp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47754" cy="4014975"/>
                    </a:xfrm>
                    <a:prstGeom prst="rect">
                      <a:avLst/>
                    </a:prstGeom>
                    <a:noFill/>
                    <a:ln>
                      <a:noFill/>
                    </a:ln>
                  </pic:spPr>
                </pic:pic>
              </a:graphicData>
            </a:graphic>
          </wp:inline>
        </w:drawing>
      </w:r>
    </w:p>
    <w:bookmarkEnd w:id="73"/>
    <w:p w:rsidR="00154D81" w:rsidRPr="00296504" w:rsidRDefault="00154D81" w:rsidP="00154D81">
      <w:r w:rsidRPr="00296504">
        <w:rPr>
          <w:noProof/>
        </w:rPr>
        <mc:AlternateContent>
          <mc:Choice Requires="wps">
            <w:drawing>
              <wp:anchor distT="0" distB="0" distL="114300" distR="114300" simplePos="0" relativeHeight="251668480" behindDoc="0" locked="0" layoutInCell="1" allowOverlap="1" wp14:anchorId="1C162C7F" wp14:editId="19B5CB06">
                <wp:simplePos x="0" y="0"/>
                <wp:positionH relativeFrom="column">
                  <wp:posOffset>-178130</wp:posOffset>
                </wp:positionH>
                <wp:positionV relativeFrom="paragraph">
                  <wp:posOffset>6006663</wp:posOffset>
                </wp:positionV>
                <wp:extent cx="4144488" cy="1403985"/>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488" cy="1403985"/>
                        </a:xfrm>
                        <a:prstGeom prst="rect">
                          <a:avLst/>
                        </a:prstGeom>
                        <a:solidFill>
                          <a:srgbClr val="FFFFFF"/>
                        </a:solidFill>
                        <a:ln w="9525">
                          <a:noFill/>
                          <a:miter lim="800000"/>
                          <a:headEnd/>
                          <a:tailEnd/>
                        </a:ln>
                      </wps:spPr>
                      <wps:txbx>
                        <w:txbxContent>
                          <w:p w:rsidR="00C86AAD" w:rsidRDefault="00C86AAD" w:rsidP="00154D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5pt;margin-top:472.95pt;width:326.3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" stroked="f">
                <v:textbox style="mso-fit-shape-to-text:t">
                  <w:txbxContent>
                    <w:p w:rsidR="00C86AAD" w:rsidRDefault="00C86AAD" w:rsidP="00154D81"/>
                  </w:txbxContent>
                </v:textbox>
              </v:shape>
            </w:pict>
          </mc:Fallback>
        </mc:AlternateContent>
      </w:r>
      <w:r w:rsidRPr="00296504">
        <w:rPr>
          <w:noProof/>
        </w:rPr>
        <mc:AlternateContent>
          <mc:Choice Requires="wps">
            <w:drawing>
              <wp:anchor distT="0" distB="0" distL="114300" distR="114300" simplePos="0" relativeHeight="251669504" behindDoc="0" locked="0" layoutInCell="1" allowOverlap="1" wp14:anchorId="6E3A5236" wp14:editId="4E70C1D3">
                <wp:simplePos x="0" y="0"/>
                <wp:positionH relativeFrom="column">
                  <wp:posOffset>-179186</wp:posOffset>
                </wp:positionH>
                <wp:positionV relativeFrom="paragraph">
                  <wp:posOffset>5714365</wp:posOffset>
                </wp:positionV>
                <wp:extent cx="4144488" cy="1403985"/>
                <wp:effectExtent l="0" t="0" r="889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488" cy="1403985"/>
                        </a:xfrm>
                        <a:prstGeom prst="rect">
                          <a:avLst/>
                        </a:prstGeom>
                        <a:solidFill>
                          <a:srgbClr val="FFFFFF"/>
                        </a:solidFill>
                        <a:ln w="9525">
                          <a:noFill/>
                          <a:miter lim="800000"/>
                          <a:headEnd/>
                          <a:tailEnd/>
                        </a:ln>
                      </wps:spPr>
                      <wps:txbx>
                        <w:txbxContent>
                          <w:p w:rsidR="00C86AAD" w:rsidRDefault="00C86AAD" w:rsidP="00154D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4.1pt;margin-top:449.95pt;width:326.3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ZSIgIAACM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" stroked="f">
                <v:textbox style="mso-fit-shape-to-text:t">
                  <w:txbxContent>
                    <w:p w:rsidR="00C86AAD" w:rsidRDefault="00C86AAD" w:rsidP="00154D81"/>
                  </w:txbxContent>
                </v:textbox>
              </v:shape>
            </w:pict>
          </mc:Fallback>
        </mc:AlternateContent>
      </w:r>
      <w:r w:rsidRPr="00296504">
        <w:t xml:space="preserve">NB: </w:t>
      </w:r>
      <w:r>
        <w:t>The classification currently groups Unknown LSP-16 scores with Moderate LSP-16 scores.</w:t>
      </w:r>
    </w:p>
    <w:p w:rsidR="00154D81" w:rsidRPr="006664EF" w:rsidRDefault="00154D81" w:rsidP="006664EF">
      <w:pPr>
        <w:spacing w:after="0" w:line="240" w:lineRule="auto"/>
        <w:rPr>
          <w:rFonts w:cs="Arial"/>
        </w:rPr>
      </w:pPr>
      <w:r w:rsidRPr="006664EF">
        <w:rPr>
          <w:rFonts w:cs="Arial"/>
        </w:rPr>
        <w:br w:type="page"/>
      </w:r>
    </w:p>
    <w:p w:rsidR="00154D81" w:rsidRPr="006035C4" w:rsidRDefault="00154D81" w:rsidP="00154D81">
      <w:pPr>
        <w:pStyle w:val="Heading1"/>
        <w:numPr>
          <w:ilvl w:val="0"/>
          <w:numId w:val="14"/>
        </w:numPr>
        <w:spacing w:after="1320" w:line="216" w:lineRule="auto"/>
        <w:ind w:left="567" w:hanging="567"/>
      </w:pPr>
      <w:bookmarkStart w:id="77" w:name="_Toc483478590"/>
      <w:bookmarkStart w:id="78" w:name="_Toc514924125"/>
      <w:r>
        <w:lastRenderedPageBreak/>
        <w:t>Data items of the AMHCC Version 1.0</w:t>
      </w:r>
      <w:bookmarkEnd w:id="77"/>
      <w:bookmarkEnd w:id="78"/>
    </w:p>
    <w:p w:rsidR="00154D81" w:rsidRDefault="00154D81" w:rsidP="00154D81">
      <w:pPr>
        <w:pStyle w:val="Heading2"/>
      </w:pPr>
      <w:bookmarkStart w:id="79" w:name="_Toc433900344"/>
      <w:bookmarkStart w:id="80" w:name="_Toc454793238"/>
      <w:bookmarkStart w:id="81" w:name="_Toc483478591"/>
      <w:bookmarkStart w:id="82" w:name="_Toc514924126"/>
      <w:r>
        <w:t>4.1 Settings of mental health care</w:t>
      </w:r>
      <w:bookmarkEnd w:id="79"/>
      <w:bookmarkEnd w:id="80"/>
      <w:bookmarkEnd w:id="81"/>
      <w:bookmarkEnd w:id="82"/>
    </w:p>
    <w:p w:rsidR="00154D81" w:rsidRPr="00252901" w:rsidRDefault="00154D81" w:rsidP="00154D81">
      <w:pPr>
        <w:rPr>
          <w:noProof/>
        </w:rPr>
      </w:pPr>
      <w:bookmarkStart w:id="83" w:name="_Toc433900345"/>
      <w:bookmarkStart w:id="84" w:name="_Toc454793239"/>
      <w:r w:rsidRPr="00C328A0">
        <w:rPr>
          <w:rFonts w:cstheme="minorHAnsi"/>
        </w:rPr>
        <w:t xml:space="preserve">There is a need for further development of the AMHCC in the areas of clinical complexity, comorbidities, consultation-liaison, residential mental health care, and child and adolescent mental health care due to the previously cited lack of quality data in these branches of mental health service delivery. </w:t>
      </w:r>
      <w:r>
        <w:rPr>
          <w:rFonts w:cstheme="minorHAnsi"/>
        </w:rPr>
        <w:t xml:space="preserve">A clinical reference group has been formed to </w:t>
      </w:r>
      <w:r>
        <w:rPr>
          <w:noProof/>
        </w:rPr>
        <w:t>provide the child and adoelscent mental health sector with the opportunity to assist in the refinement of future iterations of the AMHCC and its supporting material, as well as to promote the functions of a patient-l</w:t>
      </w:r>
      <w:r w:rsidRPr="00981F1E">
        <w:rPr>
          <w:noProof/>
        </w:rPr>
        <w:t xml:space="preserve">evel </w:t>
      </w:r>
      <w:r w:rsidR="00981F1E" w:rsidRPr="00981F1E">
        <w:rPr>
          <w:noProof/>
        </w:rPr>
        <w:t>classification</w:t>
      </w:r>
      <w:r w:rsidRPr="00981F1E">
        <w:rPr>
          <w:noProof/>
        </w:rPr>
        <w:t xml:space="preserve">. </w:t>
      </w:r>
      <w:r w:rsidRPr="00981F1E">
        <w:rPr>
          <w:rFonts w:cstheme="minorHAnsi"/>
        </w:rPr>
        <w:t>Data is str</w:t>
      </w:r>
      <w:r w:rsidRPr="00C328A0">
        <w:rPr>
          <w:rFonts w:cstheme="minorHAnsi"/>
        </w:rPr>
        <w:t>ongly encouraged to be provided for these specialist services, so that future refinements to the classification can potentially include these sub-groups at a later date.</w:t>
      </w:r>
    </w:p>
    <w:p w:rsidR="00154D81" w:rsidRPr="000619F9" w:rsidRDefault="00154D81" w:rsidP="00154D81">
      <w:pPr>
        <w:pStyle w:val="Heading3"/>
      </w:pPr>
      <w:bookmarkStart w:id="85" w:name="_Toc483478592"/>
      <w:bookmarkStart w:id="86" w:name="_Toc514924127"/>
      <w:r>
        <w:t xml:space="preserve">4.1.1 </w:t>
      </w:r>
      <w:r w:rsidRPr="004711AF">
        <w:t>Admitted setting</w:t>
      </w:r>
      <w:bookmarkEnd w:id="83"/>
      <w:bookmarkEnd w:id="84"/>
      <w:bookmarkEnd w:id="85"/>
      <w:bookmarkEnd w:id="86"/>
    </w:p>
    <w:p w:rsidR="00154D81" w:rsidRDefault="00154D81" w:rsidP="00154D81">
      <w:bookmarkStart w:id="87" w:name="_Toc433900346"/>
      <w:bookmarkStart w:id="88" w:name="_Toc454793240"/>
      <w:r>
        <w:t>The a</w:t>
      </w:r>
      <w:r w:rsidRPr="00AB372E">
        <w:t xml:space="preserve">dmitted setting includes </w:t>
      </w:r>
      <w:r>
        <w:t xml:space="preserve">consumers who complete a hospital’s formal admission process and therefore are </w:t>
      </w:r>
      <w:r w:rsidRPr="00AB372E">
        <w:t xml:space="preserve">admitted for </w:t>
      </w:r>
      <w:r>
        <w:t xml:space="preserve">mental health </w:t>
      </w:r>
      <w:r w:rsidRPr="00AB372E">
        <w:t>care</w:t>
      </w:r>
      <w:r>
        <w:t xml:space="preserve"> treatment</w:t>
      </w:r>
      <w:r w:rsidRPr="00AB372E">
        <w:t xml:space="preserve">. </w:t>
      </w:r>
      <w:r>
        <w:t>The consumer</w:t>
      </w:r>
      <w:r w:rsidRPr="00AB372E">
        <w:t xml:space="preserve"> may be </w:t>
      </w:r>
      <w:r>
        <w:t xml:space="preserve">admitted to </w:t>
      </w:r>
      <w:r w:rsidRPr="00AB372E">
        <w:t xml:space="preserve">a </w:t>
      </w:r>
      <w:r>
        <w:t xml:space="preserve">general </w:t>
      </w:r>
      <w:r w:rsidRPr="00AB372E">
        <w:t xml:space="preserve">ward or </w:t>
      </w:r>
      <w:r>
        <w:t xml:space="preserve">a </w:t>
      </w:r>
      <w:r w:rsidRPr="00AB372E">
        <w:t xml:space="preserve">designated psychiatric unit in a general hospital or a psychiatric hospital. All activity reported will have a mental health care type for the admitted </w:t>
      </w:r>
      <w:r>
        <w:t>consumer</w:t>
      </w:r>
      <w:r w:rsidRPr="00AB372E">
        <w:t xml:space="preserve"> episode, regardless of </w:t>
      </w:r>
      <w:r>
        <w:t xml:space="preserve">the </w:t>
      </w:r>
      <w:r w:rsidRPr="00AB372E">
        <w:t xml:space="preserve">mental health specialisation status of the provider. </w:t>
      </w:r>
    </w:p>
    <w:p w:rsidR="00154D81" w:rsidRPr="007E0CFE" w:rsidRDefault="00154D81" w:rsidP="00154D81">
      <w:pPr>
        <w:pStyle w:val="Heading3"/>
      </w:pPr>
      <w:bookmarkStart w:id="89" w:name="_Toc483478593"/>
      <w:bookmarkStart w:id="90" w:name="_Toc514924128"/>
      <w:r>
        <w:t xml:space="preserve">4.1.2 </w:t>
      </w:r>
      <w:r w:rsidRPr="004711AF">
        <w:t>Community</w:t>
      </w:r>
      <w:r w:rsidRPr="000619F9">
        <w:t xml:space="preserve"> setting</w:t>
      </w:r>
      <w:bookmarkEnd w:id="87"/>
      <w:bookmarkEnd w:id="88"/>
      <w:bookmarkEnd w:id="89"/>
      <w:bookmarkEnd w:id="90"/>
      <w:r w:rsidRPr="000619F9">
        <w:t xml:space="preserve"> </w:t>
      </w:r>
    </w:p>
    <w:p w:rsidR="00154D81" w:rsidRDefault="00154D81" w:rsidP="00154D81">
      <w:bookmarkStart w:id="91" w:name="_Toc433900347"/>
      <w:bookmarkStart w:id="92" w:name="_Toc454793241"/>
      <w:r>
        <w:t xml:space="preserve">The community </w:t>
      </w:r>
      <w:r w:rsidRPr="00380754">
        <w:t xml:space="preserve">setting </w:t>
      </w:r>
      <w:r>
        <w:t xml:space="preserve">(also known as ambulatory) </w:t>
      </w:r>
      <w:r w:rsidRPr="00380754">
        <w:t>includes mental health care services delivered to consumer</w:t>
      </w:r>
      <w:r>
        <w:t>s</w:t>
      </w:r>
      <w:r w:rsidRPr="00380754">
        <w:t xml:space="preserve"> who are not admitted to an inpatient facility or reside in a resident</w:t>
      </w:r>
      <w:r>
        <w:t>ial mental health care facility and who meet the mental health care type definition.</w:t>
      </w:r>
    </w:p>
    <w:p w:rsidR="00154D81" w:rsidRDefault="00154D81" w:rsidP="00154D81">
      <w:pPr>
        <w:pStyle w:val="Heading2"/>
      </w:pPr>
      <w:bookmarkStart w:id="93" w:name="_Toc483478594"/>
      <w:bookmarkStart w:id="94" w:name="_Toc514924129"/>
      <w:r>
        <w:t>4.2 Mental health phases of care</w:t>
      </w:r>
      <w:bookmarkEnd w:id="91"/>
      <w:bookmarkEnd w:id="92"/>
      <w:bookmarkEnd w:id="93"/>
      <w:bookmarkEnd w:id="94"/>
    </w:p>
    <w:p w:rsidR="00C86AAD" w:rsidRDefault="00B87108" w:rsidP="00371985">
      <w:bookmarkStart w:id="95" w:name="_Toc454793242"/>
      <w:bookmarkStart w:id="96" w:name="_Toc433900349"/>
      <w:r>
        <w:t>The approved definition of a</w:t>
      </w:r>
      <w:r w:rsidR="00154D81">
        <w:t xml:space="preserve"> mental health phase of care</w:t>
      </w:r>
      <w:r>
        <w:rPr>
          <w:vertAlign w:val="superscript"/>
        </w:rPr>
        <w:t>4</w:t>
      </w:r>
      <w:r w:rsidR="00371985">
        <w:t xml:space="preserve"> </w:t>
      </w:r>
      <w:r w:rsidR="00715917">
        <w:t>is</w:t>
      </w:r>
      <w:r w:rsidR="00C86AAD">
        <w:t>:</w:t>
      </w:r>
    </w:p>
    <w:p w:rsidR="00C86AAD" w:rsidRPr="00B87108" w:rsidRDefault="00C86AAD" w:rsidP="00B87108">
      <w:pPr>
        <w:rPr>
          <w:i/>
        </w:rPr>
      </w:pPr>
      <w:r w:rsidRPr="00B87108">
        <w:rPr>
          <w:i/>
        </w:rPr>
        <w:t>The prospective primary goal of treatment within an episode of care in terms of the recognised phases of mental health care. Whilst it is recognised that there may be aspects of each mental health phase of care represented in the consumer’s mental health plan, the mental health phase of care is intended to identify the main goal or aim that will underpin the next period of care.</w:t>
      </w:r>
    </w:p>
    <w:p w:rsidR="00C86AAD" w:rsidRPr="00B87108" w:rsidRDefault="00C86AAD" w:rsidP="00B87108">
      <w:pPr>
        <w:rPr>
          <w:i/>
        </w:rPr>
      </w:pPr>
      <w:r w:rsidRPr="00B87108">
        <w:rPr>
          <w:i/>
        </w:rPr>
        <w:t>The mental health phase of care is independent of both the treatment setting and the designation of the treating service, and does not reflect service unit type.</w:t>
      </w:r>
    </w:p>
    <w:p w:rsidR="00C86AAD" w:rsidRPr="00B87108" w:rsidRDefault="00C86AAD" w:rsidP="00B87108">
      <w:pPr>
        <w:rPr>
          <w:i/>
        </w:rPr>
      </w:pPr>
      <w:r w:rsidRPr="00B87108">
        <w:rPr>
          <w:i/>
        </w:rPr>
        <w:t>The five mental health phases of care are:</w:t>
      </w:r>
    </w:p>
    <w:p w:rsidR="00C86AAD" w:rsidRPr="00B87108" w:rsidRDefault="00C86AAD" w:rsidP="00B87108">
      <w:pPr>
        <w:spacing w:before="0" w:after="0"/>
        <w:rPr>
          <w:i/>
        </w:rPr>
      </w:pPr>
      <w:r w:rsidRPr="00B87108">
        <w:rPr>
          <w:i/>
        </w:rPr>
        <w:t>1 Acute</w:t>
      </w:r>
    </w:p>
    <w:p w:rsidR="00C86AAD" w:rsidRPr="00B87108" w:rsidRDefault="00C86AAD" w:rsidP="00B87108">
      <w:pPr>
        <w:spacing w:before="0" w:after="0"/>
        <w:rPr>
          <w:i/>
        </w:rPr>
      </w:pPr>
      <w:r w:rsidRPr="00B87108">
        <w:rPr>
          <w:i/>
        </w:rPr>
        <w:t>2 Functional gain</w:t>
      </w:r>
    </w:p>
    <w:p w:rsidR="00C86AAD" w:rsidRPr="00B87108" w:rsidRDefault="00C86AAD" w:rsidP="00B87108">
      <w:pPr>
        <w:spacing w:before="0" w:after="0"/>
        <w:rPr>
          <w:i/>
        </w:rPr>
      </w:pPr>
      <w:r w:rsidRPr="00B87108">
        <w:rPr>
          <w:i/>
        </w:rPr>
        <w:t>3 Intensive extended</w:t>
      </w:r>
    </w:p>
    <w:p w:rsidR="00C86AAD" w:rsidRPr="00B87108" w:rsidRDefault="00C86AAD" w:rsidP="00B87108">
      <w:pPr>
        <w:spacing w:before="0" w:after="0"/>
        <w:rPr>
          <w:i/>
        </w:rPr>
      </w:pPr>
      <w:r w:rsidRPr="00B87108">
        <w:rPr>
          <w:i/>
        </w:rPr>
        <w:t>4 Consolidating gain</w:t>
      </w:r>
    </w:p>
    <w:p w:rsidR="00C86AAD" w:rsidRDefault="00C86AAD" w:rsidP="00B87108">
      <w:pPr>
        <w:spacing w:before="0" w:after="0"/>
      </w:pPr>
      <w:r w:rsidRPr="00B87108">
        <w:rPr>
          <w:i/>
        </w:rPr>
        <w:t>5 Assessment only.</w:t>
      </w:r>
    </w:p>
    <w:p w:rsidR="00715917" w:rsidRDefault="00715917" w:rsidP="00371985"/>
    <w:p w:rsidR="00154D81" w:rsidRDefault="00154D81" w:rsidP="00371985">
      <w:r w:rsidRPr="00F75A40">
        <w:t xml:space="preserve">The mental health phase of care </w:t>
      </w:r>
      <w:r>
        <w:t>is</w:t>
      </w:r>
      <w:r w:rsidRPr="00F75A40">
        <w:t xml:space="preserve"> assessed by a healthcare professional directly involved in a consumer’s care.</w:t>
      </w:r>
      <w:r>
        <w:t xml:space="preserve"> It is the primary goal of care that is reflected in the consumer's mental health treatment plan. </w:t>
      </w:r>
      <w:r w:rsidDel="00F70B07">
        <w:t xml:space="preserve">The mental health phase of care reflects a prospective assessment of the primary goal of care at the time of collection, rather than a retrospective assessment. </w:t>
      </w:r>
    </w:p>
    <w:p w:rsidR="00154D81" w:rsidRDefault="00154D81" w:rsidP="00154D81">
      <w:r>
        <w:t xml:space="preserve">A new phase of mental health care begins either when a consumer commences an episode of care or when the consumer’s primary goal of care changes in an existing episode of care. </w:t>
      </w:r>
      <w:r>
        <w:rPr>
          <w:rFonts w:cs="Arial"/>
        </w:rPr>
        <w:t xml:space="preserve">The </w:t>
      </w:r>
      <w:r w:rsidRPr="00E721FD">
        <w:rPr>
          <w:rFonts w:cs="Arial"/>
        </w:rPr>
        <w:t xml:space="preserve">episode of care is defined as the </w:t>
      </w:r>
      <w:r>
        <w:rPr>
          <w:rFonts w:cs="Arial"/>
        </w:rPr>
        <w:t>period between the commencement and completion of care characterised by the mental health care type</w:t>
      </w:r>
      <w:r w:rsidR="00B87108">
        <w:rPr>
          <w:rFonts w:cs="Arial"/>
          <w:vertAlign w:val="superscript"/>
        </w:rPr>
        <w:t>5</w:t>
      </w:r>
      <w:r>
        <w:rPr>
          <w:rFonts w:cs="Arial"/>
        </w:rPr>
        <w:t xml:space="preserve">. An episode of care may have multiple mental health phases of care. </w:t>
      </w:r>
      <w:r w:rsidRPr="00442328">
        <w:t>The consumer</w:t>
      </w:r>
      <w:r>
        <w:t>’</w:t>
      </w:r>
      <w:r w:rsidRPr="00442328">
        <w:t xml:space="preserve">s mental health care </w:t>
      </w:r>
      <w:r>
        <w:t>needs may</w:t>
      </w:r>
      <w:r w:rsidRPr="00442328">
        <w:t xml:space="preserve"> change as they move between different </w:t>
      </w:r>
      <w:r>
        <w:t>phases</w:t>
      </w:r>
      <w:r w:rsidRPr="00442328">
        <w:t xml:space="preserve"> of a</w:t>
      </w:r>
      <w:r>
        <w:t>n episode</w:t>
      </w:r>
      <w:r w:rsidRPr="00442328">
        <w:t xml:space="preserve"> and accordingly, the goal of care and the need for</w:t>
      </w:r>
      <w:r>
        <w:t xml:space="preserve"> </w:t>
      </w:r>
      <w:r w:rsidRPr="00442328">
        <w:t xml:space="preserve">resources </w:t>
      </w:r>
      <w:r>
        <w:t xml:space="preserve">may </w:t>
      </w:r>
      <w:r w:rsidRPr="00442328">
        <w:t xml:space="preserve">change. </w:t>
      </w:r>
      <w:r>
        <w:t xml:space="preserve">There are currently five phases of mental health care, including acute, functional gain, intensive extended, consolidating gain and assessment only. </w:t>
      </w:r>
      <w:r w:rsidRPr="0017158A">
        <w:t>The classification also provides for ‘unknown phase’</w:t>
      </w:r>
      <w:r>
        <w:t xml:space="preserve"> which should only be used when a phase is unable to be reported to the primary data collection. Where missing or incomplete data (e.g. phase or HoNOS) is submitted, this will result in an Unknown end class.</w:t>
      </w:r>
    </w:p>
    <w:p w:rsidR="00154D81" w:rsidRDefault="00154D81" w:rsidP="00154D81">
      <w:pPr>
        <w:keepLines/>
        <w:rPr>
          <w:rFonts w:cstheme="minorHAnsi"/>
        </w:rPr>
      </w:pPr>
      <w:r>
        <w:rPr>
          <w:rFonts w:eastAsia="Calibri" w:cs="Arial"/>
        </w:rPr>
        <w:t>In 2016, IHPA undertook an</w:t>
      </w:r>
      <w:r w:rsidRPr="00B542BD">
        <w:rPr>
          <w:rFonts w:eastAsia="Calibri" w:cs="Arial"/>
        </w:rPr>
        <w:t xml:space="preserve"> inter-rater reliability study </w:t>
      </w:r>
      <w:r>
        <w:rPr>
          <w:rFonts w:eastAsia="Calibri" w:cs="Arial"/>
        </w:rPr>
        <w:t>of</w:t>
      </w:r>
      <w:r w:rsidRPr="00B542BD">
        <w:rPr>
          <w:rFonts w:eastAsia="Calibri" w:cs="Arial"/>
        </w:rPr>
        <w:t xml:space="preserve"> the </w:t>
      </w:r>
      <w:r w:rsidRPr="00D71455">
        <w:rPr>
          <w:rFonts w:eastAsia="Calibri" w:cs="Arial"/>
        </w:rPr>
        <w:t>mental health phase of care</w:t>
      </w:r>
      <w:r w:rsidRPr="00B542BD">
        <w:rPr>
          <w:rFonts w:eastAsia="Calibri" w:cs="Arial"/>
        </w:rPr>
        <w:t xml:space="preserve"> concept to refine the definitions and associated </w:t>
      </w:r>
      <w:r>
        <w:rPr>
          <w:rFonts w:eastAsia="Calibri" w:cs="Arial"/>
        </w:rPr>
        <w:t xml:space="preserve">guiding principles. </w:t>
      </w:r>
      <w:r>
        <w:rPr>
          <w:rFonts w:cstheme="minorHAnsi"/>
        </w:rPr>
        <w:t xml:space="preserve">The mental health phase of care concept </w:t>
      </w:r>
      <w:r w:rsidRPr="005258DF">
        <w:rPr>
          <w:rFonts w:cstheme="minorHAnsi"/>
        </w:rPr>
        <w:t xml:space="preserve">is an attempt to bring together two related concepts of the “consumer’s needs” and “goal of care”. Each phase of care involves the provision of resources aimed at meeting individual consumer need. </w:t>
      </w:r>
      <w:r>
        <w:rPr>
          <w:rFonts w:cstheme="minorHAnsi"/>
        </w:rPr>
        <w:t>The</w:t>
      </w:r>
      <w:r w:rsidRPr="005258DF">
        <w:rPr>
          <w:rFonts w:cstheme="minorHAnsi"/>
        </w:rPr>
        <w:t xml:space="preserve"> mental health phase of care is a simple tool designed to qualify a complex concept. </w:t>
      </w:r>
      <w:r>
        <w:rPr>
          <w:rFonts w:cstheme="minorHAnsi"/>
        </w:rPr>
        <w:t>Consumers may move between any of the phases of care in any particular order. I</w:t>
      </w:r>
      <w:r w:rsidRPr="005258DF">
        <w:rPr>
          <w:rFonts w:cstheme="minorHAnsi"/>
        </w:rPr>
        <w:t xml:space="preserve">dentification of the mental health phase of care is </w:t>
      </w:r>
      <w:r>
        <w:rPr>
          <w:rFonts w:cstheme="minorHAnsi"/>
        </w:rPr>
        <w:t xml:space="preserve">aligned to the </w:t>
      </w:r>
      <w:r w:rsidRPr="005258DF">
        <w:rPr>
          <w:rFonts w:cstheme="minorHAnsi"/>
        </w:rPr>
        <w:t>contemporary recovery</w:t>
      </w:r>
      <w:r>
        <w:rPr>
          <w:rFonts w:cstheme="minorHAnsi"/>
        </w:rPr>
        <w:t>-</w:t>
      </w:r>
      <w:r w:rsidRPr="005258DF">
        <w:rPr>
          <w:rFonts w:cstheme="minorHAnsi"/>
        </w:rPr>
        <w:t>orientated mental health practice where the goals of care are collaboratively generated</w:t>
      </w:r>
      <w:r>
        <w:rPr>
          <w:rFonts w:cstheme="minorHAnsi"/>
        </w:rPr>
        <w:t xml:space="preserve"> and are responsive to the particular needs of the consumer at the time</w:t>
      </w:r>
      <w:r w:rsidRPr="005258DF">
        <w:rPr>
          <w:rFonts w:cstheme="minorHAnsi"/>
        </w:rPr>
        <w:t xml:space="preserve">. </w:t>
      </w:r>
    </w:p>
    <w:p w:rsidR="00EC1FCF" w:rsidRPr="005258DF" w:rsidRDefault="00EC1FCF" w:rsidP="00E366AC">
      <w:pPr>
        <w:rPr>
          <w:rFonts w:cstheme="minorHAnsi"/>
        </w:rPr>
      </w:pPr>
      <w:r>
        <w:t>The approved definition of each mental health phase of care</w:t>
      </w:r>
      <w:r w:rsidR="00811552">
        <w:rPr>
          <w:vertAlign w:val="superscript"/>
        </w:rPr>
        <w:t>6</w:t>
      </w:r>
      <w:r>
        <w:t xml:space="preserve"> is provided below.</w:t>
      </w:r>
    </w:p>
    <w:p w:rsidR="00154D81" w:rsidRPr="00DE1DE8" w:rsidRDefault="00154D81" w:rsidP="00DE1DE8">
      <w:pPr>
        <w:keepNext/>
        <w:rPr>
          <w:b/>
        </w:rPr>
      </w:pPr>
      <w:bookmarkStart w:id="97" w:name="_Toc483478595"/>
      <w:r w:rsidRPr="00DE1DE8">
        <w:rPr>
          <w:b/>
        </w:rPr>
        <w:t>Acute</w:t>
      </w:r>
      <w:bookmarkEnd w:id="95"/>
      <w:bookmarkEnd w:id="97"/>
      <w:r w:rsidRPr="00DE1DE8">
        <w:rPr>
          <w:b/>
        </w:rPr>
        <w:t xml:space="preserve"> </w:t>
      </w:r>
      <w:bookmarkEnd w:id="96"/>
    </w:p>
    <w:p w:rsidR="00154D81" w:rsidRPr="00E366AC" w:rsidRDefault="00154D81" w:rsidP="00154D81">
      <w:r w:rsidRPr="00E366AC">
        <w:t>The primary goal of care is the short term reduction in severity of symptoms and/or personal distress associated with the recent onset or exacerbation of a psychiatric disorder.</w:t>
      </w:r>
    </w:p>
    <w:p w:rsidR="00154D81" w:rsidRPr="00DE1DE8" w:rsidRDefault="00154D81" w:rsidP="00DE1DE8">
      <w:pPr>
        <w:keepNext/>
        <w:rPr>
          <w:b/>
        </w:rPr>
      </w:pPr>
      <w:bookmarkStart w:id="98" w:name="_Toc454793243"/>
      <w:bookmarkStart w:id="99" w:name="_Toc483478596"/>
      <w:bookmarkStart w:id="100" w:name="_Toc433900350"/>
      <w:r w:rsidRPr="00DE1DE8">
        <w:rPr>
          <w:b/>
        </w:rPr>
        <w:t>Functional gain</w:t>
      </w:r>
      <w:bookmarkEnd w:id="98"/>
      <w:bookmarkEnd w:id="99"/>
      <w:r w:rsidRPr="00DE1DE8">
        <w:rPr>
          <w:b/>
        </w:rPr>
        <w:t xml:space="preserve"> </w:t>
      </w:r>
      <w:bookmarkEnd w:id="100"/>
    </w:p>
    <w:p w:rsidR="00154D81" w:rsidRPr="00E366AC" w:rsidRDefault="00154D81" w:rsidP="00154D81">
      <w:r w:rsidRPr="00E366AC">
        <w:t>The primary goal of care is to improve personal, social or occupational functioning or promote psychosocial adaptation in a patient with impairment arising from a psychiatric disorder.</w:t>
      </w:r>
    </w:p>
    <w:p w:rsidR="00154D81" w:rsidRPr="00DE1DE8" w:rsidRDefault="00154D81" w:rsidP="00DE1DE8">
      <w:pPr>
        <w:keepNext/>
        <w:rPr>
          <w:b/>
        </w:rPr>
      </w:pPr>
      <w:bookmarkStart w:id="101" w:name="_Toc454793244"/>
      <w:bookmarkStart w:id="102" w:name="_Toc483478597"/>
      <w:bookmarkStart w:id="103" w:name="_Toc433900351"/>
      <w:r w:rsidRPr="00DE1DE8">
        <w:rPr>
          <w:b/>
        </w:rPr>
        <w:t>Intensive extended</w:t>
      </w:r>
      <w:bookmarkEnd w:id="101"/>
      <w:bookmarkEnd w:id="102"/>
      <w:r w:rsidRPr="00DE1DE8">
        <w:rPr>
          <w:b/>
        </w:rPr>
        <w:t xml:space="preserve"> </w:t>
      </w:r>
      <w:bookmarkEnd w:id="103"/>
    </w:p>
    <w:p w:rsidR="00154D81" w:rsidRPr="00E366AC" w:rsidRDefault="00154D81" w:rsidP="00154D81">
      <w:r w:rsidRPr="00E366AC">
        <w:t xml:space="preserve">The primary goal of care is prevention or minimisation of further deterioration, and reduction of risk of harm in a patient who has a stable pattern of severe symptoms, frequent relapses or severe inability to function independently and is judged to require care over an indefinite period. </w:t>
      </w:r>
    </w:p>
    <w:p w:rsidR="00154D81" w:rsidRPr="00DE1DE8" w:rsidRDefault="00154D81" w:rsidP="00DE1DE8">
      <w:pPr>
        <w:keepNext/>
        <w:rPr>
          <w:b/>
        </w:rPr>
      </w:pPr>
      <w:bookmarkStart w:id="104" w:name="_Toc454793245"/>
      <w:bookmarkStart w:id="105" w:name="_Toc483478598"/>
      <w:bookmarkStart w:id="106" w:name="_Toc433900352"/>
      <w:r w:rsidRPr="00DE1DE8">
        <w:rPr>
          <w:b/>
        </w:rPr>
        <w:t>Consolidating gain</w:t>
      </w:r>
      <w:bookmarkEnd w:id="104"/>
      <w:bookmarkEnd w:id="105"/>
      <w:r w:rsidRPr="00DE1DE8">
        <w:rPr>
          <w:b/>
        </w:rPr>
        <w:t xml:space="preserve"> </w:t>
      </w:r>
      <w:bookmarkEnd w:id="106"/>
    </w:p>
    <w:p w:rsidR="00154D81" w:rsidRDefault="00154D81" w:rsidP="00154D81">
      <w:r w:rsidRPr="00687A47">
        <w:t xml:space="preserve">The primary goal </w:t>
      </w:r>
      <w:r>
        <w:t xml:space="preserve">of care </w:t>
      </w:r>
      <w:r w:rsidRPr="00687A47">
        <w:t xml:space="preserve">is to maintain the level of functioning, or improving functioning during a period of recovery, minimise deterioration or prevent relapse where the </w:t>
      </w:r>
      <w:r>
        <w:t xml:space="preserve">patient </w:t>
      </w:r>
      <w:r w:rsidRPr="00687A47">
        <w:t xml:space="preserve">has stabilised and functions relatively independently. Consolidating gain may also be known as maintenance. </w:t>
      </w:r>
    </w:p>
    <w:p w:rsidR="00154D81" w:rsidRPr="00DE1DE8" w:rsidRDefault="00154D81" w:rsidP="00DE1DE8">
      <w:pPr>
        <w:keepNext/>
        <w:rPr>
          <w:b/>
        </w:rPr>
      </w:pPr>
      <w:bookmarkStart w:id="107" w:name="_Toc483478599"/>
      <w:r w:rsidRPr="00DE1DE8">
        <w:rPr>
          <w:b/>
        </w:rPr>
        <w:t>Assessment only</w:t>
      </w:r>
      <w:bookmarkEnd w:id="107"/>
      <w:r w:rsidRPr="00DE1DE8">
        <w:rPr>
          <w:b/>
        </w:rPr>
        <w:t xml:space="preserve"> </w:t>
      </w:r>
    </w:p>
    <w:p w:rsidR="00E366AC" w:rsidRDefault="00154D81" w:rsidP="00AE2959">
      <w:pPr>
        <w:spacing w:after="240"/>
      </w:pPr>
      <w:r w:rsidRPr="00687A47">
        <w:t xml:space="preserve">The primary goal </w:t>
      </w:r>
      <w:r>
        <w:t xml:space="preserve">of care </w:t>
      </w:r>
      <w:r w:rsidRPr="00687A47">
        <w:t xml:space="preserve">is to obtain information, including collateral information where possible, in order to determine the intervention/treatment needs and to arrange </w:t>
      </w:r>
      <w:r>
        <w:t xml:space="preserve">for this to occur </w:t>
      </w:r>
      <w:r w:rsidRPr="00687A47">
        <w:t xml:space="preserve">(includes brief history, risk assessment, referral to treating team or other service). </w:t>
      </w:r>
    </w:p>
    <w:p w:rsidR="00154D81" w:rsidRDefault="00154D81" w:rsidP="00154D81">
      <w:pPr>
        <w:pStyle w:val="Heading2"/>
      </w:pPr>
      <w:bookmarkStart w:id="108" w:name="_Toc433900353"/>
      <w:bookmarkStart w:id="109" w:name="_Toc454793246"/>
      <w:bookmarkStart w:id="110" w:name="_Toc483478600"/>
      <w:bookmarkStart w:id="111" w:name="_Toc514924130"/>
      <w:r>
        <w:lastRenderedPageBreak/>
        <w:t>4.3 Age group</w:t>
      </w:r>
      <w:bookmarkEnd w:id="108"/>
      <w:bookmarkEnd w:id="109"/>
      <w:bookmarkEnd w:id="110"/>
      <w:bookmarkEnd w:id="111"/>
    </w:p>
    <w:p w:rsidR="00154D81" w:rsidRDefault="00154D81" w:rsidP="00154D81">
      <w:bookmarkStart w:id="112" w:name="_Toc433900354"/>
      <w:bookmarkStart w:id="113" w:name="_Toc454793247"/>
      <w:r>
        <w:t>Consumer</w:t>
      </w:r>
      <w:r w:rsidRPr="00117350">
        <w:t xml:space="preserve"> age groups within the AMHCC</w:t>
      </w:r>
      <w:r>
        <w:t xml:space="preserve"> Version 1.0</w:t>
      </w:r>
      <w:r w:rsidRPr="00117350">
        <w:t xml:space="preserve"> include </w:t>
      </w:r>
      <w:r>
        <w:t xml:space="preserve">children and adolescents, adults, and older persons. </w:t>
      </w:r>
    </w:p>
    <w:p w:rsidR="00154D81" w:rsidRPr="006A6563" w:rsidRDefault="00154D81" w:rsidP="00154D81">
      <w:r>
        <w:t xml:space="preserve">Generally, children and adolescents are defined as persons under the age of 18 years, adults are defined as persons between the age of 18 and 64 years inclusive, and older persons are defined as persons aged 65 years and older. </w:t>
      </w:r>
    </w:p>
    <w:p w:rsidR="00154D81" w:rsidRDefault="00154D81" w:rsidP="00154D81">
      <w:pPr>
        <w:pStyle w:val="Heading2"/>
      </w:pPr>
      <w:bookmarkStart w:id="114" w:name="_Toc483478601"/>
      <w:bookmarkStart w:id="115" w:name="_Toc514924131"/>
      <w:r>
        <w:t>4.4 Clinical measures</w:t>
      </w:r>
      <w:bookmarkEnd w:id="112"/>
      <w:bookmarkEnd w:id="113"/>
      <w:bookmarkEnd w:id="114"/>
      <w:bookmarkEnd w:id="115"/>
    </w:p>
    <w:p w:rsidR="00154D81" w:rsidRDefault="00154D81" w:rsidP="00154D81">
      <w:pPr>
        <w:pStyle w:val="Heading3"/>
      </w:pPr>
      <w:bookmarkStart w:id="116" w:name="_Toc433900355"/>
      <w:bookmarkStart w:id="117" w:name="_Toc454793248"/>
      <w:bookmarkStart w:id="118" w:name="_Toc483478602"/>
      <w:bookmarkStart w:id="119" w:name="_Toc514924132"/>
      <w:r>
        <w:t>4.4.1 Health of the Nation Outcomes Scale (HoNOS)</w:t>
      </w:r>
      <w:bookmarkEnd w:id="116"/>
      <w:bookmarkEnd w:id="117"/>
      <w:bookmarkEnd w:id="118"/>
      <w:bookmarkEnd w:id="119"/>
    </w:p>
    <w:p w:rsidR="00154D81" w:rsidRDefault="00154D81" w:rsidP="00154D81">
      <w:r>
        <w:t xml:space="preserve">The HoNOS is a 12 item instrument that was developed by the Royal College of Psychiatrists in 1998 to measure progress towards a ‘health of the nation’ target set by the United Kingdom’s Department of Health. The primary goal of the HoNOS is </w:t>
      </w:r>
      <w:r w:rsidRPr="00295C60">
        <w:t>to</w:t>
      </w:r>
      <w:r>
        <w:t xml:space="preserve"> measure </w:t>
      </w:r>
      <w:r w:rsidRPr="00295C60">
        <w:t>the health and social functioning of mentally ill people</w:t>
      </w:r>
      <w:r>
        <w:t xml:space="preserve"> for the 18-64 years age group</w:t>
      </w:r>
      <w:r w:rsidRPr="00295C60">
        <w:t>.</w:t>
      </w:r>
      <w:r>
        <w:t xml:space="preserve"> </w:t>
      </w:r>
    </w:p>
    <w:p w:rsidR="00154D81" w:rsidRDefault="00154D81" w:rsidP="00154D81">
      <w:pPr>
        <w:keepNext/>
      </w:pPr>
      <w:bookmarkStart w:id="120" w:name="_Toc433900356"/>
      <w:bookmarkStart w:id="121" w:name="_Toc454793249"/>
      <w:r w:rsidRPr="007C6F70">
        <w:t xml:space="preserve">The HoNOS can be regarded as a general measure of severity of symptoms for this group. </w:t>
      </w:r>
      <w:r w:rsidRPr="00442328">
        <w:t>Each item</w:t>
      </w:r>
      <w:r>
        <w:t xml:space="preserve"> </w:t>
      </w:r>
      <w:r w:rsidRPr="00442328">
        <w:t xml:space="preserve">is rated on a five-point scale </w:t>
      </w:r>
      <w:r w:rsidRPr="00687A47">
        <w:t>(Appendix 2)</w:t>
      </w:r>
      <w:r>
        <w:t>:</w:t>
      </w:r>
    </w:p>
    <w:p w:rsidR="00154D81" w:rsidRPr="00687A47" w:rsidRDefault="00154D81" w:rsidP="00154D81">
      <w:pPr>
        <w:keepNext/>
        <w:numPr>
          <w:ilvl w:val="0"/>
          <w:numId w:val="20"/>
        </w:numPr>
        <w:spacing w:before="0" w:line="276" w:lineRule="auto"/>
        <w:ind w:left="714" w:hanging="357"/>
      </w:pPr>
      <w:r w:rsidRPr="00687A47">
        <w:t>0 - no problem</w:t>
      </w:r>
    </w:p>
    <w:p w:rsidR="00154D81" w:rsidRPr="00687A47" w:rsidRDefault="00154D81" w:rsidP="00154D81">
      <w:pPr>
        <w:keepNext/>
        <w:numPr>
          <w:ilvl w:val="0"/>
          <w:numId w:val="20"/>
        </w:numPr>
        <w:spacing w:before="0" w:line="276" w:lineRule="auto"/>
        <w:ind w:left="714" w:hanging="357"/>
      </w:pPr>
      <w:r w:rsidRPr="00687A47">
        <w:t>1 - minor problem requiring no action</w:t>
      </w:r>
    </w:p>
    <w:p w:rsidR="00154D81" w:rsidRPr="00687A47" w:rsidRDefault="00154D81" w:rsidP="00154D81">
      <w:pPr>
        <w:numPr>
          <w:ilvl w:val="0"/>
          <w:numId w:val="20"/>
        </w:numPr>
        <w:spacing w:before="0" w:line="276" w:lineRule="auto"/>
        <w:ind w:left="714" w:hanging="357"/>
      </w:pPr>
      <w:r w:rsidRPr="00687A47">
        <w:t>2 - mild problem but definitely present</w:t>
      </w:r>
    </w:p>
    <w:p w:rsidR="00154D81" w:rsidRPr="00687A47" w:rsidRDefault="00154D81" w:rsidP="00154D81">
      <w:pPr>
        <w:numPr>
          <w:ilvl w:val="0"/>
          <w:numId w:val="20"/>
        </w:numPr>
        <w:spacing w:before="0" w:line="276" w:lineRule="auto"/>
        <w:ind w:left="714" w:hanging="357"/>
      </w:pPr>
      <w:r w:rsidRPr="00687A47">
        <w:t>3 - moderately severe problem</w:t>
      </w:r>
    </w:p>
    <w:p w:rsidR="00154D81" w:rsidRPr="00687A47" w:rsidRDefault="00154D81" w:rsidP="00154D81">
      <w:pPr>
        <w:numPr>
          <w:ilvl w:val="0"/>
          <w:numId w:val="20"/>
        </w:numPr>
        <w:spacing w:before="0" w:line="276" w:lineRule="auto"/>
        <w:ind w:left="714" w:hanging="357"/>
      </w:pPr>
      <w:r w:rsidRPr="00687A47">
        <w:t>4 - severe to very severe problem.</w:t>
      </w:r>
      <w:r w:rsidR="00811552">
        <w:rPr>
          <w:vertAlign w:val="superscript"/>
        </w:rPr>
        <w:t>7</w:t>
      </w:r>
    </w:p>
    <w:p w:rsidR="00154D81" w:rsidRDefault="00154D81" w:rsidP="00154D81">
      <w:r>
        <w:t xml:space="preserve">This </w:t>
      </w:r>
      <w:r w:rsidRPr="00442328">
        <w:t>result</w:t>
      </w:r>
      <w:r>
        <w:t>s</w:t>
      </w:r>
      <w:r w:rsidRPr="00442328">
        <w:t xml:space="preserve"> in individual item scores, subscale scores and a total score. In assigning ratings, the clinician makes use of a glossary which details the meaning of each point on the item being rated</w:t>
      </w:r>
      <w:r>
        <w:t>.</w:t>
      </w:r>
    </w:p>
    <w:p w:rsidR="00154D81" w:rsidRDefault="00154D81" w:rsidP="00154D81">
      <w:r>
        <w:t>The HoNOS is simple to use and measures clinical problems and social functioning. The Royal College of Psychiatrists found the HoNOS to have good reliability, sensitivity to change and wide acceptability by clinicians.</w:t>
      </w:r>
      <w:r w:rsidR="00811552">
        <w:rPr>
          <w:vertAlign w:val="superscript"/>
        </w:rPr>
        <w:t>8</w:t>
      </w:r>
    </w:p>
    <w:p w:rsidR="00154D81" w:rsidRDefault="00154D81" w:rsidP="00154D81">
      <w:r w:rsidRPr="00313C7F">
        <w:t xml:space="preserve">The classification uses a HoNOS complexity split (high or moderate). The split is based on the weighted sum of each mental health phase of care’s HoNOS scores. The weighted HoNOS scores are assessed against a threshold and classified as ‘high’ if greater than or equal to the threshold, and ‘moderate’ if less than the threshold. The weightings are </w:t>
      </w:r>
      <w:r>
        <w:t>further described</w:t>
      </w:r>
      <w:r w:rsidRPr="00313C7F">
        <w:t xml:space="preserve"> </w:t>
      </w:r>
      <w:r>
        <w:t xml:space="preserve">within section 5: </w:t>
      </w:r>
      <w:r>
        <w:rPr>
          <w:i/>
        </w:rPr>
        <w:t>Technical aspects of the AMHCC V</w:t>
      </w:r>
      <w:r w:rsidRPr="00313C7F">
        <w:rPr>
          <w:i/>
        </w:rPr>
        <w:t>ersion 1.0</w:t>
      </w:r>
      <w:r w:rsidRPr="00313C7F">
        <w:t>.</w:t>
      </w:r>
      <w:r>
        <w:t xml:space="preserve"> </w:t>
      </w:r>
      <w:r w:rsidRPr="00914877">
        <w:t xml:space="preserve">The HoNOS subscale can be seen at Appendix 2. </w:t>
      </w:r>
    </w:p>
    <w:p w:rsidR="00154D81" w:rsidRPr="00914877" w:rsidRDefault="00154D81" w:rsidP="00154D81">
      <w:r>
        <w:t xml:space="preserve">The ABF MHC DRS for 2016-17 includes the option for reporting a value of 9 when a score is not known. This reflects the original HoNOS score sheet. The NOCC specifications for HoNOS allow values of 7 (not stated/missing) and 9 (unable to rate/not applicable for consumer). These are reporting protocols specific to NOCC reporting and should be mapped to the value of 9 when reporting to the ABF MHC DRS 2016-17. </w:t>
      </w:r>
      <w:r w:rsidRPr="002F2FFC">
        <w:t>The ABF MHC NBEDS and supporting material will be updated with the value of 9 for 2017-18</w:t>
      </w:r>
      <w:r>
        <w:t xml:space="preserve"> and ongoing consultation will confirm whether additional changes are required to future iterations of the technical specifications.</w:t>
      </w:r>
    </w:p>
    <w:p w:rsidR="00154D81" w:rsidRDefault="00154D81" w:rsidP="00154D81">
      <w:pPr>
        <w:pStyle w:val="Heading3"/>
      </w:pPr>
      <w:bookmarkStart w:id="122" w:name="_Toc483478603"/>
      <w:bookmarkStart w:id="123" w:name="_Toc514924133"/>
      <w:r>
        <w:lastRenderedPageBreak/>
        <w:t>4.4.2 Health of the Nation Outcome Scales for Children and Adolescents (HoNOSCA)</w:t>
      </w:r>
      <w:bookmarkEnd w:id="120"/>
      <w:bookmarkEnd w:id="121"/>
      <w:bookmarkEnd w:id="122"/>
      <w:bookmarkEnd w:id="123"/>
    </w:p>
    <w:p w:rsidR="00154D81" w:rsidRDefault="00154D81" w:rsidP="00154D81">
      <w:pPr>
        <w:rPr>
          <w:vertAlign w:val="superscript"/>
        </w:rPr>
      </w:pPr>
      <w:bookmarkStart w:id="124" w:name="_Toc433900357"/>
      <w:bookmarkStart w:id="125" w:name="_Toc454793250"/>
      <w:r>
        <w:t>The HoNOSCA is a 15 item instrument developed by the Royal College of Psychiatrists in 1999 to measure the outcomes of emotional and behavioural disorders in children and adolescents. The primary goal of the HoNOSCA is to measure the symptom severity and social functioning of the consumer over the preceding two weeks. The HoNOSCA was modelled on the HoNOS.</w:t>
      </w:r>
      <w:r w:rsidR="00811552">
        <w:rPr>
          <w:vertAlign w:val="superscript"/>
        </w:rPr>
        <w:t>9</w:t>
      </w:r>
    </w:p>
    <w:p w:rsidR="00154D81" w:rsidRPr="00154F42" w:rsidRDefault="00154D81" w:rsidP="00154D81">
      <w:r>
        <w:t xml:space="preserve">It is important to note that only the first 13 items of the HoNOSCA are used in the AMHCC Version 1.0. </w:t>
      </w:r>
    </w:p>
    <w:p w:rsidR="00154D81" w:rsidRDefault="00154D81" w:rsidP="00154D81">
      <w:r>
        <w:t>The HoNOSCA subscale can be seen at Appendix 2. The HoNOSCA items are rated by the same severity measure format as the HoNOS.</w:t>
      </w:r>
      <w:r w:rsidR="00811552">
        <w:rPr>
          <w:vertAlign w:val="superscript"/>
        </w:rPr>
        <w:t>10</w:t>
      </w:r>
    </w:p>
    <w:p w:rsidR="00154D81" w:rsidRDefault="00154D81" w:rsidP="00154D81">
      <w:pPr>
        <w:pStyle w:val="Heading3"/>
      </w:pPr>
      <w:bookmarkStart w:id="126" w:name="_Toc483478604"/>
      <w:bookmarkStart w:id="127" w:name="_Toc514924134"/>
      <w:r>
        <w:t>4.4.3 Health of the Nation Outcome Scale for elderly people (HoNOS 65+)</w:t>
      </w:r>
      <w:bookmarkEnd w:id="124"/>
      <w:bookmarkEnd w:id="125"/>
      <w:bookmarkEnd w:id="126"/>
      <w:bookmarkEnd w:id="127"/>
    </w:p>
    <w:p w:rsidR="00154D81" w:rsidRDefault="00154D81" w:rsidP="00154D81">
      <w:pPr>
        <w:rPr>
          <w:vertAlign w:val="superscript"/>
        </w:rPr>
      </w:pPr>
      <w:bookmarkStart w:id="128" w:name="_Toc433900358"/>
      <w:bookmarkStart w:id="129" w:name="_Toc454793251"/>
      <w:r>
        <w:t xml:space="preserve">The HoNOS 65+ is a 12 item instrument developed by the Royal College of Psychiatrists in 1999 to measure </w:t>
      </w:r>
      <w:r w:rsidRPr="009D270D">
        <w:t>particular physical and cognitive problems affecting older people</w:t>
      </w:r>
      <w:r>
        <w:t xml:space="preserve">. The primary goal of the HoNOS 65+ is to measure specific mental health issues that occur in older people such as </w:t>
      </w:r>
      <w:r w:rsidRPr="009D270D">
        <w:t>agitation</w:t>
      </w:r>
      <w:r>
        <w:t xml:space="preserve"> and </w:t>
      </w:r>
      <w:r w:rsidRPr="009D270D">
        <w:t>restlessness</w:t>
      </w:r>
      <w:r>
        <w:t xml:space="preserve">, </w:t>
      </w:r>
      <w:r w:rsidRPr="009D270D">
        <w:t>delusions occurring in the presence of dementia</w:t>
      </w:r>
      <w:r>
        <w:t xml:space="preserve">, the </w:t>
      </w:r>
      <w:r w:rsidRPr="009D270D">
        <w:t>phenomenology of depression</w:t>
      </w:r>
      <w:r>
        <w:t xml:space="preserve"> and incontinence. The Royal College of Psychiatrists found that the </w:t>
      </w:r>
      <w:r w:rsidRPr="009D270D">
        <w:t>HoNOS 65+ was able to discriminate between people suffering from organic and functional illnesses</w:t>
      </w:r>
      <w:r>
        <w:t>.</w:t>
      </w:r>
      <w:r w:rsidR="00811552" w:rsidDel="00811552">
        <w:rPr>
          <w:vertAlign w:val="superscript"/>
        </w:rPr>
        <w:t xml:space="preserve"> </w:t>
      </w:r>
      <w:r w:rsidR="00811552">
        <w:rPr>
          <w:vertAlign w:val="superscript"/>
        </w:rPr>
        <w:t>11</w:t>
      </w:r>
    </w:p>
    <w:p w:rsidR="00154D81" w:rsidRDefault="00154D81" w:rsidP="00154D81">
      <w:r>
        <w:t>The HoNOS 65+ subscale can be seen at Appendix 2. The 12 items are rated by the same severity measure format as the HoNOS.</w:t>
      </w:r>
      <w:r w:rsidR="00811552">
        <w:rPr>
          <w:vertAlign w:val="superscript"/>
        </w:rPr>
        <w:t>12</w:t>
      </w:r>
    </w:p>
    <w:p w:rsidR="00154D81" w:rsidRDefault="00154D81" w:rsidP="00154D81">
      <w:pPr>
        <w:pStyle w:val="Heading3"/>
      </w:pPr>
      <w:bookmarkStart w:id="130" w:name="_Toc483478605"/>
      <w:bookmarkStart w:id="131" w:name="_Toc514924135"/>
      <w:r>
        <w:t>4.4.4 Abbreviated Life Skills Profile (LSP-16)</w:t>
      </w:r>
      <w:bookmarkEnd w:id="128"/>
      <w:bookmarkEnd w:id="129"/>
      <w:bookmarkEnd w:id="130"/>
      <w:bookmarkEnd w:id="131"/>
    </w:p>
    <w:p w:rsidR="00154D81" w:rsidRDefault="00154D81" w:rsidP="00154D81">
      <w:pPr>
        <w:keepLines/>
      </w:pPr>
      <w:bookmarkStart w:id="132" w:name="_Toc454793252"/>
      <w:r>
        <w:t xml:space="preserve">The </w:t>
      </w:r>
      <w:r w:rsidRPr="005A3357">
        <w:t>Life Skills Profile (LSP)</w:t>
      </w:r>
      <w:r>
        <w:t xml:space="preserve"> is a 39 item </w:t>
      </w:r>
      <w:r w:rsidRPr="00BE3F01">
        <w:t xml:space="preserve">clinical outcomes </w:t>
      </w:r>
      <w:r>
        <w:t xml:space="preserve">instrument that measures the life skills of how successfully people with schizophrenia or with a chronic mental illness live in the community (Appendix 2). </w:t>
      </w:r>
      <w:r w:rsidRPr="00687A47">
        <w:t>The instrument aims to assess constructs relevant to the survival, function and adaptation of consumers with schizophrenia, using specific and jargon free items to assess distinct behaviours.</w:t>
      </w:r>
      <w:r w:rsidR="00811552">
        <w:rPr>
          <w:vertAlign w:val="superscript"/>
        </w:rPr>
        <w:t>13</w:t>
      </w:r>
    </w:p>
    <w:p w:rsidR="00154D81" w:rsidRDefault="00154D81" w:rsidP="00154D81">
      <w:r>
        <w:t xml:space="preserve">Work undertaken </w:t>
      </w:r>
      <w:r w:rsidRPr="000B593A">
        <w:t xml:space="preserve">as part of the </w:t>
      </w:r>
      <w:r w:rsidRPr="000B593A">
        <w:rPr>
          <w:i/>
        </w:rPr>
        <w:t xml:space="preserve">Australian Mental Health Classification and Service Costs </w:t>
      </w:r>
      <w:r>
        <w:rPr>
          <w:i/>
        </w:rPr>
        <w:br/>
        <w:t xml:space="preserve">(MH-CASC) </w:t>
      </w:r>
      <w:r w:rsidRPr="000B593A">
        <w:rPr>
          <w:i/>
        </w:rPr>
        <w:t>study</w:t>
      </w:r>
      <w:r w:rsidR="00811552">
        <w:rPr>
          <w:vertAlign w:val="superscript"/>
        </w:rPr>
        <w:t>14</w:t>
      </w:r>
      <w:r w:rsidRPr="000B593A">
        <w:rPr>
          <w:vertAlign w:val="superscript"/>
        </w:rPr>
        <w:t xml:space="preserve"> </w:t>
      </w:r>
      <w:r w:rsidRPr="000B593A">
        <w:t xml:space="preserve">saw the 39 items </w:t>
      </w:r>
      <w:r>
        <w:t xml:space="preserve">of the LSP </w:t>
      </w:r>
      <w:r w:rsidRPr="000B593A">
        <w:t>reduced to 16</w:t>
      </w:r>
      <w:r>
        <w:t xml:space="preserve"> items</w:t>
      </w:r>
      <w:r w:rsidRPr="000B593A">
        <w:t>. Th</w:t>
      </w:r>
      <w:r>
        <w:t>e</w:t>
      </w:r>
      <w:r w:rsidRPr="000B593A">
        <w:t xml:space="preserve"> reduction in item number</w:t>
      </w:r>
      <w:r>
        <w:t>s</w:t>
      </w:r>
      <w:r w:rsidRPr="000B593A">
        <w:t xml:space="preserve"> aimed to minimise the rating burden on clinicians when the measure is used in conjunction with the HoNOS. </w:t>
      </w:r>
      <w:r w:rsidRPr="00BE3F01">
        <w:t>Each item is rated on a four-point scale ranging from 0 to 3 with high scores indicating higher disability, resulting in individual item scores, subscale scores and a total score. The LSP-16 thresholds are listed in Table 1 and Table 3</w:t>
      </w:r>
      <w:r>
        <w:t xml:space="preserve"> at section 5</w:t>
      </w:r>
      <w:r w:rsidRPr="00BE3F01">
        <w:t>.</w:t>
      </w:r>
    </w:p>
    <w:p w:rsidR="00154D81" w:rsidRDefault="00154D81" w:rsidP="00154D81">
      <w:r>
        <w:t>The classification utilises LSP-16 in application to the community setting, 18-64 years age group and moderate HoNOS complexity. Although there are no dedicated end classes for phases with unknown HoNOS and known LSP-16, these phases are identifiable within the unknown HoNOS end classes.</w:t>
      </w:r>
    </w:p>
    <w:p w:rsidR="00154D81" w:rsidRDefault="00154D81" w:rsidP="00154D81">
      <w:r>
        <w:t>In the community setting, consumers aged 18-64 years with a moderate HoNOS complexity are also classified by assessing the sum of their LSP-16 question scores against a threshold, which classifies the score as high or moderate accordingly. The classification currently groups unknown LSP-16 scores with moderate LSP-16 scores.</w:t>
      </w:r>
    </w:p>
    <w:p w:rsidR="00154D81" w:rsidRDefault="00154D81" w:rsidP="00154D81">
      <w:r>
        <w:t>The LSP-16 has no training requirements and may be administered by clinicians of any discipline, providing they have had moderate contact with the consumer. Clinicians who are familiar with the instrument can typically administer it in five minutes or less.</w:t>
      </w:r>
    </w:p>
    <w:p w:rsidR="00154D81" w:rsidRPr="00CA2469" w:rsidRDefault="00154D81" w:rsidP="00154D81">
      <w:pPr>
        <w:pStyle w:val="Heading3"/>
      </w:pPr>
      <w:bookmarkStart w:id="133" w:name="_Toc483478606"/>
      <w:bookmarkStart w:id="134" w:name="_Toc514924136"/>
      <w:r>
        <w:lastRenderedPageBreak/>
        <w:t>4</w:t>
      </w:r>
      <w:r w:rsidRPr="00CA2469">
        <w:t>.4.5 Family and Carer Variables</w:t>
      </w:r>
      <w:bookmarkEnd w:id="132"/>
      <w:bookmarkEnd w:id="133"/>
      <w:bookmarkEnd w:id="134"/>
      <w:r w:rsidRPr="00CA2469">
        <w:t xml:space="preserve"> </w:t>
      </w:r>
    </w:p>
    <w:p w:rsidR="00154D81" w:rsidRDefault="00154D81" w:rsidP="00154D81">
      <w:bookmarkStart w:id="135" w:name="_Toc454793253"/>
      <w:r>
        <w:t>Family and carer variables are not included in the first version of the AMHCC due to lack of collectable data available to help identify carer involvement as a cost driver. Further investigation of the impact of carers on the cost of delivering care is needed and will be undertaken within the evaluation of the implementation of the AMHCC.</w:t>
      </w:r>
    </w:p>
    <w:p w:rsidR="00154D81" w:rsidRPr="00CA2469" w:rsidRDefault="00154D81" w:rsidP="00154D81">
      <w:pPr>
        <w:pStyle w:val="Heading2"/>
      </w:pPr>
      <w:bookmarkStart w:id="136" w:name="_Toc483478607"/>
      <w:bookmarkStart w:id="137" w:name="_Toc514924137"/>
      <w:r>
        <w:t>4</w:t>
      </w:r>
      <w:r w:rsidRPr="00CA2469">
        <w:t>.5 Mental health legal status</w:t>
      </w:r>
      <w:bookmarkEnd w:id="135"/>
      <w:bookmarkEnd w:id="136"/>
      <w:bookmarkEnd w:id="137"/>
    </w:p>
    <w:p w:rsidR="00154D81" w:rsidRDefault="00154D81" w:rsidP="00154D81">
      <w:pPr>
        <w:rPr>
          <w:rFonts w:asciiTheme="majorHAnsi" w:eastAsiaTheme="majorEastAsia" w:hAnsiTheme="majorHAnsi" w:cstheme="majorBidi"/>
          <w:b/>
          <w:bCs/>
          <w:color w:val="FFFFFF" w:themeColor="background2"/>
          <w:sz w:val="28"/>
          <w:szCs w:val="32"/>
        </w:rPr>
      </w:pPr>
      <w:bookmarkStart w:id="138" w:name="_Toc454793254"/>
      <w:r w:rsidRPr="00276C4B">
        <w:t xml:space="preserve">In the admitted, acute and 18-64 years age group only, there is a split based on the mental health legal status (MHLS) of the consumer (involuntary or voluntary). </w:t>
      </w:r>
      <w:r w:rsidRPr="008A4673">
        <w:t xml:space="preserve">MHLS is an indicator of whether mental health care is being provided under the state or territory mental health legislation. An involuntary patient may be detained in hospital under mental health legislation for the purpose of assessment or provision of appropriate treatment or care. </w:t>
      </w:r>
    </w:p>
    <w:p w:rsidR="00154D81" w:rsidRPr="005B5E10" w:rsidRDefault="00154D81" w:rsidP="00154D81">
      <w:pPr>
        <w:pStyle w:val="Heading2"/>
        <w:rPr>
          <w:rFonts w:cstheme="majorHAnsi"/>
          <w:sz w:val="24"/>
          <w:szCs w:val="24"/>
        </w:rPr>
      </w:pPr>
      <w:bookmarkStart w:id="139" w:name="_Toc483478608"/>
      <w:bookmarkStart w:id="140" w:name="_Toc514924138"/>
      <w:r>
        <w:t>4</w:t>
      </w:r>
      <w:r w:rsidRPr="00CA2469">
        <w:t>.6 Number of end classes</w:t>
      </w:r>
      <w:bookmarkEnd w:id="138"/>
      <w:bookmarkEnd w:id="139"/>
      <w:bookmarkEnd w:id="140"/>
    </w:p>
    <w:p w:rsidR="00154D81" w:rsidRDefault="00154D81" w:rsidP="00154D81">
      <w:pPr>
        <w:spacing w:after="0" w:line="240" w:lineRule="auto"/>
      </w:pPr>
      <w:r w:rsidRPr="003C4D61">
        <w:t>The final AMHCC has 91 end classes, of which 60 are completely classified and 31 are a result of unknown mental health phase of care or HoNOS. In the admitted setting, there are 45 end classes in total, of which 29 are completely classified and 16 are a result of unknown mental health phase of care or HoNOS. In the community setting, there are 46 end classes in total, of which 31 are completely classified and 15 are a result of unknown mental health phase of care or HoNOS. It is anticipated that the unknown mental health phase of care and HoNOS classes will be eliminated over time as reporting improves.</w:t>
      </w:r>
    </w:p>
    <w:p w:rsidR="00154D81" w:rsidRDefault="00154D81" w:rsidP="00154D81">
      <w:pPr>
        <w:spacing w:after="0" w:line="240" w:lineRule="auto"/>
      </w:pPr>
      <w:r>
        <w:br w:type="page"/>
      </w:r>
    </w:p>
    <w:p w:rsidR="00154D81" w:rsidRDefault="00154D81" w:rsidP="00154D81">
      <w:pPr>
        <w:pStyle w:val="Heading1"/>
        <w:numPr>
          <w:ilvl w:val="0"/>
          <w:numId w:val="14"/>
        </w:numPr>
        <w:spacing w:after="1320" w:line="216" w:lineRule="auto"/>
        <w:ind w:left="567" w:hanging="567"/>
      </w:pPr>
      <w:bookmarkStart w:id="141" w:name="_Toc483478609"/>
      <w:bookmarkStart w:id="142" w:name="_Toc514924139"/>
      <w:r>
        <w:lastRenderedPageBreak/>
        <w:t>Technical aspects of the AMHCC Version 1.0</w:t>
      </w:r>
      <w:bookmarkEnd w:id="141"/>
      <w:bookmarkEnd w:id="142"/>
    </w:p>
    <w:p w:rsidR="00154D81" w:rsidRDefault="00154D81" w:rsidP="00154D81">
      <w:pPr>
        <w:pStyle w:val="Heading2"/>
      </w:pPr>
      <w:bookmarkStart w:id="143" w:name="_Toc433900360"/>
      <w:bookmarkStart w:id="144" w:name="_Toc454793256"/>
      <w:bookmarkStart w:id="145" w:name="_Toc483478610"/>
      <w:bookmarkStart w:id="146" w:name="_Toc514924140"/>
      <w:r>
        <w:t>5.1 Weighting of the HoNOS, HoNOSCA and HoNOS 65+</w:t>
      </w:r>
      <w:bookmarkEnd w:id="143"/>
      <w:bookmarkEnd w:id="144"/>
      <w:bookmarkEnd w:id="145"/>
      <w:bookmarkEnd w:id="146"/>
    </w:p>
    <w:p w:rsidR="00154D81" w:rsidRDefault="00154D81" w:rsidP="00154D81">
      <w:r w:rsidRPr="00276C4B">
        <w:t>AMHCC Version 1.0 includes moderate and high HoNOS complexity splits, which are based on rating</w:t>
      </w:r>
      <w:r>
        <w:t>s</w:t>
      </w:r>
      <w:r w:rsidRPr="00276C4B">
        <w:t xml:space="preserve"> from HoNOS, HoNOSCA and HoNOS</w:t>
      </w:r>
      <w:r>
        <w:t xml:space="preserve"> </w:t>
      </w:r>
      <w:r w:rsidRPr="00276C4B">
        <w:t xml:space="preserve">65+ questionnaire instruments. The </w:t>
      </w:r>
      <w:r>
        <w:t xml:space="preserve">HoNOS, </w:t>
      </w:r>
      <w:r w:rsidRPr="00276C4B">
        <w:t>HoNOS</w:t>
      </w:r>
      <w:r>
        <w:t>CA and</w:t>
      </w:r>
      <w:r w:rsidRPr="00276C4B">
        <w:t xml:space="preserve"> HoNOS</w:t>
      </w:r>
      <w:r>
        <w:t xml:space="preserve"> </w:t>
      </w:r>
      <w:r w:rsidRPr="00276C4B">
        <w:t>65+ instruments comprise items (i.e. questions) that can each receive a rating of 0, 1, 2, 3 or 4 based on the clinician’s assessment of the consumer. AMHCC Version</w:t>
      </w:r>
      <w:r w:rsidR="008E65E1">
        <w:t> </w:t>
      </w:r>
      <w:r w:rsidRPr="00276C4B">
        <w:t>1.0 incorporates ratings from HoNOS and HoNOS</w:t>
      </w:r>
      <w:r>
        <w:t xml:space="preserve"> </w:t>
      </w:r>
      <w:r w:rsidRPr="00276C4B">
        <w:t>65+ items 1 to 12 and H</w:t>
      </w:r>
      <w:r>
        <w:t>oNOSCA items 1</w:t>
      </w:r>
      <w:r w:rsidR="008E65E1">
        <w:t> </w:t>
      </w:r>
      <w:r>
        <w:t>to</w:t>
      </w:r>
      <w:r w:rsidR="008E65E1">
        <w:t> </w:t>
      </w:r>
      <w:r>
        <w:t xml:space="preserve">13. </w:t>
      </w:r>
    </w:p>
    <w:p w:rsidR="00154D81" w:rsidRDefault="00154D81" w:rsidP="00154D81">
      <w:r w:rsidRPr="00204DD8">
        <w:t>To calculate HoNOS complexity, the consumer’s item ratings are individually weighted, then added together, and the resulting weighted total is rescaled. The rescaled weighted total of the item ratings is compared against a threshold, with any value greater than or equal to the threshold classified as high complexity and any value less than the threshold classified as moderate complexity.</w:t>
      </w:r>
    </w:p>
    <w:p w:rsidR="00154D81" w:rsidRPr="00204DD8" w:rsidRDefault="00154D81" w:rsidP="00154D81">
      <w:r w:rsidRPr="00276C4B">
        <w:t xml:space="preserve">The weights </w:t>
      </w:r>
      <w:r>
        <w:t xml:space="preserve">applied to individual item ratings </w:t>
      </w:r>
      <w:r w:rsidRPr="00276C4B">
        <w:t xml:space="preserve">control the relative contribution of </w:t>
      </w:r>
      <w:r>
        <w:t xml:space="preserve">the </w:t>
      </w:r>
      <w:r w:rsidRPr="00276C4B">
        <w:t xml:space="preserve">ratings towards the measurement of </w:t>
      </w:r>
      <w:r>
        <w:t xml:space="preserve">HoNOS </w:t>
      </w:r>
      <w:r w:rsidRPr="005C3583">
        <w:t xml:space="preserve">complexity. </w:t>
      </w:r>
      <w:r w:rsidRPr="00204DD8">
        <w:t>Specifically, items with relatively high weight have a greater influence on HoNOS complexity compared to items with relatively low weight.</w:t>
      </w:r>
    </w:p>
    <w:p w:rsidR="00154D81" w:rsidRDefault="00154D81" w:rsidP="00154D81">
      <w:r w:rsidRPr="00204DD8">
        <w:t>The rescaling factor applied to the weighted total of the item ratings ensures consistency in HoNOS complexity measurement across the branches of the classification, with all rescaled weighted totals ranging between 0 and 48 for HoNOS and HoNOS 65+ branches, and ranging between 0 and 52 for HoNOSCA branches. Note that these ranges align with the ranges of unweighted item totals.</w:t>
      </w:r>
    </w:p>
    <w:p w:rsidR="00154D81" w:rsidRDefault="00154D81" w:rsidP="00154D81">
      <w:r>
        <w:t xml:space="preserve">Finally, </w:t>
      </w:r>
      <w:r w:rsidRPr="00276C4B">
        <w:t>the threshold set</w:t>
      </w:r>
      <w:r>
        <w:t>s</w:t>
      </w:r>
      <w:r w:rsidRPr="00276C4B">
        <w:t xml:space="preserve"> the level at which high complexity is defined for each setting, mental health phase of care and age group.</w:t>
      </w:r>
    </w:p>
    <w:p w:rsidR="00154D81" w:rsidRDefault="00154D81" w:rsidP="00154D81">
      <w:r w:rsidRPr="00276C4B">
        <w:t xml:space="preserve">For the purposes of the AMHCC Version 1.0, </w:t>
      </w:r>
      <w:r>
        <w:t>the HoNOS complexity item weights, rescaling factors and thresholds vary across the branches of the classification, and their values are specified in Table 1.</w:t>
      </w:r>
    </w:p>
    <w:p w:rsidR="00154D81" w:rsidRPr="00204DD8" w:rsidRDefault="00154D81" w:rsidP="00154D81">
      <w:r>
        <w:t xml:space="preserve">An example illustrating how HoNOS complexity is calculated in AMHCC Version 1.0 is at </w:t>
      </w:r>
      <w:r w:rsidRPr="00204DD8">
        <w:t>Appendix 3.</w:t>
      </w:r>
    </w:p>
    <w:p w:rsidR="00154D81" w:rsidRPr="00276C4B" w:rsidRDefault="00154D81" w:rsidP="00154D81">
      <w:r w:rsidRPr="00204DD8">
        <w:t>LSP complexity is derived in a similar way to HoNOS complexity; however, there is no weighting of individual item ratings and consequently no rescaling factor. Table 1 contains the LSP thresholds used to determine LSP complexity splits.</w:t>
      </w:r>
    </w:p>
    <w:p w:rsidR="00154D81" w:rsidRDefault="00154D81" w:rsidP="00154D81">
      <w:r w:rsidRPr="00276C4B">
        <w:t xml:space="preserve">The item weights and score thresholds used to assign HoNOS complexity and LSP complexity were derived from </w:t>
      </w:r>
      <w:r>
        <w:t xml:space="preserve">the </w:t>
      </w:r>
      <w:r w:rsidRPr="00276C4B">
        <w:t xml:space="preserve">mental health costing study. </w:t>
      </w:r>
    </w:p>
    <w:p w:rsidR="00154D81" w:rsidRDefault="00154D81" w:rsidP="00154D81">
      <w:r w:rsidRPr="00276C4B">
        <w:t>Comparative testing of weighted and unweighted HoNOS (including HoNOSCA and HoNOS</w:t>
      </w:r>
      <w:r w:rsidR="00831DD6">
        <w:t> </w:t>
      </w:r>
      <w:r w:rsidRPr="00276C4B">
        <w:t>65+) scales revealed that weighting of the HoNOS scales made an evident improvement on the classification’s performance overall and also showed sensible results when evaluated at the level of age group within each mental health phase of</w:t>
      </w:r>
      <w:r>
        <w:t xml:space="preserve"> care. </w:t>
      </w:r>
    </w:p>
    <w:p w:rsidR="00154D81" w:rsidRPr="00276C4B" w:rsidRDefault="00154D81" w:rsidP="00154D81">
      <w:pPr>
        <w:keepLines/>
      </w:pPr>
      <w:r w:rsidRPr="00276C4B">
        <w:lastRenderedPageBreak/>
        <w:t>Differences in the structure of the classification (e.g. other classification variables used above or below each complexity split), together with differences in item weights and trends exhibited within the mental health costing study data, are all factors that contributed to the variation of complexity thresholds by setting, mental health phase of care and age gro</w:t>
      </w:r>
      <w:r>
        <w:t>up.</w:t>
      </w:r>
    </w:p>
    <w:p w:rsidR="00154D81" w:rsidRDefault="00154D81" w:rsidP="00154D81">
      <w:r>
        <w:t xml:space="preserve">It is important to note that as a result of the small sample size in the </w:t>
      </w:r>
      <w:r w:rsidRPr="00645E4F">
        <w:t>m</w:t>
      </w:r>
      <w:r w:rsidRPr="00E80CD5">
        <w:t>ental health costing study</w:t>
      </w:r>
      <w:r>
        <w:t xml:space="preserve"> for the 0-17 year old age group, it was not possible to derive accurate HoNOSCA weights. Consequently, all HoNOSCA items receive equal weighting.</w:t>
      </w:r>
    </w:p>
    <w:p w:rsidR="00154D81" w:rsidRDefault="00154D81" w:rsidP="00154D81">
      <w:pPr>
        <w:sectPr w:rsidR="00154D81" w:rsidSect="00A85487">
          <w:pgSz w:w="11906" w:h="16838" w:code="9"/>
          <w:pgMar w:top="2041" w:right="1440" w:bottom="1021" w:left="1021" w:header="680" w:footer="510" w:gutter="0"/>
          <w:pgNumType w:start="1"/>
          <w:cols w:space="708"/>
          <w:docGrid w:linePitch="360"/>
        </w:sectPr>
      </w:pPr>
    </w:p>
    <w:p w:rsidR="00154D81" w:rsidRDefault="00154D81" w:rsidP="00154D81">
      <w:pPr>
        <w:spacing w:after="0" w:line="240" w:lineRule="auto"/>
      </w:pPr>
    </w:p>
    <w:p w:rsidR="00154D81" w:rsidRDefault="00154D81" w:rsidP="006664EF">
      <w:pPr>
        <w:spacing w:before="0" w:after="0" w:line="240" w:lineRule="auto"/>
      </w:pPr>
    </w:p>
    <w:p w:rsidR="00154D81" w:rsidRPr="009A67BB" w:rsidRDefault="00154D81" w:rsidP="006664EF">
      <w:pPr>
        <w:spacing w:after="0" w:line="240" w:lineRule="auto"/>
        <w:rPr>
          <w:b/>
          <w:i/>
        </w:rPr>
      </w:pPr>
      <w:r w:rsidRPr="009A67BB">
        <w:rPr>
          <w:b/>
          <w:i/>
        </w:rPr>
        <w:t xml:space="preserve">Table 1 – Weighting of </w:t>
      </w:r>
      <w:r w:rsidRPr="009A67BB">
        <w:rPr>
          <w:rFonts w:cstheme="minorHAnsi"/>
          <w:b/>
          <w:i/>
        </w:rPr>
        <w:t>HoNOS, HoNOSCA and HoNOS 65+ scores for AMHCC Version 1.0</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eighting of HoNOS"/>
        <w:tblDescription w:val="Provides weighting, rescaling factors and thresholds used for each setting, phase and age group."/>
      </w:tblPr>
      <w:tblGrid>
        <w:gridCol w:w="1275"/>
        <w:gridCol w:w="1419"/>
        <w:gridCol w:w="891"/>
        <w:gridCol w:w="567"/>
        <w:gridCol w:w="567"/>
        <w:gridCol w:w="567"/>
        <w:gridCol w:w="567"/>
        <w:gridCol w:w="567"/>
        <w:gridCol w:w="567"/>
        <w:gridCol w:w="567"/>
        <w:gridCol w:w="567"/>
        <w:gridCol w:w="567"/>
        <w:gridCol w:w="567"/>
        <w:gridCol w:w="567"/>
        <w:gridCol w:w="567"/>
        <w:gridCol w:w="526"/>
        <w:gridCol w:w="1134"/>
        <w:gridCol w:w="1134"/>
        <w:gridCol w:w="992"/>
      </w:tblGrid>
      <w:tr w:rsidR="00154D81" w:rsidRPr="00A262E5" w:rsidTr="00154D81">
        <w:trPr>
          <w:trHeight w:val="300"/>
        </w:trPr>
        <w:tc>
          <w:tcPr>
            <w:tcW w:w="1275" w:type="dxa"/>
            <w:vMerge w:val="restart"/>
            <w:shd w:val="clear" w:color="auto" w:fill="006D00" w:themeFill="accent1" w:themeFillTint="E6"/>
            <w:noWrap/>
            <w:vAlign w:val="center"/>
            <w:hideMark/>
          </w:tcPr>
          <w:p w:rsidR="00154D81" w:rsidRPr="00F317C8" w:rsidRDefault="00154D81" w:rsidP="006664EF">
            <w:pPr>
              <w:spacing w:before="0" w:after="0" w:line="240" w:lineRule="auto"/>
              <w:jc w:val="center"/>
              <w:rPr>
                <w:b/>
                <w:color w:val="FFFFFF" w:themeColor="background1"/>
                <w:sz w:val="20"/>
              </w:rPr>
            </w:pPr>
            <w:r w:rsidRPr="00F317C8">
              <w:rPr>
                <w:rFonts w:cstheme="minorHAnsi"/>
                <w:b/>
                <w:color w:val="FFFFFF" w:themeColor="background1"/>
                <w:sz w:val="20"/>
                <w:szCs w:val="20"/>
              </w:rPr>
              <w:t>Setting</w:t>
            </w:r>
          </w:p>
        </w:tc>
        <w:tc>
          <w:tcPr>
            <w:tcW w:w="1419" w:type="dxa"/>
            <w:vMerge w:val="restart"/>
            <w:shd w:val="clear" w:color="auto" w:fill="006D00" w:themeFill="accent1" w:themeFillTint="E6"/>
            <w:noWrap/>
            <w:vAlign w:val="center"/>
            <w:hideMark/>
          </w:tcPr>
          <w:p w:rsidR="00154D81" w:rsidRPr="00F317C8" w:rsidRDefault="00154D81" w:rsidP="006664EF">
            <w:pPr>
              <w:spacing w:before="0" w:after="0" w:line="240" w:lineRule="auto"/>
              <w:jc w:val="center"/>
              <w:rPr>
                <w:rFonts w:cstheme="minorHAnsi"/>
                <w:b/>
                <w:color w:val="FFFFFF" w:themeColor="background1"/>
                <w:sz w:val="20"/>
                <w:szCs w:val="20"/>
              </w:rPr>
            </w:pPr>
            <w:r w:rsidRPr="00F317C8">
              <w:rPr>
                <w:rFonts w:cstheme="minorHAnsi"/>
                <w:b/>
                <w:color w:val="FFFFFF" w:themeColor="background1"/>
                <w:sz w:val="20"/>
                <w:szCs w:val="20"/>
              </w:rPr>
              <w:t>Phase</w:t>
            </w:r>
          </w:p>
        </w:tc>
        <w:tc>
          <w:tcPr>
            <w:tcW w:w="891" w:type="dxa"/>
            <w:vMerge w:val="restart"/>
            <w:shd w:val="clear" w:color="auto" w:fill="006D00" w:themeFill="accent1" w:themeFillTint="E6"/>
            <w:noWrap/>
            <w:vAlign w:val="center"/>
            <w:hideMark/>
          </w:tcPr>
          <w:p w:rsidR="00154D81" w:rsidRPr="00F317C8" w:rsidRDefault="00154D81" w:rsidP="006664EF">
            <w:pPr>
              <w:spacing w:before="0" w:after="0" w:line="240" w:lineRule="auto"/>
              <w:jc w:val="center"/>
              <w:rPr>
                <w:rFonts w:cstheme="minorHAnsi"/>
                <w:b/>
                <w:color w:val="FFFFFF" w:themeColor="background1"/>
                <w:sz w:val="20"/>
                <w:szCs w:val="20"/>
              </w:rPr>
            </w:pPr>
            <w:r w:rsidRPr="00F317C8">
              <w:rPr>
                <w:rFonts w:cstheme="minorHAnsi"/>
                <w:b/>
                <w:color w:val="FFFFFF" w:themeColor="background1"/>
                <w:sz w:val="20"/>
                <w:szCs w:val="20"/>
              </w:rPr>
              <w:t>Age group</w:t>
            </w:r>
          </w:p>
        </w:tc>
        <w:tc>
          <w:tcPr>
            <w:tcW w:w="7330" w:type="dxa"/>
            <w:gridSpan w:val="13"/>
            <w:shd w:val="clear" w:color="auto" w:fill="006D00" w:themeFill="accent1" w:themeFillTint="E6"/>
            <w:noWrap/>
            <w:vAlign w:val="center"/>
            <w:hideMark/>
          </w:tcPr>
          <w:p w:rsidR="00154D81" w:rsidRPr="00F317C8" w:rsidRDefault="00154D81" w:rsidP="006664EF">
            <w:pPr>
              <w:spacing w:before="0" w:after="0" w:line="240" w:lineRule="auto"/>
              <w:jc w:val="center"/>
              <w:rPr>
                <w:b/>
                <w:color w:val="FFFFFF" w:themeColor="background1"/>
                <w:sz w:val="20"/>
              </w:rPr>
            </w:pPr>
            <w:r w:rsidRPr="00F317C8">
              <w:rPr>
                <w:b/>
                <w:color w:val="FFFFFF" w:themeColor="background1"/>
                <w:sz w:val="20"/>
              </w:rPr>
              <w:t xml:space="preserve">HoNOS </w:t>
            </w:r>
            <w:r w:rsidRPr="00F317C8">
              <w:rPr>
                <w:rFonts w:cstheme="minorHAnsi"/>
                <w:b/>
                <w:color w:val="FFFFFF" w:themeColor="background1"/>
                <w:sz w:val="20"/>
                <w:szCs w:val="20"/>
              </w:rPr>
              <w:t>weights</w:t>
            </w:r>
          </w:p>
        </w:tc>
        <w:tc>
          <w:tcPr>
            <w:tcW w:w="1134" w:type="dxa"/>
            <w:vMerge w:val="restart"/>
            <w:shd w:val="clear" w:color="auto" w:fill="006D00" w:themeFill="accent1" w:themeFillTint="E6"/>
            <w:noWrap/>
            <w:vAlign w:val="center"/>
            <w:hideMark/>
          </w:tcPr>
          <w:p w:rsidR="00154D81" w:rsidRPr="00F317C8" w:rsidRDefault="00154D81" w:rsidP="006664EF">
            <w:pPr>
              <w:spacing w:before="0" w:after="0" w:line="240" w:lineRule="auto"/>
              <w:jc w:val="center"/>
              <w:rPr>
                <w:rFonts w:cstheme="minorHAnsi"/>
                <w:b/>
                <w:color w:val="FFFFFF" w:themeColor="background1"/>
                <w:sz w:val="20"/>
                <w:szCs w:val="20"/>
              </w:rPr>
            </w:pPr>
            <w:r w:rsidRPr="00F317C8">
              <w:rPr>
                <w:rFonts w:cstheme="minorHAnsi"/>
                <w:b/>
                <w:color w:val="FFFFFF" w:themeColor="background1"/>
                <w:sz w:val="20"/>
                <w:szCs w:val="20"/>
              </w:rPr>
              <w:t>Weighted HoNOS rescaling factor</w:t>
            </w:r>
          </w:p>
        </w:tc>
        <w:tc>
          <w:tcPr>
            <w:tcW w:w="1134" w:type="dxa"/>
            <w:vMerge w:val="restart"/>
            <w:shd w:val="clear" w:color="auto" w:fill="006D00" w:themeFill="accent1" w:themeFillTint="E6"/>
          </w:tcPr>
          <w:p w:rsidR="00154D81" w:rsidRPr="00F317C8" w:rsidRDefault="00154D81" w:rsidP="006664EF">
            <w:pPr>
              <w:spacing w:before="0" w:after="0" w:line="240" w:lineRule="auto"/>
              <w:jc w:val="center"/>
              <w:rPr>
                <w:rFonts w:cstheme="minorHAnsi"/>
                <w:b/>
                <w:color w:val="FFFFFF" w:themeColor="background1"/>
                <w:sz w:val="20"/>
                <w:szCs w:val="20"/>
              </w:rPr>
            </w:pPr>
            <w:r w:rsidRPr="00F317C8">
              <w:rPr>
                <w:rFonts w:cstheme="minorHAnsi"/>
                <w:b/>
                <w:color w:val="FFFFFF" w:themeColor="background1"/>
                <w:sz w:val="20"/>
                <w:szCs w:val="20"/>
              </w:rPr>
              <w:t>Weighted HoNOS threshold</w:t>
            </w:r>
          </w:p>
        </w:tc>
        <w:tc>
          <w:tcPr>
            <w:tcW w:w="992" w:type="dxa"/>
            <w:vMerge w:val="restart"/>
            <w:shd w:val="clear" w:color="auto" w:fill="006D00" w:themeFill="accent1" w:themeFillTint="E6"/>
          </w:tcPr>
          <w:p w:rsidR="00154D81" w:rsidRPr="00F317C8" w:rsidRDefault="00154D81" w:rsidP="006664EF">
            <w:pPr>
              <w:spacing w:before="0" w:after="0" w:line="240" w:lineRule="auto"/>
              <w:ind w:left="-108" w:right="-108"/>
              <w:jc w:val="center"/>
              <w:rPr>
                <w:rFonts w:cstheme="minorHAnsi"/>
                <w:b/>
                <w:color w:val="FFFFFF" w:themeColor="background1"/>
                <w:sz w:val="20"/>
                <w:szCs w:val="20"/>
              </w:rPr>
            </w:pPr>
            <w:r w:rsidRPr="00F317C8">
              <w:rPr>
                <w:rFonts w:cstheme="minorHAnsi"/>
                <w:b/>
                <w:color w:val="FFFFFF" w:themeColor="background1"/>
                <w:sz w:val="20"/>
                <w:szCs w:val="20"/>
              </w:rPr>
              <w:t>LSP threshold</w:t>
            </w:r>
          </w:p>
        </w:tc>
      </w:tr>
      <w:tr w:rsidR="00154D81" w:rsidRPr="00A262E5" w:rsidTr="00154D81">
        <w:trPr>
          <w:trHeight w:val="20"/>
        </w:trPr>
        <w:tc>
          <w:tcPr>
            <w:tcW w:w="1275" w:type="dxa"/>
            <w:vMerge/>
            <w:shd w:val="clear" w:color="auto" w:fill="006D00" w:themeFill="accent1" w:themeFillTint="E6"/>
            <w:vAlign w:val="center"/>
            <w:hideMark/>
          </w:tcPr>
          <w:p w:rsidR="00154D81" w:rsidRPr="008F1C71" w:rsidRDefault="00154D81" w:rsidP="00154D81">
            <w:pPr>
              <w:spacing w:after="0" w:line="240" w:lineRule="auto"/>
              <w:jc w:val="center"/>
              <w:rPr>
                <w:b/>
                <w:sz w:val="20"/>
              </w:rPr>
            </w:pPr>
          </w:p>
        </w:tc>
        <w:tc>
          <w:tcPr>
            <w:tcW w:w="1419" w:type="dxa"/>
            <w:vMerge/>
            <w:shd w:val="clear" w:color="auto" w:fill="006D00" w:themeFill="accent1" w:themeFillTint="E6"/>
            <w:vAlign w:val="center"/>
            <w:hideMark/>
          </w:tcPr>
          <w:p w:rsidR="00154D81" w:rsidRPr="008F1C71" w:rsidRDefault="00154D81" w:rsidP="00154D81">
            <w:pPr>
              <w:spacing w:after="0" w:line="240" w:lineRule="auto"/>
              <w:jc w:val="center"/>
              <w:rPr>
                <w:b/>
                <w:sz w:val="20"/>
              </w:rPr>
            </w:pPr>
          </w:p>
        </w:tc>
        <w:tc>
          <w:tcPr>
            <w:tcW w:w="891" w:type="dxa"/>
            <w:vMerge/>
            <w:shd w:val="clear" w:color="auto" w:fill="006D00" w:themeFill="accent1" w:themeFillTint="E6"/>
            <w:vAlign w:val="center"/>
            <w:hideMark/>
          </w:tcPr>
          <w:p w:rsidR="00154D81" w:rsidRPr="008F1C71" w:rsidRDefault="00154D81" w:rsidP="00154D81">
            <w:pPr>
              <w:spacing w:after="0" w:line="240" w:lineRule="auto"/>
              <w:jc w:val="center"/>
              <w:rPr>
                <w:b/>
                <w:sz w:val="20"/>
              </w:rPr>
            </w:pPr>
          </w:p>
        </w:tc>
        <w:tc>
          <w:tcPr>
            <w:tcW w:w="567" w:type="dxa"/>
            <w:shd w:val="clear" w:color="auto" w:fill="006D00" w:themeFill="accent1" w:themeFillTint="E6"/>
            <w:vAlign w:val="center"/>
            <w:hideMark/>
          </w:tcPr>
          <w:p w:rsidR="00154D81" w:rsidRPr="00F317C8" w:rsidRDefault="00154D81" w:rsidP="008E65E1">
            <w:pPr>
              <w:spacing w:before="0" w:after="0" w:line="240" w:lineRule="auto"/>
              <w:jc w:val="center"/>
              <w:rPr>
                <w:rFonts w:cstheme="minorHAnsi"/>
                <w:b/>
                <w:color w:val="FFFFFF" w:themeColor="background1"/>
                <w:sz w:val="20"/>
                <w:szCs w:val="20"/>
              </w:rPr>
            </w:pPr>
            <w:r w:rsidRPr="00F317C8">
              <w:rPr>
                <w:rFonts w:cstheme="minorHAnsi"/>
                <w:b/>
                <w:color w:val="FFFFFF" w:themeColor="background1"/>
                <w:sz w:val="20"/>
                <w:szCs w:val="20"/>
              </w:rPr>
              <w:t>W1</w:t>
            </w:r>
          </w:p>
        </w:tc>
        <w:tc>
          <w:tcPr>
            <w:tcW w:w="567" w:type="dxa"/>
            <w:shd w:val="clear" w:color="auto" w:fill="006D00" w:themeFill="accent1" w:themeFillTint="E6"/>
            <w:vAlign w:val="center"/>
            <w:hideMark/>
          </w:tcPr>
          <w:p w:rsidR="00154D81" w:rsidRPr="00F317C8" w:rsidRDefault="00154D81" w:rsidP="008E65E1">
            <w:pPr>
              <w:spacing w:before="0" w:after="0" w:line="240" w:lineRule="auto"/>
              <w:jc w:val="center"/>
              <w:rPr>
                <w:rFonts w:cstheme="minorHAnsi"/>
                <w:b/>
                <w:color w:val="FFFFFF" w:themeColor="background1"/>
                <w:sz w:val="20"/>
                <w:szCs w:val="20"/>
              </w:rPr>
            </w:pPr>
            <w:r w:rsidRPr="00F317C8">
              <w:rPr>
                <w:rFonts w:cstheme="minorHAnsi"/>
                <w:b/>
                <w:color w:val="FFFFFF" w:themeColor="background1"/>
                <w:sz w:val="20"/>
                <w:szCs w:val="20"/>
              </w:rPr>
              <w:t>W2</w:t>
            </w:r>
          </w:p>
        </w:tc>
        <w:tc>
          <w:tcPr>
            <w:tcW w:w="567" w:type="dxa"/>
            <w:shd w:val="clear" w:color="auto" w:fill="006D00" w:themeFill="accent1" w:themeFillTint="E6"/>
            <w:vAlign w:val="center"/>
            <w:hideMark/>
          </w:tcPr>
          <w:p w:rsidR="00154D81" w:rsidRPr="00F317C8" w:rsidRDefault="00154D81" w:rsidP="008E65E1">
            <w:pPr>
              <w:spacing w:before="0" w:after="0" w:line="240" w:lineRule="auto"/>
              <w:jc w:val="center"/>
              <w:rPr>
                <w:rFonts w:cstheme="minorHAnsi"/>
                <w:b/>
                <w:color w:val="FFFFFF" w:themeColor="background1"/>
                <w:sz w:val="20"/>
                <w:szCs w:val="20"/>
              </w:rPr>
            </w:pPr>
            <w:r w:rsidRPr="00F317C8">
              <w:rPr>
                <w:rFonts w:cstheme="minorHAnsi"/>
                <w:b/>
                <w:color w:val="FFFFFF" w:themeColor="background1"/>
                <w:sz w:val="20"/>
                <w:szCs w:val="20"/>
              </w:rPr>
              <w:t>W3</w:t>
            </w:r>
          </w:p>
        </w:tc>
        <w:tc>
          <w:tcPr>
            <w:tcW w:w="567" w:type="dxa"/>
            <w:shd w:val="clear" w:color="auto" w:fill="006D00" w:themeFill="accent1" w:themeFillTint="E6"/>
            <w:vAlign w:val="center"/>
            <w:hideMark/>
          </w:tcPr>
          <w:p w:rsidR="00154D81" w:rsidRPr="00F317C8" w:rsidRDefault="00154D81" w:rsidP="008E65E1">
            <w:pPr>
              <w:spacing w:before="0" w:after="0" w:line="240" w:lineRule="auto"/>
              <w:jc w:val="center"/>
              <w:rPr>
                <w:rFonts w:cstheme="minorHAnsi"/>
                <w:b/>
                <w:color w:val="FFFFFF" w:themeColor="background1"/>
                <w:sz w:val="20"/>
                <w:szCs w:val="20"/>
              </w:rPr>
            </w:pPr>
            <w:r w:rsidRPr="00F317C8">
              <w:rPr>
                <w:rFonts w:cstheme="minorHAnsi"/>
                <w:b/>
                <w:color w:val="FFFFFF" w:themeColor="background1"/>
                <w:sz w:val="20"/>
                <w:szCs w:val="20"/>
              </w:rPr>
              <w:t>W4</w:t>
            </w:r>
          </w:p>
        </w:tc>
        <w:tc>
          <w:tcPr>
            <w:tcW w:w="567" w:type="dxa"/>
            <w:shd w:val="clear" w:color="auto" w:fill="006D00" w:themeFill="accent1" w:themeFillTint="E6"/>
            <w:vAlign w:val="center"/>
            <w:hideMark/>
          </w:tcPr>
          <w:p w:rsidR="00154D81" w:rsidRPr="00F317C8" w:rsidRDefault="00154D81" w:rsidP="008E65E1">
            <w:pPr>
              <w:spacing w:before="0" w:after="0" w:line="240" w:lineRule="auto"/>
              <w:jc w:val="center"/>
              <w:rPr>
                <w:rFonts w:cstheme="minorHAnsi"/>
                <w:b/>
                <w:color w:val="FFFFFF" w:themeColor="background1"/>
                <w:sz w:val="20"/>
                <w:szCs w:val="20"/>
              </w:rPr>
            </w:pPr>
            <w:r w:rsidRPr="00F317C8">
              <w:rPr>
                <w:rFonts w:cstheme="minorHAnsi"/>
                <w:b/>
                <w:color w:val="FFFFFF" w:themeColor="background1"/>
                <w:sz w:val="20"/>
                <w:szCs w:val="20"/>
              </w:rPr>
              <w:t>W5</w:t>
            </w:r>
          </w:p>
        </w:tc>
        <w:tc>
          <w:tcPr>
            <w:tcW w:w="567" w:type="dxa"/>
            <w:shd w:val="clear" w:color="auto" w:fill="006D00" w:themeFill="accent1" w:themeFillTint="E6"/>
            <w:vAlign w:val="center"/>
            <w:hideMark/>
          </w:tcPr>
          <w:p w:rsidR="00154D81" w:rsidRPr="00F317C8" w:rsidRDefault="00154D81" w:rsidP="008E65E1">
            <w:pPr>
              <w:spacing w:before="0" w:after="0" w:line="240" w:lineRule="auto"/>
              <w:jc w:val="center"/>
              <w:rPr>
                <w:rFonts w:cstheme="minorHAnsi"/>
                <w:b/>
                <w:color w:val="FFFFFF" w:themeColor="background1"/>
                <w:sz w:val="20"/>
                <w:szCs w:val="20"/>
              </w:rPr>
            </w:pPr>
            <w:r w:rsidRPr="00F317C8">
              <w:rPr>
                <w:rFonts w:cstheme="minorHAnsi"/>
                <w:b/>
                <w:color w:val="FFFFFF" w:themeColor="background1"/>
                <w:sz w:val="20"/>
                <w:szCs w:val="20"/>
              </w:rPr>
              <w:t>W6</w:t>
            </w:r>
          </w:p>
        </w:tc>
        <w:tc>
          <w:tcPr>
            <w:tcW w:w="567" w:type="dxa"/>
            <w:shd w:val="clear" w:color="auto" w:fill="006D00" w:themeFill="accent1" w:themeFillTint="E6"/>
            <w:vAlign w:val="center"/>
            <w:hideMark/>
          </w:tcPr>
          <w:p w:rsidR="00154D81" w:rsidRPr="00F317C8" w:rsidRDefault="00154D81" w:rsidP="008E65E1">
            <w:pPr>
              <w:spacing w:before="0" w:after="0" w:line="240" w:lineRule="auto"/>
              <w:jc w:val="center"/>
              <w:rPr>
                <w:rFonts w:cstheme="minorHAnsi"/>
                <w:b/>
                <w:color w:val="FFFFFF" w:themeColor="background1"/>
                <w:sz w:val="20"/>
                <w:szCs w:val="20"/>
              </w:rPr>
            </w:pPr>
            <w:r w:rsidRPr="00F317C8">
              <w:rPr>
                <w:rFonts w:cstheme="minorHAnsi"/>
                <w:b/>
                <w:color w:val="FFFFFF" w:themeColor="background1"/>
                <w:sz w:val="20"/>
                <w:szCs w:val="20"/>
              </w:rPr>
              <w:t>W7</w:t>
            </w:r>
          </w:p>
        </w:tc>
        <w:tc>
          <w:tcPr>
            <w:tcW w:w="567" w:type="dxa"/>
            <w:shd w:val="clear" w:color="auto" w:fill="006D00" w:themeFill="accent1" w:themeFillTint="E6"/>
            <w:vAlign w:val="center"/>
            <w:hideMark/>
          </w:tcPr>
          <w:p w:rsidR="00154D81" w:rsidRPr="00F317C8" w:rsidRDefault="00154D81" w:rsidP="008E65E1">
            <w:pPr>
              <w:spacing w:before="0" w:after="0" w:line="240" w:lineRule="auto"/>
              <w:jc w:val="center"/>
              <w:rPr>
                <w:rFonts w:cstheme="minorHAnsi"/>
                <w:b/>
                <w:color w:val="FFFFFF" w:themeColor="background1"/>
                <w:sz w:val="20"/>
                <w:szCs w:val="20"/>
              </w:rPr>
            </w:pPr>
            <w:r w:rsidRPr="00F317C8">
              <w:rPr>
                <w:rFonts w:cstheme="minorHAnsi"/>
                <w:b/>
                <w:color w:val="FFFFFF" w:themeColor="background1"/>
                <w:sz w:val="20"/>
                <w:szCs w:val="20"/>
              </w:rPr>
              <w:t>W8</w:t>
            </w:r>
          </w:p>
        </w:tc>
        <w:tc>
          <w:tcPr>
            <w:tcW w:w="567" w:type="dxa"/>
            <w:shd w:val="clear" w:color="auto" w:fill="006D00" w:themeFill="accent1" w:themeFillTint="E6"/>
            <w:vAlign w:val="center"/>
            <w:hideMark/>
          </w:tcPr>
          <w:p w:rsidR="00154D81" w:rsidRPr="00F317C8" w:rsidRDefault="00154D81" w:rsidP="008E65E1">
            <w:pPr>
              <w:spacing w:before="0" w:after="0" w:line="240" w:lineRule="auto"/>
              <w:jc w:val="center"/>
              <w:rPr>
                <w:rFonts w:cstheme="minorHAnsi"/>
                <w:b/>
                <w:color w:val="FFFFFF" w:themeColor="background1"/>
                <w:sz w:val="20"/>
                <w:szCs w:val="20"/>
              </w:rPr>
            </w:pPr>
            <w:r w:rsidRPr="00F317C8">
              <w:rPr>
                <w:rFonts w:cstheme="minorHAnsi"/>
                <w:b/>
                <w:color w:val="FFFFFF" w:themeColor="background1"/>
                <w:sz w:val="20"/>
                <w:szCs w:val="20"/>
              </w:rPr>
              <w:t>W9</w:t>
            </w:r>
          </w:p>
        </w:tc>
        <w:tc>
          <w:tcPr>
            <w:tcW w:w="567" w:type="dxa"/>
            <w:shd w:val="clear" w:color="auto" w:fill="006D00" w:themeFill="accent1" w:themeFillTint="E6"/>
            <w:vAlign w:val="center"/>
            <w:hideMark/>
          </w:tcPr>
          <w:p w:rsidR="00154D81" w:rsidRPr="00F317C8" w:rsidRDefault="00154D81" w:rsidP="008E65E1">
            <w:pPr>
              <w:spacing w:before="0" w:after="0" w:line="240" w:lineRule="auto"/>
              <w:ind w:left="-149" w:right="-209"/>
              <w:jc w:val="center"/>
              <w:rPr>
                <w:rFonts w:cstheme="minorHAnsi"/>
                <w:b/>
                <w:color w:val="FFFFFF" w:themeColor="background1"/>
                <w:sz w:val="20"/>
                <w:szCs w:val="20"/>
              </w:rPr>
            </w:pPr>
            <w:r w:rsidRPr="00F317C8">
              <w:rPr>
                <w:rFonts w:cstheme="minorHAnsi"/>
                <w:b/>
                <w:color w:val="FFFFFF" w:themeColor="background1"/>
                <w:sz w:val="20"/>
                <w:szCs w:val="20"/>
              </w:rPr>
              <w:t>W10</w:t>
            </w:r>
          </w:p>
        </w:tc>
        <w:tc>
          <w:tcPr>
            <w:tcW w:w="567" w:type="dxa"/>
            <w:shd w:val="clear" w:color="auto" w:fill="006D00" w:themeFill="accent1" w:themeFillTint="E6"/>
            <w:vAlign w:val="center"/>
            <w:hideMark/>
          </w:tcPr>
          <w:p w:rsidR="00154D81" w:rsidRPr="00F317C8" w:rsidRDefault="00154D81" w:rsidP="008E65E1">
            <w:pPr>
              <w:spacing w:before="0" w:after="0" w:line="240" w:lineRule="auto"/>
              <w:ind w:left="-149" w:right="-209"/>
              <w:jc w:val="center"/>
              <w:rPr>
                <w:rFonts w:cstheme="minorHAnsi"/>
                <w:b/>
                <w:color w:val="FFFFFF" w:themeColor="background1"/>
                <w:sz w:val="20"/>
                <w:szCs w:val="20"/>
              </w:rPr>
            </w:pPr>
            <w:r w:rsidRPr="00F317C8">
              <w:rPr>
                <w:rFonts w:cstheme="minorHAnsi"/>
                <w:b/>
                <w:color w:val="FFFFFF" w:themeColor="background1"/>
                <w:sz w:val="20"/>
                <w:szCs w:val="20"/>
              </w:rPr>
              <w:t>W11</w:t>
            </w:r>
          </w:p>
        </w:tc>
        <w:tc>
          <w:tcPr>
            <w:tcW w:w="567" w:type="dxa"/>
            <w:shd w:val="clear" w:color="auto" w:fill="006D00" w:themeFill="accent1" w:themeFillTint="E6"/>
            <w:vAlign w:val="center"/>
            <w:hideMark/>
          </w:tcPr>
          <w:p w:rsidR="00154D81" w:rsidRPr="00F317C8" w:rsidRDefault="00154D81" w:rsidP="008E65E1">
            <w:pPr>
              <w:spacing w:before="0" w:after="0" w:line="240" w:lineRule="auto"/>
              <w:ind w:left="-149" w:right="-209"/>
              <w:jc w:val="center"/>
              <w:rPr>
                <w:rFonts w:cstheme="minorHAnsi"/>
                <w:b/>
                <w:color w:val="FFFFFF" w:themeColor="background1"/>
                <w:sz w:val="20"/>
                <w:szCs w:val="20"/>
              </w:rPr>
            </w:pPr>
            <w:r w:rsidRPr="00F317C8">
              <w:rPr>
                <w:rFonts w:cstheme="minorHAnsi"/>
                <w:b/>
                <w:color w:val="FFFFFF" w:themeColor="background1"/>
                <w:sz w:val="20"/>
                <w:szCs w:val="20"/>
              </w:rPr>
              <w:t>W12</w:t>
            </w:r>
          </w:p>
        </w:tc>
        <w:tc>
          <w:tcPr>
            <w:tcW w:w="526" w:type="dxa"/>
            <w:shd w:val="clear" w:color="auto" w:fill="006D00" w:themeFill="accent1" w:themeFillTint="E6"/>
            <w:vAlign w:val="center"/>
            <w:hideMark/>
          </w:tcPr>
          <w:p w:rsidR="00154D81" w:rsidRPr="00F317C8" w:rsidRDefault="00154D81" w:rsidP="008E65E1">
            <w:pPr>
              <w:spacing w:before="0" w:after="0" w:line="240" w:lineRule="auto"/>
              <w:ind w:left="-149" w:right="-209"/>
              <w:jc w:val="center"/>
              <w:rPr>
                <w:rFonts w:cstheme="minorHAnsi"/>
                <w:b/>
                <w:color w:val="FFFFFF" w:themeColor="background1"/>
                <w:sz w:val="20"/>
                <w:szCs w:val="20"/>
              </w:rPr>
            </w:pPr>
            <w:r w:rsidRPr="00F317C8">
              <w:rPr>
                <w:rFonts w:cstheme="minorHAnsi"/>
                <w:b/>
                <w:color w:val="FFFFFF" w:themeColor="background1"/>
                <w:sz w:val="20"/>
                <w:szCs w:val="20"/>
              </w:rPr>
              <w:t>W13</w:t>
            </w:r>
          </w:p>
        </w:tc>
        <w:tc>
          <w:tcPr>
            <w:tcW w:w="1134" w:type="dxa"/>
            <w:vMerge/>
            <w:shd w:val="clear" w:color="auto" w:fill="006D00" w:themeFill="accent1" w:themeFillTint="E6"/>
            <w:vAlign w:val="center"/>
            <w:hideMark/>
          </w:tcPr>
          <w:p w:rsidR="00154D81" w:rsidRPr="00A7371A" w:rsidRDefault="00154D81" w:rsidP="00154D81">
            <w:pPr>
              <w:spacing w:after="0" w:line="240" w:lineRule="auto"/>
              <w:jc w:val="center"/>
              <w:rPr>
                <w:rFonts w:cstheme="minorHAnsi"/>
                <w:b/>
                <w:sz w:val="20"/>
                <w:szCs w:val="20"/>
              </w:rPr>
            </w:pPr>
          </w:p>
        </w:tc>
        <w:tc>
          <w:tcPr>
            <w:tcW w:w="1134" w:type="dxa"/>
            <w:vMerge/>
            <w:shd w:val="clear" w:color="auto" w:fill="006D00" w:themeFill="accent1" w:themeFillTint="E6"/>
          </w:tcPr>
          <w:p w:rsidR="00154D81" w:rsidRPr="00A7371A" w:rsidRDefault="00154D81" w:rsidP="00154D81">
            <w:pPr>
              <w:spacing w:after="0" w:line="240" w:lineRule="auto"/>
              <w:jc w:val="center"/>
              <w:rPr>
                <w:rFonts w:cstheme="minorHAnsi"/>
                <w:b/>
                <w:sz w:val="20"/>
                <w:szCs w:val="20"/>
              </w:rPr>
            </w:pPr>
          </w:p>
        </w:tc>
        <w:tc>
          <w:tcPr>
            <w:tcW w:w="992" w:type="dxa"/>
            <w:vMerge/>
            <w:shd w:val="clear" w:color="auto" w:fill="006D00" w:themeFill="accent1" w:themeFillTint="E6"/>
          </w:tcPr>
          <w:p w:rsidR="00154D81" w:rsidRPr="00A7371A" w:rsidRDefault="00154D81" w:rsidP="00154D81">
            <w:pPr>
              <w:spacing w:after="0" w:line="240" w:lineRule="auto"/>
              <w:jc w:val="center"/>
              <w:rPr>
                <w:rFonts w:cstheme="minorHAnsi"/>
                <w:b/>
                <w:sz w:val="20"/>
                <w:szCs w:val="20"/>
              </w:rPr>
            </w:pPr>
          </w:p>
        </w:tc>
      </w:tr>
      <w:tr w:rsidR="00154D81" w:rsidRPr="00A262E5" w:rsidTr="00154D81">
        <w:trPr>
          <w:trHeight w:val="300"/>
        </w:trPr>
        <w:tc>
          <w:tcPr>
            <w:tcW w:w="1275" w:type="dxa"/>
            <w:vMerge w:val="restart"/>
            <w:noWrap/>
            <w:vAlign w:val="center"/>
            <w:hideMark/>
          </w:tcPr>
          <w:p w:rsidR="00154D81" w:rsidRPr="00A7371A" w:rsidRDefault="00154D81" w:rsidP="006664EF">
            <w:pPr>
              <w:spacing w:before="0" w:after="0" w:line="240" w:lineRule="auto"/>
              <w:rPr>
                <w:rFonts w:cstheme="minorHAnsi"/>
                <w:color w:val="000000"/>
                <w:sz w:val="20"/>
                <w:szCs w:val="20"/>
              </w:rPr>
            </w:pPr>
            <w:r w:rsidRPr="00A7371A">
              <w:rPr>
                <w:rFonts w:cstheme="minorHAnsi"/>
                <w:color w:val="000000"/>
                <w:sz w:val="20"/>
                <w:szCs w:val="20"/>
              </w:rPr>
              <w:t>Admitted</w:t>
            </w:r>
          </w:p>
        </w:tc>
        <w:tc>
          <w:tcPr>
            <w:tcW w:w="1419" w:type="dxa"/>
            <w:vMerge w:val="restart"/>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Acute</w:t>
            </w:r>
          </w:p>
        </w:tc>
        <w:tc>
          <w:tcPr>
            <w:tcW w:w="891"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0-17</w:t>
            </w:r>
          </w:p>
        </w:tc>
        <w:tc>
          <w:tcPr>
            <w:tcW w:w="567" w:type="dxa"/>
            <w:shd w:val="clear" w:color="auto" w:fill="FFFFFF" w:themeFill="background1"/>
            <w:noWrap/>
            <w:vAlign w:val="center"/>
            <w:hideMark/>
          </w:tcPr>
          <w:p w:rsidR="00154D81" w:rsidRPr="008F1C71" w:rsidRDefault="00154D81" w:rsidP="006664EF">
            <w:pPr>
              <w:spacing w:before="0" w:after="0" w:line="240" w:lineRule="auto"/>
              <w:jc w:val="center"/>
              <w:rPr>
                <w:color w:val="000000"/>
                <w:sz w:val="20"/>
              </w:rPr>
            </w:pPr>
            <w:r w:rsidRPr="008F1C71">
              <w:rPr>
                <w:color w:val="000000"/>
                <w:sz w:val="20"/>
              </w:rPr>
              <w:t>1</w:t>
            </w:r>
          </w:p>
        </w:tc>
        <w:tc>
          <w:tcPr>
            <w:tcW w:w="567" w:type="dxa"/>
            <w:shd w:val="clear" w:color="auto" w:fill="FFFFFF" w:themeFill="background1"/>
            <w:noWrap/>
            <w:vAlign w:val="center"/>
            <w:hideMark/>
          </w:tcPr>
          <w:p w:rsidR="00154D81" w:rsidRPr="008F1C71" w:rsidRDefault="00154D81" w:rsidP="006664EF">
            <w:pPr>
              <w:spacing w:before="0" w:after="0" w:line="240" w:lineRule="auto"/>
              <w:jc w:val="center"/>
              <w:rPr>
                <w:color w:val="000000"/>
                <w:sz w:val="20"/>
              </w:rPr>
            </w:pPr>
            <w:r w:rsidRPr="008F1C71">
              <w:rPr>
                <w:color w:val="000000"/>
                <w:sz w:val="20"/>
              </w:rPr>
              <w:t>1</w:t>
            </w:r>
          </w:p>
        </w:tc>
        <w:tc>
          <w:tcPr>
            <w:tcW w:w="567" w:type="dxa"/>
            <w:shd w:val="clear" w:color="auto" w:fill="FFFFFF" w:themeFill="background1"/>
            <w:noWrap/>
            <w:vAlign w:val="center"/>
            <w:hideMark/>
          </w:tcPr>
          <w:p w:rsidR="00154D81" w:rsidRPr="008F1C71" w:rsidRDefault="00154D81" w:rsidP="006664EF">
            <w:pPr>
              <w:spacing w:before="0" w:after="0" w:line="240" w:lineRule="auto"/>
              <w:jc w:val="center"/>
              <w:rPr>
                <w:color w:val="000000"/>
                <w:sz w:val="20"/>
              </w:rPr>
            </w:pPr>
            <w:r w:rsidRPr="008F1C71">
              <w:rPr>
                <w:color w:val="000000"/>
                <w:sz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26"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1134"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1.0000</w:t>
            </w:r>
          </w:p>
        </w:tc>
        <w:tc>
          <w:tcPr>
            <w:tcW w:w="1134" w:type="dxa"/>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17</w:t>
            </w:r>
          </w:p>
        </w:tc>
        <w:tc>
          <w:tcPr>
            <w:tcW w:w="992" w:type="dxa"/>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891"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18-64</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0.4</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0.4</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26"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1.3043</w:t>
            </w:r>
          </w:p>
        </w:tc>
        <w:tc>
          <w:tcPr>
            <w:tcW w:w="1134"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14</w:t>
            </w:r>
          </w:p>
        </w:tc>
        <w:tc>
          <w:tcPr>
            <w:tcW w:w="992"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891"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65+</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26" w:type="dxa"/>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noWrap/>
            <w:vAlign w:val="center"/>
            <w:hideMark/>
          </w:tcPr>
          <w:p w:rsidR="00154D81" w:rsidRPr="00A7371A" w:rsidRDefault="00154D81" w:rsidP="006664EF">
            <w:pPr>
              <w:spacing w:before="0" w:after="0" w:line="240" w:lineRule="auto"/>
              <w:jc w:val="center"/>
            </w:pPr>
            <w:r w:rsidRPr="00A7371A">
              <w:rPr>
                <w:rFonts w:cstheme="minorHAnsi"/>
                <w:color w:val="000000"/>
                <w:sz w:val="20"/>
                <w:szCs w:val="20"/>
              </w:rPr>
              <w:t>1.0000</w:t>
            </w:r>
          </w:p>
        </w:tc>
        <w:tc>
          <w:tcPr>
            <w:tcW w:w="1134" w:type="dxa"/>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15</w:t>
            </w:r>
          </w:p>
        </w:tc>
        <w:tc>
          <w:tcPr>
            <w:tcW w:w="992" w:type="dxa"/>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val="restart"/>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Functional gain</w:t>
            </w:r>
          </w:p>
        </w:tc>
        <w:tc>
          <w:tcPr>
            <w:tcW w:w="891"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0-17</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26"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1134" w:type="dxa"/>
            <w:shd w:val="clear" w:color="auto" w:fill="D9D9D9" w:themeFill="background1" w:themeFillShade="D9"/>
            <w:noWrap/>
            <w:vAlign w:val="center"/>
            <w:hideMark/>
          </w:tcPr>
          <w:p w:rsidR="00154D81" w:rsidRPr="00A7371A" w:rsidRDefault="00154D81" w:rsidP="006664EF">
            <w:pPr>
              <w:spacing w:before="0" w:after="0" w:line="240" w:lineRule="auto"/>
              <w:jc w:val="center"/>
            </w:pPr>
            <w:r w:rsidRPr="00A7371A">
              <w:rPr>
                <w:rFonts w:cstheme="minorHAnsi"/>
                <w:color w:val="000000"/>
                <w:sz w:val="20"/>
                <w:szCs w:val="20"/>
              </w:rPr>
              <w:t>1.0000</w:t>
            </w:r>
          </w:p>
        </w:tc>
        <w:tc>
          <w:tcPr>
            <w:tcW w:w="1134"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12</w:t>
            </w:r>
          </w:p>
        </w:tc>
        <w:tc>
          <w:tcPr>
            <w:tcW w:w="992"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891"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18-64</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1.4</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1.4</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1.4</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1.4</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26" w:type="dxa"/>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1.0345</w:t>
            </w:r>
          </w:p>
        </w:tc>
        <w:tc>
          <w:tcPr>
            <w:tcW w:w="1134" w:type="dxa"/>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10</w:t>
            </w:r>
          </w:p>
        </w:tc>
        <w:tc>
          <w:tcPr>
            <w:tcW w:w="992" w:type="dxa"/>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891"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65+</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26"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shd w:val="clear" w:color="auto" w:fill="D9D9D9" w:themeFill="background1" w:themeFillShade="D9"/>
            <w:noWrap/>
            <w:vAlign w:val="center"/>
            <w:hideMark/>
          </w:tcPr>
          <w:p w:rsidR="00154D81" w:rsidRPr="00A7371A" w:rsidRDefault="00154D81" w:rsidP="006664EF">
            <w:pPr>
              <w:spacing w:before="0" w:after="0" w:line="240" w:lineRule="auto"/>
              <w:jc w:val="center"/>
            </w:pPr>
            <w:r w:rsidRPr="00A7371A">
              <w:rPr>
                <w:rFonts w:cstheme="minorHAnsi"/>
                <w:color w:val="000000"/>
                <w:sz w:val="20"/>
                <w:szCs w:val="20"/>
              </w:rPr>
              <w:t>1.0000</w:t>
            </w:r>
          </w:p>
        </w:tc>
        <w:tc>
          <w:tcPr>
            <w:tcW w:w="1134"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11</w:t>
            </w:r>
          </w:p>
        </w:tc>
        <w:tc>
          <w:tcPr>
            <w:tcW w:w="992"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val="restart"/>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Intensive extended</w:t>
            </w:r>
          </w:p>
        </w:tc>
        <w:tc>
          <w:tcPr>
            <w:tcW w:w="891"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0-17</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26"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1134" w:type="dxa"/>
            <w:noWrap/>
            <w:vAlign w:val="center"/>
            <w:hideMark/>
          </w:tcPr>
          <w:p w:rsidR="00154D81" w:rsidRPr="00A7371A" w:rsidRDefault="00154D81" w:rsidP="006664EF">
            <w:pPr>
              <w:spacing w:before="0" w:after="0" w:line="240" w:lineRule="auto"/>
              <w:jc w:val="center"/>
            </w:pPr>
            <w:r w:rsidRPr="00A7371A">
              <w:rPr>
                <w:rFonts w:cstheme="minorHAnsi"/>
                <w:color w:val="000000"/>
                <w:sz w:val="20"/>
                <w:szCs w:val="20"/>
              </w:rPr>
              <w:t>1.0000</w:t>
            </w:r>
          </w:p>
        </w:tc>
        <w:tc>
          <w:tcPr>
            <w:tcW w:w="1134" w:type="dxa"/>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12</w:t>
            </w:r>
          </w:p>
        </w:tc>
        <w:tc>
          <w:tcPr>
            <w:tcW w:w="992" w:type="dxa"/>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262E5"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noWrap/>
            <w:vAlign w:val="center"/>
            <w:hideMark/>
          </w:tcPr>
          <w:p w:rsidR="00154D81" w:rsidRPr="00A7371A" w:rsidRDefault="00154D81" w:rsidP="006664EF">
            <w:pPr>
              <w:spacing w:before="0" w:after="0" w:line="240" w:lineRule="auto"/>
              <w:jc w:val="center"/>
            </w:pPr>
          </w:p>
        </w:tc>
        <w:tc>
          <w:tcPr>
            <w:tcW w:w="891"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18-64</w:t>
            </w:r>
          </w:p>
        </w:tc>
        <w:tc>
          <w:tcPr>
            <w:tcW w:w="567" w:type="dxa"/>
            <w:shd w:val="clear" w:color="auto" w:fill="D9D9D9" w:themeFill="background1" w:themeFillShade="D9"/>
            <w:noWrap/>
            <w:vAlign w:val="center"/>
            <w:hideMark/>
          </w:tcPr>
          <w:p w:rsidR="00154D81" w:rsidRPr="008F1C71" w:rsidRDefault="00154D81" w:rsidP="006664EF">
            <w:pPr>
              <w:spacing w:before="0" w:after="0" w:line="240" w:lineRule="auto"/>
              <w:jc w:val="center"/>
              <w:rPr>
                <w:color w:val="000000"/>
                <w:sz w:val="20"/>
              </w:rPr>
            </w:pPr>
            <w:r w:rsidRPr="00A7371A">
              <w:rPr>
                <w:rFonts w:cstheme="minorHAnsi"/>
                <w:color w:val="000000"/>
                <w:sz w:val="20"/>
                <w:szCs w:val="20"/>
              </w:rPr>
              <w:t>1.</w:t>
            </w:r>
            <w:r w:rsidRPr="008F1C71">
              <w:rPr>
                <w:color w:val="000000"/>
                <w:sz w:val="20"/>
              </w:rPr>
              <w:t>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8F1C71" w:rsidRDefault="00154D81" w:rsidP="006664EF">
            <w:pPr>
              <w:spacing w:before="0" w:after="0" w:line="240" w:lineRule="auto"/>
              <w:jc w:val="center"/>
              <w:rPr>
                <w:color w:val="000000"/>
                <w:sz w:val="20"/>
              </w:rPr>
            </w:pPr>
            <w:r w:rsidRPr="00A7371A">
              <w:rPr>
                <w:rFonts w:cstheme="minorHAnsi"/>
                <w:color w:val="000000"/>
                <w:sz w:val="20"/>
                <w:szCs w:val="20"/>
              </w:rPr>
              <w:t>1.</w:t>
            </w:r>
            <w:r w:rsidRPr="008F1C71">
              <w:rPr>
                <w:color w:val="000000"/>
                <w:sz w:val="20"/>
              </w:rPr>
              <w:t>2</w:t>
            </w:r>
          </w:p>
        </w:tc>
        <w:tc>
          <w:tcPr>
            <w:tcW w:w="567" w:type="dxa"/>
            <w:shd w:val="clear" w:color="auto" w:fill="D9D9D9" w:themeFill="background1" w:themeFillShade="D9"/>
            <w:noWrap/>
            <w:vAlign w:val="center"/>
            <w:hideMark/>
          </w:tcPr>
          <w:p w:rsidR="00154D81" w:rsidRPr="008F1C71" w:rsidRDefault="00154D81" w:rsidP="006664EF">
            <w:pPr>
              <w:spacing w:before="0" w:after="0" w:line="240" w:lineRule="auto"/>
              <w:jc w:val="center"/>
              <w:rPr>
                <w:color w:val="000000"/>
                <w:sz w:val="20"/>
              </w:rPr>
            </w:pPr>
            <w:r w:rsidRPr="00A7371A">
              <w:rPr>
                <w:rFonts w:cstheme="minorHAnsi"/>
                <w:color w:val="000000"/>
                <w:sz w:val="20"/>
                <w:szCs w:val="20"/>
              </w:rPr>
              <w:t>1.</w:t>
            </w:r>
            <w:r w:rsidRPr="008F1C71">
              <w:rPr>
                <w:color w:val="000000"/>
                <w:sz w:val="20"/>
              </w:rPr>
              <w:t>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26"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0.8571</w:t>
            </w:r>
          </w:p>
        </w:tc>
        <w:tc>
          <w:tcPr>
            <w:tcW w:w="1134"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11</w:t>
            </w:r>
          </w:p>
        </w:tc>
        <w:tc>
          <w:tcPr>
            <w:tcW w:w="992"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noWrap/>
            <w:vAlign w:val="center"/>
            <w:hideMark/>
          </w:tcPr>
          <w:p w:rsidR="00154D81" w:rsidRPr="00A7371A" w:rsidRDefault="00154D81" w:rsidP="006664EF">
            <w:pPr>
              <w:spacing w:before="0" w:after="0" w:line="240" w:lineRule="auto"/>
              <w:jc w:val="center"/>
            </w:pPr>
          </w:p>
        </w:tc>
        <w:tc>
          <w:tcPr>
            <w:tcW w:w="891"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65+</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26" w:type="dxa"/>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noWrap/>
            <w:vAlign w:val="center"/>
            <w:hideMark/>
          </w:tcPr>
          <w:p w:rsidR="00154D81" w:rsidRPr="00A7371A" w:rsidRDefault="00154D81" w:rsidP="006664EF">
            <w:pPr>
              <w:spacing w:before="0" w:after="0" w:line="240" w:lineRule="auto"/>
              <w:jc w:val="center"/>
            </w:pPr>
            <w:r w:rsidRPr="00A7371A">
              <w:rPr>
                <w:rFonts w:cstheme="minorHAnsi"/>
                <w:color w:val="000000"/>
                <w:sz w:val="20"/>
                <w:szCs w:val="20"/>
              </w:rPr>
              <w:t>1.0000</w:t>
            </w:r>
          </w:p>
        </w:tc>
        <w:tc>
          <w:tcPr>
            <w:tcW w:w="1134" w:type="dxa"/>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11</w:t>
            </w:r>
          </w:p>
        </w:tc>
        <w:tc>
          <w:tcPr>
            <w:tcW w:w="992" w:type="dxa"/>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val="restart"/>
            <w:shd w:val="clear" w:color="auto" w:fill="D9D9D9" w:themeFill="background1" w:themeFillShade="D9"/>
            <w:noWrap/>
            <w:vAlign w:val="center"/>
            <w:hideMark/>
          </w:tcPr>
          <w:p w:rsidR="00154D81" w:rsidRPr="00A7371A" w:rsidRDefault="00154D81" w:rsidP="006664EF">
            <w:pPr>
              <w:spacing w:before="0" w:after="0" w:line="240" w:lineRule="auto"/>
              <w:ind w:left="-107" w:right="-108"/>
              <w:jc w:val="center"/>
              <w:rPr>
                <w:rFonts w:cstheme="minorHAnsi"/>
                <w:color w:val="000000"/>
                <w:sz w:val="20"/>
                <w:szCs w:val="20"/>
              </w:rPr>
            </w:pPr>
            <w:r w:rsidRPr="00A7371A">
              <w:rPr>
                <w:rFonts w:cstheme="minorHAnsi"/>
                <w:color w:val="000000"/>
                <w:sz w:val="20"/>
                <w:szCs w:val="20"/>
              </w:rPr>
              <w:t>Consolidating gain</w:t>
            </w:r>
          </w:p>
        </w:tc>
        <w:tc>
          <w:tcPr>
            <w:tcW w:w="891"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0-17</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26"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1134" w:type="dxa"/>
            <w:shd w:val="clear" w:color="auto" w:fill="D9D9D9" w:themeFill="background1" w:themeFillShade="D9"/>
            <w:noWrap/>
            <w:vAlign w:val="center"/>
            <w:hideMark/>
          </w:tcPr>
          <w:p w:rsidR="00154D81" w:rsidRPr="00A7371A" w:rsidRDefault="00154D81" w:rsidP="006664EF">
            <w:pPr>
              <w:spacing w:before="0" w:after="0" w:line="240" w:lineRule="auto"/>
              <w:jc w:val="center"/>
            </w:pPr>
            <w:r w:rsidRPr="00A7371A">
              <w:rPr>
                <w:rFonts w:cstheme="minorHAnsi"/>
                <w:color w:val="000000"/>
                <w:sz w:val="20"/>
                <w:szCs w:val="20"/>
              </w:rPr>
              <w:t>1.0000</w:t>
            </w:r>
          </w:p>
        </w:tc>
        <w:tc>
          <w:tcPr>
            <w:tcW w:w="1134"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9</w:t>
            </w:r>
          </w:p>
        </w:tc>
        <w:tc>
          <w:tcPr>
            <w:tcW w:w="992"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262E5" w:rsidTr="00154D81">
        <w:trPr>
          <w:trHeight w:val="300"/>
        </w:trPr>
        <w:tc>
          <w:tcPr>
            <w:tcW w:w="1275" w:type="dxa"/>
            <w:vMerge/>
            <w:shd w:val="clear" w:color="auto" w:fill="FFFFFF" w:themeFill="background1"/>
            <w:noWrap/>
            <w:vAlign w:val="center"/>
            <w:hideMark/>
          </w:tcPr>
          <w:p w:rsidR="00154D81" w:rsidRPr="008F1C71" w:rsidRDefault="00154D81" w:rsidP="006664EF">
            <w:pPr>
              <w:spacing w:before="0" w:after="0" w:line="240" w:lineRule="auto"/>
              <w:rPr>
                <w:color w:val="000000"/>
                <w:sz w:val="20"/>
              </w:rPr>
            </w:pPr>
          </w:p>
        </w:tc>
        <w:tc>
          <w:tcPr>
            <w:tcW w:w="1419" w:type="dxa"/>
            <w:vMerge/>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891"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18-64</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FFFFFF" w:themeFill="background1"/>
            <w:noWrap/>
            <w:vAlign w:val="center"/>
            <w:hideMark/>
          </w:tcPr>
          <w:p w:rsidR="00154D81" w:rsidRPr="008F1C71" w:rsidRDefault="00154D81" w:rsidP="006664EF">
            <w:pPr>
              <w:spacing w:before="0" w:after="0" w:line="240" w:lineRule="auto"/>
              <w:jc w:val="center"/>
              <w:rPr>
                <w:color w:val="000000"/>
                <w:sz w:val="20"/>
              </w:rPr>
            </w:pPr>
            <w:r w:rsidRPr="00A7371A">
              <w:rPr>
                <w:rFonts w:cstheme="minorHAnsi"/>
                <w:color w:val="000000"/>
                <w:sz w:val="20"/>
                <w:szCs w:val="20"/>
              </w:rPr>
              <w:t>0.</w:t>
            </w:r>
            <w:r w:rsidRPr="008F1C71">
              <w:rPr>
                <w:color w:val="000000"/>
                <w:sz w:val="20"/>
              </w:rPr>
              <w:t>6</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FFFFFF" w:themeFill="background1"/>
            <w:noWrap/>
            <w:vAlign w:val="center"/>
            <w:hideMark/>
          </w:tcPr>
          <w:p w:rsidR="00154D81" w:rsidRPr="008F1C71" w:rsidRDefault="00154D81" w:rsidP="006664EF">
            <w:pPr>
              <w:spacing w:before="0" w:after="0" w:line="240" w:lineRule="auto"/>
              <w:jc w:val="center"/>
              <w:rPr>
                <w:color w:val="000000"/>
                <w:sz w:val="20"/>
              </w:rPr>
            </w:pPr>
            <w:r w:rsidRPr="00A7371A">
              <w:rPr>
                <w:rFonts w:cstheme="minorHAnsi"/>
                <w:color w:val="000000"/>
                <w:sz w:val="20"/>
                <w:szCs w:val="20"/>
              </w:rPr>
              <w:t>1.</w:t>
            </w:r>
            <w:r w:rsidRPr="008F1C71">
              <w:rPr>
                <w:color w:val="000000"/>
                <w:sz w:val="20"/>
              </w:rPr>
              <w:t>4</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1.4</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1.4</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1.4</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26" w:type="dxa"/>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1.0345</w:t>
            </w:r>
          </w:p>
        </w:tc>
        <w:tc>
          <w:tcPr>
            <w:tcW w:w="1134" w:type="dxa"/>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8</w:t>
            </w:r>
          </w:p>
        </w:tc>
        <w:tc>
          <w:tcPr>
            <w:tcW w:w="992" w:type="dxa"/>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262E5" w:rsidTr="00154D81">
        <w:trPr>
          <w:trHeight w:val="300"/>
        </w:trPr>
        <w:tc>
          <w:tcPr>
            <w:tcW w:w="1275" w:type="dxa"/>
            <w:vMerge/>
            <w:noWrap/>
            <w:vAlign w:val="center"/>
            <w:hideMark/>
          </w:tcPr>
          <w:p w:rsidR="00154D81" w:rsidRPr="008F1C71" w:rsidRDefault="00154D81" w:rsidP="006664EF">
            <w:pPr>
              <w:spacing w:before="0" w:after="0" w:line="240" w:lineRule="auto"/>
              <w:rPr>
                <w:color w:val="000000"/>
                <w:sz w:val="20"/>
              </w:rPr>
            </w:pPr>
          </w:p>
        </w:tc>
        <w:tc>
          <w:tcPr>
            <w:tcW w:w="1419" w:type="dxa"/>
            <w:vMerge/>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891"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65+</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8F1C71" w:rsidRDefault="00154D81" w:rsidP="006664EF">
            <w:pPr>
              <w:spacing w:before="0" w:after="0" w:line="240" w:lineRule="auto"/>
              <w:jc w:val="center"/>
              <w:rPr>
                <w:color w:val="000000"/>
                <w:sz w:val="20"/>
              </w:rPr>
            </w:pPr>
            <w:r w:rsidRPr="00A7371A">
              <w:rPr>
                <w:rFonts w:cstheme="minorHAnsi"/>
                <w:color w:val="000000"/>
                <w:sz w:val="20"/>
                <w:szCs w:val="20"/>
              </w:rPr>
              <w:t>0.</w:t>
            </w:r>
            <w:r w:rsidRPr="008F1C71">
              <w:rPr>
                <w:color w:val="000000"/>
                <w:sz w:val="20"/>
              </w:rPr>
              <w:t>8</w:t>
            </w:r>
          </w:p>
        </w:tc>
        <w:tc>
          <w:tcPr>
            <w:tcW w:w="567" w:type="dxa"/>
            <w:shd w:val="clear" w:color="auto" w:fill="D9D9D9" w:themeFill="background1" w:themeFillShade="D9"/>
            <w:noWrap/>
            <w:vAlign w:val="center"/>
            <w:hideMark/>
          </w:tcPr>
          <w:p w:rsidR="00154D81" w:rsidRPr="008F1C71" w:rsidRDefault="00154D81" w:rsidP="006664EF">
            <w:pPr>
              <w:spacing w:before="0" w:after="0" w:line="240" w:lineRule="auto"/>
              <w:jc w:val="center"/>
              <w:rPr>
                <w:color w:val="000000"/>
                <w:sz w:val="20"/>
              </w:rPr>
            </w:pPr>
            <w:r w:rsidRPr="00A7371A">
              <w:rPr>
                <w:rFonts w:cstheme="minorHAnsi"/>
                <w:color w:val="000000"/>
                <w:sz w:val="20"/>
                <w:szCs w:val="20"/>
              </w:rPr>
              <w:t>0.</w:t>
            </w:r>
            <w:r w:rsidRPr="008F1C71">
              <w:rPr>
                <w:color w:val="000000"/>
                <w:sz w:val="20"/>
              </w:rPr>
              <w:t>8</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26"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1.0000</w:t>
            </w:r>
          </w:p>
        </w:tc>
        <w:tc>
          <w:tcPr>
            <w:tcW w:w="1134"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8</w:t>
            </w:r>
          </w:p>
        </w:tc>
        <w:tc>
          <w:tcPr>
            <w:tcW w:w="992"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262E5" w:rsidTr="00154D81">
        <w:trPr>
          <w:trHeight w:val="300"/>
        </w:trPr>
        <w:tc>
          <w:tcPr>
            <w:tcW w:w="1275" w:type="dxa"/>
            <w:vMerge w:val="restart"/>
            <w:shd w:val="clear" w:color="auto" w:fill="FFFFFF" w:themeFill="background1"/>
            <w:noWrap/>
            <w:vAlign w:val="center"/>
            <w:hideMark/>
          </w:tcPr>
          <w:p w:rsidR="00154D81" w:rsidRPr="008F1C71" w:rsidRDefault="00154D81" w:rsidP="006664EF">
            <w:pPr>
              <w:spacing w:before="0" w:after="0" w:line="240" w:lineRule="auto"/>
              <w:rPr>
                <w:color w:val="000000"/>
                <w:sz w:val="20"/>
              </w:rPr>
            </w:pPr>
            <w:r w:rsidRPr="00A7371A">
              <w:rPr>
                <w:rFonts w:cstheme="minorHAnsi"/>
                <w:color w:val="000000"/>
                <w:sz w:val="20"/>
                <w:szCs w:val="20"/>
              </w:rPr>
              <w:t>Community</w:t>
            </w:r>
          </w:p>
        </w:tc>
        <w:tc>
          <w:tcPr>
            <w:tcW w:w="1419" w:type="dxa"/>
            <w:vMerge w:val="restart"/>
            <w:shd w:val="clear" w:color="auto" w:fill="FFFFFF" w:themeFill="background1"/>
            <w:noWrap/>
            <w:vAlign w:val="center"/>
            <w:hideMark/>
          </w:tcPr>
          <w:p w:rsidR="00154D81" w:rsidRPr="008F1C71" w:rsidRDefault="00154D81" w:rsidP="006664EF">
            <w:pPr>
              <w:spacing w:before="0" w:after="0" w:line="240" w:lineRule="auto"/>
              <w:jc w:val="center"/>
              <w:rPr>
                <w:color w:val="000000"/>
                <w:sz w:val="20"/>
              </w:rPr>
            </w:pPr>
            <w:r w:rsidRPr="00E051D8">
              <w:rPr>
                <w:rFonts w:cstheme="minorHAnsi"/>
                <w:color w:val="000000"/>
                <w:sz w:val="20"/>
                <w:szCs w:val="20"/>
              </w:rPr>
              <w:t>Acute</w:t>
            </w:r>
          </w:p>
        </w:tc>
        <w:tc>
          <w:tcPr>
            <w:tcW w:w="891" w:type="dxa"/>
            <w:shd w:val="clear" w:color="auto" w:fill="FFFFFF" w:themeFill="background1"/>
            <w:noWrap/>
            <w:vAlign w:val="center"/>
            <w:hideMark/>
          </w:tcPr>
          <w:p w:rsidR="00154D81" w:rsidRPr="008F1C71" w:rsidRDefault="00154D81" w:rsidP="006664EF">
            <w:pPr>
              <w:spacing w:before="0" w:after="0" w:line="240" w:lineRule="auto"/>
              <w:jc w:val="center"/>
              <w:rPr>
                <w:color w:val="000000"/>
                <w:sz w:val="20"/>
              </w:rPr>
            </w:pPr>
            <w:r w:rsidRPr="00A7371A">
              <w:rPr>
                <w:rFonts w:cstheme="minorHAnsi"/>
                <w:color w:val="000000"/>
                <w:sz w:val="20"/>
                <w:szCs w:val="20"/>
              </w:rPr>
              <w:t>0-17</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26"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1134"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1.0317</w:t>
            </w:r>
          </w:p>
        </w:tc>
        <w:tc>
          <w:tcPr>
            <w:tcW w:w="1134" w:type="dxa"/>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26</w:t>
            </w:r>
          </w:p>
        </w:tc>
        <w:tc>
          <w:tcPr>
            <w:tcW w:w="992" w:type="dxa"/>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262E5"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891"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18-64</w:t>
            </w:r>
          </w:p>
        </w:tc>
        <w:tc>
          <w:tcPr>
            <w:tcW w:w="567" w:type="dxa"/>
            <w:shd w:val="clear" w:color="auto" w:fill="D9D9D9" w:themeFill="background1" w:themeFillShade="D9"/>
            <w:noWrap/>
            <w:vAlign w:val="center"/>
            <w:hideMark/>
          </w:tcPr>
          <w:p w:rsidR="00154D81" w:rsidRPr="008F1C71" w:rsidRDefault="00154D81" w:rsidP="006664EF">
            <w:pPr>
              <w:spacing w:before="0" w:after="0" w:line="240" w:lineRule="auto"/>
              <w:jc w:val="center"/>
              <w:rPr>
                <w:color w:val="000000"/>
                <w:sz w:val="20"/>
              </w:rPr>
            </w:pPr>
            <w:r w:rsidRPr="00A7371A">
              <w:rPr>
                <w:rFonts w:cstheme="minorHAnsi"/>
                <w:color w:val="000000"/>
                <w:sz w:val="20"/>
                <w:szCs w:val="20"/>
              </w:rPr>
              <w:t>1.</w:t>
            </w:r>
            <w:r w:rsidRPr="008F1C71">
              <w:rPr>
                <w:color w:val="000000"/>
                <w:sz w:val="20"/>
              </w:rPr>
              <w:t>6</w:t>
            </w:r>
          </w:p>
        </w:tc>
        <w:tc>
          <w:tcPr>
            <w:tcW w:w="567" w:type="dxa"/>
            <w:shd w:val="clear" w:color="auto" w:fill="D9D9D9" w:themeFill="background1" w:themeFillShade="D9"/>
            <w:noWrap/>
            <w:vAlign w:val="center"/>
            <w:hideMark/>
          </w:tcPr>
          <w:p w:rsidR="00154D81" w:rsidRPr="008F1C71" w:rsidRDefault="00154D81" w:rsidP="006664EF">
            <w:pPr>
              <w:spacing w:before="0" w:after="0" w:line="240" w:lineRule="auto"/>
              <w:jc w:val="center"/>
              <w:rPr>
                <w:color w:val="000000"/>
                <w:sz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8F1C71" w:rsidRDefault="00154D81" w:rsidP="006664EF">
            <w:pPr>
              <w:spacing w:before="0" w:after="0" w:line="240" w:lineRule="auto"/>
              <w:jc w:val="center"/>
              <w:rPr>
                <w:color w:val="000000"/>
                <w:sz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26"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1.1538</w:t>
            </w:r>
          </w:p>
        </w:tc>
        <w:tc>
          <w:tcPr>
            <w:tcW w:w="1134"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20</w:t>
            </w:r>
          </w:p>
        </w:tc>
        <w:tc>
          <w:tcPr>
            <w:tcW w:w="992"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15</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891"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65+</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26" w:type="dxa"/>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1.0000</w:t>
            </w:r>
          </w:p>
        </w:tc>
        <w:tc>
          <w:tcPr>
            <w:tcW w:w="1134" w:type="dxa"/>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19</w:t>
            </w:r>
          </w:p>
        </w:tc>
        <w:tc>
          <w:tcPr>
            <w:tcW w:w="992" w:type="dxa"/>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val="restart"/>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Functional gain</w:t>
            </w:r>
          </w:p>
        </w:tc>
        <w:tc>
          <w:tcPr>
            <w:tcW w:w="891"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0-17</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26"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1134"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1.0317</w:t>
            </w:r>
          </w:p>
        </w:tc>
        <w:tc>
          <w:tcPr>
            <w:tcW w:w="1134"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23</w:t>
            </w:r>
          </w:p>
        </w:tc>
        <w:tc>
          <w:tcPr>
            <w:tcW w:w="992"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891"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18-64</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26" w:type="dxa"/>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1.0714</w:t>
            </w:r>
          </w:p>
        </w:tc>
        <w:tc>
          <w:tcPr>
            <w:tcW w:w="1134" w:type="dxa"/>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18</w:t>
            </w:r>
          </w:p>
        </w:tc>
        <w:tc>
          <w:tcPr>
            <w:tcW w:w="992" w:type="dxa"/>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12</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891"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65+</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26"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1.0000</w:t>
            </w:r>
          </w:p>
        </w:tc>
        <w:tc>
          <w:tcPr>
            <w:tcW w:w="1134"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15</w:t>
            </w:r>
          </w:p>
        </w:tc>
        <w:tc>
          <w:tcPr>
            <w:tcW w:w="992"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val="restart"/>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Intensive extended</w:t>
            </w:r>
          </w:p>
        </w:tc>
        <w:tc>
          <w:tcPr>
            <w:tcW w:w="891"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0-17</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26"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1134"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1.0317</w:t>
            </w:r>
          </w:p>
        </w:tc>
        <w:tc>
          <w:tcPr>
            <w:tcW w:w="1134" w:type="dxa"/>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26</w:t>
            </w:r>
          </w:p>
        </w:tc>
        <w:tc>
          <w:tcPr>
            <w:tcW w:w="992" w:type="dxa"/>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891"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18-64</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1.4</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1.4</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26"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1.1111</w:t>
            </w:r>
          </w:p>
        </w:tc>
        <w:tc>
          <w:tcPr>
            <w:tcW w:w="1134"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18</w:t>
            </w:r>
          </w:p>
        </w:tc>
        <w:tc>
          <w:tcPr>
            <w:tcW w:w="992"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15</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891"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65+</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26" w:type="dxa"/>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1.0000</w:t>
            </w:r>
          </w:p>
        </w:tc>
        <w:tc>
          <w:tcPr>
            <w:tcW w:w="1134" w:type="dxa"/>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15</w:t>
            </w:r>
          </w:p>
        </w:tc>
        <w:tc>
          <w:tcPr>
            <w:tcW w:w="992" w:type="dxa"/>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7371A" w:rsidTr="00154D81">
        <w:trPr>
          <w:trHeight w:val="300"/>
        </w:trPr>
        <w:tc>
          <w:tcPr>
            <w:tcW w:w="1275" w:type="dxa"/>
            <w:vMerge/>
            <w:noWrap/>
            <w:vAlign w:val="center"/>
            <w:hideMark/>
          </w:tcPr>
          <w:p w:rsidR="00154D81" w:rsidRPr="00A7371A" w:rsidRDefault="00154D81" w:rsidP="006664EF">
            <w:pPr>
              <w:spacing w:before="0" w:after="0" w:line="240" w:lineRule="auto"/>
              <w:rPr>
                <w:rFonts w:cstheme="minorHAnsi"/>
                <w:color w:val="000000"/>
                <w:sz w:val="20"/>
                <w:szCs w:val="20"/>
              </w:rPr>
            </w:pPr>
          </w:p>
        </w:tc>
        <w:tc>
          <w:tcPr>
            <w:tcW w:w="1419" w:type="dxa"/>
            <w:vMerge w:val="restart"/>
            <w:shd w:val="clear" w:color="auto" w:fill="D9D9D9" w:themeFill="background1" w:themeFillShade="D9"/>
            <w:noWrap/>
            <w:vAlign w:val="center"/>
            <w:hideMark/>
          </w:tcPr>
          <w:p w:rsidR="00154D81" w:rsidRPr="00A7371A" w:rsidRDefault="00154D81" w:rsidP="006664EF">
            <w:pPr>
              <w:spacing w:before="0" w:after="0" w:line="240" w:lineRule="auto"/>
              <w:ind w:left="-107" w:right="-108"/>
              <w:jc w:val="center"/>
              <w:rPr>
                <w:rFonts w:cstheme="minorHAnsi"/>
                <w:color w:val="000000"/>
                <w:sz w:val="20"/>
                <w:szCs w:val="20"/>
              </w:rPr>
            </w:pPr>
            <w:r w:rsidRPr="00A7371A">
              <w:rPr>
                <w:rFonts w:cstheme="minorHAnsi"/>
                <w:color w:val="000000"/>
                <w:sz w:val="20"/>
                <w:szCs w:val="20"/>
              </w:rPr>
              <w:t>Consolidating gain</w:t>
            </w:r>
          </w:p>
        </w:tc>
        <w:tc>
          <w:tcPr>
            <w:tcW w:w="891"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0-17</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26"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1134"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1.0317</w:t>
            </w:r>
          </w:p>
        </w:tc>
        <w:tc>
          <w:tcPr>
            <w:tcW w:w="1134" w:type="dxa"/>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22</w:t>
            </w:r>
          </w:p>
        </w:tc>
        <w:tc>
          <w:tcPr>
            <w:tcW w:w="992" w:type="dxa"/>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r w:rsidR="00154D81" w:rsidRPr="00A7371A" w:rsidTr="00154D81">
        <w:trPr>
          <w:trHeight w:val="300"/>
        </w:trPr>
        <w:tc>
          <w:tcPr>
            <w:tcW w:w="1275" w:type="dxa"/>
            <w:vMerge/>
            <w:noWrap/>
            <w:vAlign w:val="center"/>
            <w:hideMark/>
          </w:tcPr>
          <w:p w:rsidR="00154D81" w:rsidRPr="00A7371A" w:rsidRDefault="00154D81" w:rsidP="00154D81">
            <w:pPr>
              <w:spacing w:after="0" w:line="240" w:lineRule="auto"/>
              <w:rPr>
                <w:rFonts w:cstheme="minorHAnsi"/>
                <w:color w:val="000000"/>
                <w:sz w:val="20"/>
                <w:szCs w:val="20"/>
              </w:rPr>
            </w:pPr>
          </w:p>
        </w:tc>
        <w:tc>
          <w:tcPr>
            <w:tcW w:w="1419" w:type="dxa"/>
            <w:vMerge/>
            <w:shd w:val="clear" w:color="auto" w:fill="D9D9D9" w:themeFill="background1" w:themeFillShade="D9"/>
            <w:noWrap/>
            <w:vAlign w:val="center"/>
            <w:hideMark/>
          </w:tcPr>
          <w:p w:rsidR="00154D81" w:rsidRPr="00A7371A" w:rsidRDefault="00154D81" w:rsidP="00154D81">
            <w:pPr>
              <w:spacing w:after="0" w:line="240" w:lineRule="auto"/>
              <w:rPr>
                <w:rFonts w:cstheme="minorHAnsi"/>
                <w:color w:val="000000"/>
                <w:sz w:val="20"/>
                <w:szCs w:val="20"/>
              </w:rPr>
            </w:pPr>
          </w:p>
        </w:tc>
        <w:tc>
          <w:tcPr>
            <w:tcW w:w="891"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18-64</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1.4</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1.4</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67"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0.6</w:t>
            </w:r>
          </w:p>
        </w:tc>
        <w:tc>
          <w:tcPr>
            <w:tcW w:w="526"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shd w:val="clear" w:color="auto" w:fill="D9D9D9" w:themeFill="background1" w:themeFillShade="D9"/>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1.2000</w:t>
            </w:r>
          </w:p>
        </w:tc>
        <w:tc>
          <w:tcPr>
            <w:tcW w:w="1134"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16</w:t>
            </w:r>
          </w:p>
        </w:tc>
        <w:tc>
          <w:tcPr>
            <w:tcW w:w="992" w:type="dxa"/>
            <w:shd w:val="clear" w:color="auto" w:fill="D9D9D9" w:themeFill="background1" w:themeFillShade="D9"/>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13</w:t>
            </w:r>
          </w:p>
        </w:tc>
      </w:tr>
      <w:tr w:rsidR="00154D81" w:rsidRPr="00A7371A" w:rsidTr="00154D81">
        <w:trPr>
          <w:trHeight w:val="300"/>
        </w:trPr>
        <w:tc>
          <w:tcPr>
            <w:tcW w:w="1275" w:type="dxa"/>
            <w:vMerge/>
            <w:noWrap/>
            <w:vAlign w:val="center"/>
            <w:hideMark/>
          </w:tcPr>
          <w:p w:rsidR="00154D81" w:rsidRPr="00A7371A" w:rsidRDefault="00154D81" w:rsidP="00154D81">
            <w:pPr>
              <w:spacing w:after="0" w:line="240" w:lineRule="auto"/>
              <w:rPr>
                <w:rFonts w:cstheme="minorHAnsi"/>
                <w:color w:val="000000"/>
                <w:sz w:val="20"/>
                <w:szCs w:val="20"/>
              </w:rPr>
            </w:pPr>
          </w:p>
        </w:tc>
        <w:tc>
          <w:tcPr>
            <w:tcW w:w="1419" w:type="dxa"/>
            <w:vMerge/>
            <w:shd w:val="clear" w:color="auto" w:fill="D9D9D9" w:themeFill="background1" w:themeFillShade="D9"/>
            <w:noWrap/>
            <w:vAlign w:val="center"/>
            <w:hideMark/>
          </w:tcPr>
          <w:p w:rsidR="00154D81" w:rsidRPr="00A7371A" w:rsidRDefault="00154D81" w:rsidP="00154D81">
            <w:pPr>
              <w:spacing w:after="0" w:line="240" w:lineRule="auto"/>
              <w:rPr>
                <w:rFonts w:cstheme="minorHAnsi"/>
                <w:color w:val="000000"/>
                <w:sz w:val="20"/>
                <w:szCs w:val="20"/>
              </w:rPr>
            </w:pPr>
          </w:p>
        </w:tc>
        <w:tc>
          <w:tcPr>
            <w:tcW w:w="891"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65+</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1.2</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0.8</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67"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w:t>
            </w:r>
          </w:p>
        </w:tc>
        <w:tc>
          <w:tcPr>
            <w:tcW w:w="526" w:type="dxa"/>
            <w:noWrap/>
            <w:vAlign w:val="center"/>
            <w:hideMark/>
          </w:tcPr>
          <w:p w:rsidR="00154D81" w:rsidRPr="00A7371A" w:rsidRDefault="00154D81" w:rsidP="006664EF">
            <w:pPr>
              <w:spacing w:before="0" w:after="0" w:line="240" w:lineRule="auto"/>
              <w:jc w:val="center"/>
              <w:rPr>
                <w:rFonts w:cstheme="minorHAnsi"/>
                <w:color w:val="000000"/>
                <w:sz w:val="20"/>
                <w:szCs w:val="20"/>
              </w:rPr>
            </w:pPr>
          </w:p>
        </w:tc>
        <w:tc>
          <w:tcPr>
            <w:tcW w:w="1134" w:type="dxa"/>
            <w:noWrap/>
            <w:vAlign w:val="center"/>
            <w:hideMark/>
          </w:tcPr>
          <w:p w:rsidR="00154D81" w:rsidRPr="00A7371A" w:rsidRDefault="00154D81" w:rsidP="006664EF">
            <w:pPr>
              <w:spacing w:before="0" w:after="0" w:line="240" w:lineRule="auto"/>
              <w:jc w:val="center"/>
              <w:rPr>
                <w:rFonts w:cstheme="minorHAnsi"/>
                <w:color w:val="000000"/>
                <w:sz w:val="20"/>
                <w:szCs w:val="20"/>
              </w:rPr>
            </w:pPr>
            <w:r w:rsidRPr="00A7371A">
              <w:rPr>
                <w:rFonts w:cstheme="minorHAnsi"/>
                <w:color w:val="000000"/>
                <w:sz w:val="20"/>
                <w:szCs w:val="20"/>
              </w:rPr>
              <w:t>1.0000</w:t>
            </w:r>
          </w:p>
        </w:tc>
        <w:tc>
          <w:tcPr>
            <w:tcW w:w="1134" w:type="dxa"/>
            <w:vAlign w:val="center"/>
          </w:tcPr>
          <w:p w:rsidR="00154D81" w:rsidRPr="00F67BEA" w:rsidRDefault="00154D81" w:rsidP="006664EF">
            <w:pPr>
              <w:spacing w:before="0" w:after="0" w:line="240" w:lineRule="auto"/>
              <w:jc w:val="center"/>
              <w:rPr>
                <w:rFonts w:cstheme="minorHAnsi"/>
                <w:color w:val="000000"/>
                <w:sz w:val="20"/>
                <w:szCs w:val="20"/>
              </w:rPr>
            </w:pPr>
            <w:r w:rsidRPr="00F67BEA">
              <w:rPr>
                <w:rFonts w:cstheme="minorHAnsi"/>
                <w:color w:val="000000"/>
                <w:sz w:val="20"/>
                <w:szCs w:val="20"/>
              </w:rPr>
              <w:t>18</w:t>
            </w:r>
          </w:p>
        </w:tc>
        <w:tc>
          <w:tcPr>
            <w:tcW w:w="992" w:type="dxa"/>
            <w:vAlign w:val="center"/>
          </w:tcPr>
          <w:p w:rsidR="00154D81" w:rsidRPr="00F67BEA" w:rsidRDefault="00154D81" w:rsidP="006664EF">
            <w:pPr>
              <w:spacing w:before="0" w:after="0" w:line="240" w:lineRule="auto"/>
              <w:jc w:val="center"/>
              <w:rPr>
                <w:rFonts w:cstheme="minorHAnsi"/>
                <w:color w:val="000000"/>
                <w:sz w:val="20"/>
                <w:szCs w:val="20"/>
              </w:rPr>
            </w:pPr>
            <w:r>
              <w:rPr>
                <w:rFonts w:cs="Arial"/>
                <w:sz w:val="20"/>
                <w:szCs w:val="20"/>
              </w:rPr>
              <w:t>-</w:t>
            </w:r>
          </w:p>
        </w:tc>
      </w:tr>
    </w:tbl>
    <w:p w:rsidR="00154D81" w:rsidRPr="006664EF" w:rsidRDefault="00154D81" w:rsidP="006664EF">
      <w:pPr>
        <w:spacing w:before="0" w:after="0" w:line="192" w:lineRule="auto"/>
        <w:rPr>
          <w:sz w:val="18"/>
        </w:rPr>
      </w:pPr>
    </w:p>
    <w:p w:rsidR="00154D81" w:rsidRPr="006664EF" w:rsidRDefault="00154D81" w:rsidP="006664EF">
      <w:pPr>
        <w:spacing w:before="0" w:after="0" w:line="192" w:lineRule="auto"/>
        <w:rPr>
          <w:sz w:val="18"/>
        </w:rPr>
        <w:sectPr w:rsidR="00154D81" w:rsidRPr="006664EF" w:rsidSect="00BD758B">
          <w:headerReference w:type="default" r:id="rId20"/>
          <w:pgSz w:w="16838" w:h="11906" w:orient="landscape" w:code="9"/>
          <w:pgMar w:top="1021" w:right="2041" w:bottom="1276" w:left="1021" w:header="680" w:footer="510" w:gutter="0"/>
          <w:cols w:space="708"/>
          <w:docGrid w:linePitch="360"/>
        </w:sectPr>
      </w:pPr>
    </w:p>
    <w:p w:rsidR="00154D81" w:rsidRDefault="00154D81" w:rsidP="00154D81">
      <w:pPr>
        <w:spacing w:after="0"/>
        <w:rPr>
          <w:lang w:val="en-US" w:eastAsia="ja-JP"/>
        </w:rPr>
      </w:pPr>
      <w:r>
        <w:rPr>
          <w:lang w:val="en-US" w:eastAsia="ja-JP"/>
        </w:rPr>
        <w:lastRenderedPageBreak/>
        <w:t>The HoNOS,</w:t>
      </w:r>
      <w:r w:rsidRPr="003F5179">
        <w:rPr>
          <w:lang w:eastAsia="ja-JP"/>
        </w:rPr>
        <w:t xml:space="preserve"> </w:t>
      </w:r>
      <w:r>
        <w:rPr>
          <w:lang w:eastAsia="ja-JP"/>
        </w:rPr>
        <w:t xml:space="preserve">HoNOSCA and HoNOS 65+ </w:t>
      </w:r>
      <w:r>
        <w:rPr>
          <w:lang w:val="en-US" w:eastAsia="ja-JP"/>
        </w:rPr>
        <w:t>thresholds for ‘high complexity’ in AMHCC Version 1.0 are shown in Table 2. Any score below the threshold is considered ‘medium complexity’.</w:t>
      </w:r>
    </w:p>
    <w:p w:rsidR="00154D81" w:rsidRPr="009D64E1" w:rsidRDefault="00154D81" w:rsidP="00154D81">
      <w:pPr>
        <w:keepNext/>
        <w:rPr>
          <w:b/>
          <w:i/>
          <w:lang w:val="en-US" w:eastAsia="ja-JP"/>
        </w:rPr>
      </w:pPr>
      <w:r w:rsidRPr="00C52373">
        <w:rPr>
          <w:b/>
          <w:i/>
          <w:szCs w:val="18"/>
        </w:rPr>
        <w:t>Table</w:t>
      </w:r>
      <w:r w:rsidRPr="009D64E1">
        <w:rPr>
          <w:b/>
          <w:i/>
          <w:lang w:val="en-US" w:eastAsia="ja-JP"/>
        </w:rPr>
        <w:t xml:space="preserve"> 2 </w:t>
      </w:r>
      <w:r>
        <w:rPr>
          <w:b/>
          <w:i/>
          <w:lang w:val="en-US" w:eastAsia="ja-JP"/>
        </w:rPr>
        <w:t>–</w:t>
      </w:r>
      <w:r w:rsidRPr="009D64E1">
        <w:rPr>
          <w:b/>
          <w:i/>
          <w:lang w:val="en-US" w:eastAsia="ja-JP"/>
        </w:rPr>
        <w:t xml:space="preserve"> HoNOS,</w:t>
      </w:r>
      <w:r w:rsidRPr="009D64E1">
        <w:rPr>
          <w:b/>
          <w:i/>
          <w:lang w:eastAsia="ja-JP"/>
        </w:rPr>
        <w:t xml:space="preserve"> HoNOSCA and HoNOS 65+ </w:t>
      </w:r>
      <w:r w:rsidRPr="009D64E1">
        <w:rPr>
          <w:b/>
          <w:i/>
          <w:lang w:val="en-US" w:eastAsia="ja-JP"/>
        </w:rPr>
        <w:t>thresholds for ‘high complexity’</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oNOS thresholds for high complexity"/>
        <w:tblDescription w:val="Provides weighted HoNOS score thresholds for each setting, phase and age group."/>
      </w:tblPr>
      <w:tblGrid>
        <w:gridCol w:w="2311"/>
        <w:gridCol w:w="2311"/>
        <w:gridCol w:w="2311"/>
        <w:gridCol w:w="2311"/>
      </w:tblGrid>
      <w:tr w:rsidR="00154D81" w:rsidRPr="00004D85" w:rsidTr="00154D81">
        <w:trPr>
          <w:trHeight w:val="196"/>
        </w:trPr>
        <w:tc>
          <w:tcPr>
            <w:tcW w:w="2311" w:type="dxa"/>
            <w:shd w:val="clear" w:color="auto" w:fill="006D00" w:themeFill="accent1" w:themeFillTint="E6"/>
            <w:vAlign w:val="center"/>
          </w:tcPr>
          <w:p w:rsidR="00154D81" w:rsidRPr="00F317C8" w:rsidRDefault="00154D81" w:rsidP="00154D81">
            <w:pPr>
              <w:keepNext/>
              <w:keepLines/>
              <w:spacing w:before="100" w:after="100"/>
              <w:jc w:val="center"/>
              <w:rPr>
                <w:rFonts w:cs="Arial"/>
                <w:b/>
                <w:color w:val="FFFFFF" w:themeColor="background1"/>
                <w:sz w:val="20"/>
              </w:rPr>
            </w:pPr>
            <w:r w:rsidRPr="00F317C8">
              <w:rPr>
                <w:rFonts w:cs="Arial"/>
                <w:b/>
                <w:color w:val="FFFFFF" w:themeColor="background1"/>
                <w:sz w:val="20"/>
              </w:rPr>
              <w:t>Setting</w:t>
            </w:r>
          </w:p>
        </w:tc>
        <w:tc>
          <w:tcPr>
            <w:tcW w:w="2311" w:type="dxa"/>
            <w:shd w:val="clear" w:color="auto" w:fill="006D00" w:themeFill="accent1" w:themeFillTint="E6"/>
            <w:vAlign w:val="center"/>
          </w:tcPr>
          <w:p w:rsidR="00154D81" w:rsidRPr="00F317C8" w:rsidRDefault="00154D81" w:rsidP="00154D81">
            <w:pPr>
              <w:keepNext/>
              <w:keepLines/>
              <w:spacing w:before="100" w:after="100"/>
              <w:jc w:val="center"/>
              <w:rPr>
                <w:rFonts w:cs="Arial"/>
                <w:b/>
                <w:color w:val="FFFFFF" w:themeColor="background1"/>
                <w:sz w:val="20"/>
              </w:rPr>
            </w:pPr>
            <w:r w:rsidRPr="00F317C8">
              <w:rPr>
                <w:rFonts w:cs="Arial"/>
                <w:b/>
                <w:color w:val="FFFFFF" w:themeColor="background1"/>
                <w:sz w:val="20"/>
              </w:rPr>
              <w:t>Phase</w:t>
            </w:r>
          </w:p>
        </w:tc>
        <w:tc>
          <w:tcPr>
            <w:tcW w:w="2311" w:type="dxa"/>
            <w:shd w:val="clear" w:color="auto" w:fill="006D00" w:themeFill="accent1" w:themeFillTint="E6"/>
            <w:vAlign w:val="center"/>
          </w:tcPr>
          <w:p w:rsidR="00154D81" w:rsidRPr="00F317C8" w:rsidRDefault="00154D81" w:rsidP="00154D81">
            <w:pPr>
              <w:keepNext/>
              <w:keepLines/>
              <w:spacing w:before="100" w:after="100"/>
              <w:jc w:val="center"/>
              <w:rPr>
                <w:rFonts w:cs="Arial"/>
                <w:b/>
                <w:color w:val="FFFFFF" w:themeColor="background1"/>
                <w:sz w:val="20"/>
              </w:rPr>
            </w:pPr>
            <w:r w:rsidRPr="00F317C8">
              <w:rPr>
                <w:rFonts w:cs="Arial"/>
                <w:b/>
                <w:color w:val="FFFFFF" w:themeColor="background1"/>
                <w:sz w:val="20"/>
              </w:rPr>
              <w:t>Age group</w:t>
            </w:r>
          </w:p>
        </w:tc>
        <w:tc>
          <w:tcPr>
            <w:tcW w:w="2311" w:type="dxa"/>
            <w:shd w:val="clear" w:color="auto" w:fill="006D00" w:themeFill="accent1" w:themeFillTint="E6"/>
            <w:vAlign w:val="center"/>
          </w:tcPr>
          <w:p w:rsidR="00154D81" w:rsidRPr="00F317C8" w:rsidRDefault="00154D81" w:rsidP="00154D81">
            <w:pPr>
              <w:keepNext/>
              <w:keepLines/>
              <w:spacing w:before="100" w:after="100"/>
              <w:jc w:val="center"/>
              <w:rPr>
                <w:rFonts w:cs="Arial"/>
                <w:b/>
                <w:color w:val="FFFFFF" w:themeColor="background1"/>
                <w:sz w:val="20"/>
              </w:rPr>
            </w:pPr>
            <w:r w:rsidRPr="00F317C8">
              <w:rPr>
                <w:rFonts w:cs="Arial"/>
                <w:b/>
                <w:color w:val="FFFFFF" w:themeColor="background1"/>
                <w:sz w:val="20"/>
              </w:rPr>
              <w:t>Weighted HoNOS score threshold for ‘high complexity’</w:t>
            </w:r>
          </w:p>
        </w:tc>
      </w:tr>
      <w:tr w:rsidR="00154D81" w:rsidRPr="00004D85" w:rsidTr="00154D81">
        <w:trPr>
          <w:trHeight w:val="196"/>
        </w:trPr>
        <w:tc>
          <w:tcPr>
            <w:tcW w:w="2311" w:type="dxa"/>
            <w:vMerge w:val="restart"/>
            <w:tcBorders>
              <w:top w:val="single" w:sz="4" w:space="0" w:color="auto"/>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Admitted</w:t>
            </w:r>
          </w:p>
        </w:tc>
        <w:tc>
          <w:tcPr>
            <w:tcW w:w="2311" w:type="dxa"/>
            <w:vMerge w:val="restart"/>
            <w:tcBorders>
              <w:top w:val="single" w:sz="4" w:space="0" w:color="auto"/>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Acute</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0-17 years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17</w:t>
            </w:r>
          </w:p>
        </w:tc>
      </w:tr>
      <w:tr w:rsidR="00154D81" w:rsidRPr="00004D85" w:rsidTr="00154D81">
        <w:trPr>
          <w:trHeight w:val="196"/>
        </w:trPr>
        <w:tc>
          <w:tcPr>
            <w:tcW w:w="2311" w:type="dxa"/>
            <w:vMerge/>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18-64 years</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14</w:t>
            </w:r>
          </w:p>
        </w:tc>
      </w:tr>
      <w:tr w:rsidR="00154D81" w:rsidRPr="00004D85" w:rsidTr="00154D81">
        <w:trPr>
          <w:trHeight w:val="196"/>
        </w:trPr>
        <w:tc>
          <w:tcPr>
            <w:tcW w:w="2311"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65+ years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15</w:t>
            </w:r>
          </w:p>
        </w:tc>
      </w:tr>
      <w:tr w:rsidR="00154D81" w:rsidRPr="00004D85" w:rsidTr="00154D81">
        <w:trPr>
          <w:trHeight w:val="196"/>
        </w:trPr>
        <w:tc>
          <w:tcPr>
            <w:tcW w:w="2311" w:type="dxa"/>
            <w:vMerge/>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Functional gain</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0-17 years</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12</w:t>
            </w:r>
          </w:p>
        </w:tc>
      </w:tr>
      <w:tr w:rsidR="00154D81" w:rsidRPr="00004D85" w:rsidTr="00154D81">
        <w:trPr>
          <w:trHeight w:val="196"/>
        </w:trPr>
        <w:tc>
          <w:tcPr>
            <w:tcW w:w="2311"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18-64 years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10</w:t>
            </w:r>
          </w:p>
        </w:tc>
      </w:tr>
      <w:tr w:rsidR="00154D81" w:rsidRPr="00004D85" w:rsidTr="00154D81">
        <w:trPr>
          <w:trHeight w:val="196"/>
        </w:trPr>
        <w:tc>
          <w:tcPr>
            <w:tcW w:w="2311" w:type="dxa"/>
            <w:vMerge/>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65+ years</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11</w:t>
            </w:r>
          </w:p>
        </w:tc>
      </w:tr>
      <w:tr w:rsidR="00154D81" w:rsidRPr="00004D85" w:rsidTr="00154D81">
        <w:trPr>
          <w:trHeight w:val="196"/>
        </w:trPr>
        <w:tc>
          <w:tcPr>
            <w:tcW w:w="2311"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vMerge w:val="restart"/>
            <w:tcBorders>
              <w:top w:val="single" w:sz="4" w:space="0" w:color="auto"/>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Intensive extended</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0-17 years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12</w:t>
            </w:r>
          </w:p>
        </w:tc>
      </w:tr>
      <w:tr w:rsidR="00154D81" w:rsidRPr="00004D85" w:rsidTr="00154D81">
        <w:trPr>
          <w:trHeight w:val="196"/>
        </w:trPr>
        <w:tc>
          <w:tcPr>
            <w:tcW w:w="2311" w:type="dxa"/>
            <w:vMerge/>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18-64 years</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11</w:t>
            </w:r>
          </w:p>
        </w:tc>
      </w:tr>
      <w:tr w:rsidR="00154D81" w:rsidRPr="00004D85" w:rsidTr="00154D81">
        <w:trPr>
          <w:trHeight w:val="196"/>
        </w:trPr>
        <w:tc>
          <w:tcPr>
            <w:tcW w:w="2311"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65+ years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11</w:t>
            </w:r>
          </w:p>
        </w:tc>
      </w:tr>
      <w:tr w:rsidR="00154D81" w:rsidRPr="00004D85" w:rsidTr="00154D81">
        <w:trPr>
          <w:trHeight w:val="196"/>
        </w:trPr>
        <w:tc>
          <w:tcPr>
            <w:tcW w:w="2311" w:type="dxa"/>
            <w:vMerge/>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Consolidating gain</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0-17 years</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9</w:t>
            </w:r>
          </w:p>
        </w:tc>
      </w:tr>
      <w:tr w:rsidR="00154D81" w:rsidRPr="00004D85" w:rsidTr="00154D81">
        <w:trPr>
          <w:trHeight w:val="196"/>
        </w:trPr>
        <w:tc>
          <w:tcPr>
            <w:tcW w:w="2311"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18-64 years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8</w:t>
            </w:r>
          </w:p>
        </w:tc>
      </w:tr>
      <w:tr w:rsidR="00154D81" w:rsidRPr="00004D85" w:rsidTr="00154D81">
        <w:trPr>
          <w:trHeight w:val="196"/>
        </w:trPr>
        <w:tc>
          <w:tcPr>
            <w:tcW w:w="231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65+ years</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8</w:t>
            </w:r>
          </w:p>
        </w:tc>
      </w:tr>
      <w:tr w:rsidR="00154D81" w:rsidRPr="00004D85" w:rsidTr="00154D81">
        <w:trPr>
          <w:trHeight w:val="196"/>
        </w:trPr>
        <w:tc>
          <w:tcPr>
            <w:tcW w:w="2311" w:type="dxa"/>
            <w:vMerge w:val="restart"/>
            <w:tcBorders>
              <w:top w:val="single" w:sz="4" w:space="0" w:color="auto"/>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Community</w:t>
            </w:r>
          </w:p>
        </w:tc>
        <w:tc>
          <w:tcPr>
            <w:tcW w:w="2311" w:type="dxa"/>
            <w:vMerge w:val="restart"/>
            <w:tcBorders>
              <w:top w:val="single" w:sz="4" w:space="0" w:color="auto"/>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Acute</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0-17 years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26</w:t>
            </w:r>
          </w:p>
        </w:tc>
      </w:tr>
      <w:tr w:rsidR="00154D81" w:rsidRPr="00004D85" w:rsidTr="00154D81">
        <w:trPr>
          <w:trHeight w:val="196"/>
        </w:trPr>
        <w:tc>
          <w:tcPr>
            <w:tcW w:w="2311" w:type="dxa"/>
            <w:vMerge/>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18-64 years</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20</w:t>
            </w:r>
          </w:p>
        </w:tc>
      </w:tr>
      <w:tr w:rsidR="00154D81" w:rsidRPr="00004D85" w:rsidTr="00154D81">
        <w:trPr>
          <w:trHeight w:val="196"/>
        </w:trPr>
        <w:tc>
          <w:tcPr>
            <w:tcW w:w="2311"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65+ years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19</w:t>
            </w:r>
          </w:p>
        </w:tc>
      </w:tr>
      <w:tr w:rsidR="00154D81" w:rsidRPr="00004D85" w:rsidTr="00154D81">
        <w:trPr>
          <w:trHeight w:val="196"/>
        </w:trPr>
        <w:tc>
          <w:tcPr>
            <w:tcW w:w="2311" w:type="dxa"/>
            <w:vMerge/>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Functional gain</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0-17 years</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23</w:t>
            </w:r>
          </w:p>
        </w:tc>
      </w:tr>
      <w:tr w:rsidR="00154D81" w:rsidRPr="00004D85" w:rsidTr="00154D81">
        <w:trPr>
          <w:trHeight w:val="196"/>
        </w:trPr>
        <w:tc>
          <w:tcPr>
            <w:tcW w:w="2311"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18-64 years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18</w:t>
            </w:r>
          </w:p>
        </w:tc>
      </w:tr>
      <w:tr w:rsidR="00154D81" w:rsidRPr="00004D85" w:rsidTr="00154D81">
        <w:trPr>
          <w:trHeight w:val="196"/>
        </w:trPr>
        <w:tc>
          <w:tcPr>
            <w:tcW w:w="2311" w:type="dxa"/>
            <w:vMerge/>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65+ years</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15</w:t>
            </w:r>
          </w:p>
        </w:tc>
      </w:tr>
      <w:tr w:rsidR="00154D81" w:rsidRPr="00004D85" w:rsidTr="00154D81">
        <w:trPr>
          <w:trHeight w:val="196"/>
        </w:trPr>
        <w:tc>
          <w:tcPr>
            <w:tcW w:w="2311"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vMerge w:val="restart"/>
            <w:tcBorders>
              <w:top w:val="single" w:sz="4" w:space="0" w:color="auto"/>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Intensive extended</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0-17 years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26</w:t>
            </w:r>
          </w:p>
        </w:tc>
      </w:tr>
      <w:tr w:rsidR="00154D81" w:rsidRPr="00004D85" w:rsidTr="00154D81">
        <w:trPr>
          <w:trHeight w:val="196"/>
        </w:trPr>
        <w:tc>
          <w:tcPr>
            <w:tcW w:w="2311" w:type="dxa"/>
            <w:vMerge/>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18-64 years</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18</w:t>
            </w:r>
          </w:p>
        </w:tc>
      </w:tr>
      <w:tr w:rsidR="00154D81" w:rsidRPr="00004D85" w:rsidTr="00154D81">
        <w:trPr>
          <w:trHeight w:val="196"/>
        </w:trPr>
        <w:tc>
          <w:tcPr>
            <w:tcW w:w="2311"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65+ years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15</w:t>
            </w:r>
          </w:p>
        </w:tc>
      </w:tr>
      <w:tr w:rsidR="00154D81" w:rsidRPr="00004D85" w:rsidTr="00154D81">
        <w:trPr>
          <w:trHeight w:val="196"/>
        </w:trPr>
        <w:tc>
          <w:tcPr>
            <w:tcW w:w="2311" w:type="dxa"/>
            <w:vMerge/>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Consolidating gain</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0-17 years</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22</w:t>
            </w:r>
          </w:p>
        </w:tc>
      </w:tr>
      <w:tr w:rsidR="00154D81" w:rsidRPr="00004D85" w:rsidTr="00154D81">
        <w:trPr>
          <w:trHeight w:val="196"/>
        </w:trPr>
        <w:tc>
          <w:tcPr>
            <w:tcW w:w="2311"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18-64 years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16</w:t>
            </w:r>
          </w:p>
        </w:tc>
      </w:tr>
      <w:tr w:rsidR="00154D81" w:rsidRPr="00004D85" w:rsidTr="00154D81">
        <w:trPr>
          <w:trHeight w:val="196"/>
        </w:trPr>
        <w:tc>
          <w:tcPr>
            <w:tcW w:w="231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65+ years</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jc w:val="right"/>
              <w:rPr>
                <w:rFonts w:cs="Arial"/>
                <w:sz w:val="20"/>
              </w:rPr>
            </w:pPr>
            <w:r w:rsidRPr="00004D85">
              <w:rPr>
                <w:rFonts w:cs="Arial"/>
                <w:sz w:val="20"/>
              </w:rPr>
              <w:t>18</w:t>
            </w:r>
          </w:p>
        </w:tc>
      </w:tr>
    </w:tbl>
    <w:p w:rsidR="00154D81" w:rsidRPr="0041686D" w:rsidRDefault="00154D81" w:rsidP="00154D81">
      <w:pPr>
        <w:pStyle w:val="Heading2"/>
      </w:pPr>
      <w:bookmarkStart w:id="147" w:name="_Toc433653999"/>
      <w:bookmarkStart w:id="148" w:name="_Toc433900361"/>
      <w:bookmarkStart w:id="149" w:name="_Toc454793257"/>
      <w:bookmarkStart w:id="150" w:name="_Toc483478611"/>
      <w:bookmarkStart w:id="151" w:name="_Toc514924141"/>
      <w:r>
        <w:lastRenderedPageBreak/>
        <w:t xml:space="preserve">5.2 </w:t>
      </w:r>
      <w:r w:rsidRPr="0041686D">
        <w:t>Abbreviated Life Skills Profile</w:t>
      </w:r>
      <w:bookmarkEnd w:id="147"/>
      <w:bookmarkEnd w:id="148"/>
      <w:bookmarkEnd w:id="149"/>
      <w:bookmarkEnd w:id="150"/>
      <w:bookmarkEnd w:id="151"/>
    </w:p>
    <w:p w:rsidR="00154D81" w:rsidRDefault="00154D81" w:rsidP="00154D81">
      <w:pPr>
        <w:keepNext/>
        <w:rPr>
          <w:lang w:val="en-US" w:eastAsia="ja-JP"/>
        </w:rPr>
      </w:pPr>
      <w:r>
        <w:rPr>
          <w:lang w:val="en-US" w:eastAsia="ja-JP"/>
        </w:rPr>
        <w:t>For the purposes of AMHCC Version 1.0, the LSP-16 thresholds for ‘high complexity’ are referred to in Table 3. Any score below the threshold is considered ‘medium complexity’.</w:t>
      </w:r>
    </w:p>
    <w:p w:rsidR="00154D81" w:rsidRPr="009D64E1" w:rsidRDefault="00154D81" w:rsidP="00154D81">
      <w:pPr>
        <w:keepNext/>
        <w:rPr>
          <w:i/>
          <w:lang w:val="en-US" w:eastAsia="ja-JP"/>
        </w:rPr>
      </w:pPr>
      <w:r w:rsidRPr="009D64E1">
        <w:rPr>
          <w:b/>
          <w:i/>
          <w:szCs w:val="18"/>
        </w:rPr>
        <w:t>Ta</w:t>
      </w:r>
      <w:r>
        <w:rPr>
          <w:b/>
          <w:i/>
          <w:szCs w:val="18"/>
        </w:rPr>
        <w:t>ble 3 –</w:t>
      </w:r>
      <w:r w:rsidRPr="009D64E1">
        <w:rPr>
          <w:b/>
          <w:i/>
          <w:szCs w:val="18"/>
        </w:rPr>
        <w:t xml:space="preserve"> LSP-16 thresholds for ‘high complexity’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SP-16 thresholds for high complexity"/>
        <w:tblDescription w:val="Provides weighted SP-16 score thresholds for each setting, phase and age group."/>
      </w:tblPr>
      <w:tblGrid>
        <w:gridCol w:w="2268"/>
        <w:gridCol w:w="2268"/>
        <w:gridCol w:w="2268"/>
        <w:gridCol w:w="2268"/>
      </w:tblGrid>
      <w:tr w:rsidR="00154D81" w:rsidRPr="00004D85" w:rsidTr="00154D81">
        <w:trPr>
          <w:trHeight w:val="227"/>
        </w:trPr>
        <w:tc>
          <w:tcPr>
            <w:tcW w:w="2268" w:type="dxa"/>
            <w:shd w:val="clear" w:color="auto" w:fill="006D00" w:themeFill="accent1" w:themeFillTint="E6"/>
            <w:vAlign w:val="center"/>
          </w:tcPr>
          <w:p w:rsidR="00154D81" w:rsidRPr="00F317C8" w:rsidRDefault="00154D81" w:rsidP="00154D81">
            <w:pPr>
              <w:keepNext/>
              <w:keepLines/>
              <w:spacing w:before="100" w:after="100"/>
              <w:jc w:val="center"/>
              <w:rPr>
                <w:rFonts w:cs="Arial"/>
                <w:b/>
                <w:color w:val="FFFFFF" w:themeColor="background1"/>
                <w:sz w:val="20"/>
              </w:rPr>
            </w:pPr>
            <w:r w:rsidRPr="00F317C8">
              <w:rPr>
                <w:rFonts w:cs="Arial"/>
                <w:b/>
                <w:color w:val="FFFFFF" w:themeColor="background1"/>
                <w:sz w:val="20"/>
              </w:rPr>
              <w:t>Setting</w:t>
            </w:r>
          </w:p>
        </w:tc>
        <w:tc>
          <w:tcPr>
            <w:tcW w:w="2268" w:type="dxa"/>
            <w:shd w:val="clear" w:color="auto" w:fill="006D00" w:themeFill="accent1" w:themeFillTint="E6"/>
            <w:vAlign w:val="center"/>
          </w:tcPr>
          <w:p w:rsidR="00154D81" w:rsidRPr="00F317C8" w:rsidRDefault="00154D81" w:rsidP="00154D81">
            <w:pPr>
              <w:keepNext/>
              <w:keepLines/>
              <w:spacing w:before="100" w:after="100"/>
              <w:jc w:val="center"/>
              <w:rPr>
                <w:rFonts w:cs="Arial"/>
                <w:b/>
                <w:color w:val="FFFFFF" w:themeColor="background1"/>
                <w:sz w:val="20"/>
              </w:rPr>
            </w:pPr>
            <w:r w:rsidRPr="00F317C8">
              <w:rPr>
                <w:rFonts w:cs="Arial"/>
                <w:b/>
                <w:color w:val="FFFFFF" w:themeColor="background1"/>
                <w:sz w:val="20"/>
              </w:rPr>
              <w:t>Phase</w:t>
            </w:r>
          </w:p>
        </w:tc>
        <w:tc>
          <w:tcPr>
            <w:tcW w:w="2268" w:type="dxa"/>
            <w:shd w:val="clear" w:color="auto" w:fill="006D00" w:themeFill="accent1" w:themeFillTint="E6"/>
            <w:vAlign w:val="center"/>
          </w:tcPr>
          <w:p w:rsidR="00154D81" w:rsidRPr="00F317C8" w:rsidRDefault="00154D81" w:rsidP="00154D81">
            <w:pPr>
              <w:keepNext/>
              <w:keepLines/>
              <w:spacing w:before="100" w:after="100"/>
              <w:jc w:val="center"/>
              <w:rPr>
                <w:rFonts w:cs="Arial"/>
                <w:b/>
                <w:color w:val="FFFFFF" w:themeColor="background1"/>
                <w:sz w:val="20"/>
              </w:rPr>
            </w:pPr>
            <w:r w:rsidRPr="00F317C8">
              <w:rPr>
                <w:rFonts w:cs="Arial"/>
                <w:b/>
                <w:color w:val="FFFFFF" w:themeColor="background1"/>
                <w:sz w:val="20"/>
              </w:rPr>
              <w:t>Age group</w:t>
            </w:r>
          </w:p>
        </w:tc>
        <w:tc>
          <w:tcPr>
            <w:tcW w:w="2268" w:type="dxa"/>
            <w:shd w:val="clear" w:color="auto" w:fill="006D00" w:themeFill="accent1" w:themeFillTint="E6"/>
            <w:vAlign w:val="center"/>
          </w:tcPr>
          <w:p w:rsidR="00154D81" w:rsidRPr="00F317C8" w:rsidRDefault="00154D81" w:rsidP="00154D81">
            <w:pPr>
              <w:keepNext/>
              <w:keepLines/>
              <w:spacing w:before="100" w:after="100"/>
              <w:jc w:val="center"/>
              <w:rPr>
                <w:rFonts w:cs="Arial"/>
                <w:b/>
                <w:color w:val="FFFFFF" w:themeColor="background1"/>
                <w:sz w:val="20"/>
              </w:rPr>
            </w:pPr>
            <w:r w:rsidRPr="00F317C8">
              <w:rPr>
                <w:rFonts w:cs="Arial"/>
                <w:b/>
                <w:color w:val="FFFFFF" w:themeColor="background1"/>
                <w:sz w:val="20"/>
              </w:rPr>
              <w:t>Weighted LSP-16 score threshold for ‘high complexity’</w:t>
            </w:r>
          </w:p>
        </w:tc>
      </w:tr>
      <w:tr w:rsidR="00154D81" w:rsidRPr="00004D85" w:rsidTr="00154D81">
        <w:trPr>
          <w:trHeight w:val="227"/>
        </w:trPr>
        <w:tc>
          <w:tcPr>
            <w:tcW w:w="2268" w:type="dxa"/>
            <w:vMerge w:val="restart"/>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Community</w:t>
            </w:r>
          </w:p>
        </w:tc>
        <w:tc>
          <w:tcPr>
            <w:tcW w:w="2268" w:type="dxa"/>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Acute</w:t>
            </w:r>
          </w:p>
        </w:tc>
        <w:tc>
          <w:tcPr>
            <w:tcW w:w="2268" w:type="dxa"/>
            <w:tcBorders>
              <w:left w:val="single" w:sz="4" w:space="0" w:color="auto"/>
              <w:right w:val="single" w:sz="4" w:space="0" w:color="auto"/>
            </w:tcBorders>
            <w:shd w:val="clear" w:color="auto" w:fill="auto"/>
            <w:vAlign w:val="center"/>
          </w:tcPr>
          <w:p w:rsidR="00154D81" w:rsidRPr="00004D85" w:rsidRDefault="00154D81" w:rsidP="00154D81">
            <w:pPr>
              <w:spacing w:before="100" w:after="100" w:line="240" w:lineRule="auto"/>
            </w:pPr>
            <w:r w:rsidRPr="00004D85">
              <w:rPr>
                <w:rFonts w:cs="Arial"/>
                <w:sz w:val="20"/>
              </w:rPr>
              <w:t>18-64 years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2F05DA" w:rsidRDefault="00154D81" w:rsidP="00154D81">
            <w:pPr>
              <w:spacing w:before="100" w:after="100" w:line="240" w:lineRule="auto"/>
              <w:jc w:val="right"/>
              <w:rPr>
                <w:rFonts w:cstheme="minorHAnsi"/>
                <w:color w:val="000000"/>
                <w:sz w:val="20"/>
              </w:rPr>
            </w:pPr>
            <w:r w:rsidRPr="002F05DA">
              <w:rPr>
                <w:rFonts w:cstheme="minorHAnsi"/>
                <w:color w:val="000000"/>
                <w:sz w:val="20"/>
              </w:rPr>
              <w:t>15</w:t>
            </w:r>
          </w:p>
        </w:tc>
      </w:tr>
      <w:tr w:rsidR="00154D81" w:rsidRPr="00004D85" w:rsidTr="00154D81">
        <w:trPr>
          <w:trHeight w:val="227"/>
        </w:trPr>
        <w:tc>
          <w:tcPr>
            <w:tcW w:w="2268"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268" w:type="dxa"/>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Functional gain</w:t>
            </w:r>
          </w:p>
        </w:tc>
        <w:tc>
          <w:tcPr>
            <w:tcW w:w="2268" w:type="dxa"/>
            <w:tcBorders>
              <w:left w:val="single" w:sz="4" w:space="0" w:color="auto"/>
              <w:right w:val="single" w:sz="4" w:space="0" w:color="auto"/>
            </w:tcBorders>
            <w:shd w:val="clear" w:color="auto" w:fill="D9D9D9" w:themeFill="background1" w:themeFillShade="D9"/>
            <w:vAlign w:val="center"/>
          </w:tcPr>
          <w:p w:rsidR="00154D81" w:rsidRPr="00004D85" w:rsidRDefault="00154D81" w:rsidP="00154D81">
            <w:pPr>
              <w:spacing w:before="100" w:after="100" w:line="240" w:lineRule="auto"/>
            </w:pPr>
            <w:r w:rsidRPr="00004D85">
              <w:rPr>
                <w:rFonts w:cs="Arial"/>
                <w:sz w:val="20"/>
              </w:rPr>
              <w:t>18-64 years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2F05DA" w:rsidRDefault="00154D81" w:rsidP="00154D81">
            <w:pPr>
              <w:spacing w:before="100" w:after="100" w:line="240" w:lineRule="auto"/>
              <w:jc w:val="right"/>
              <w:rPr>
                <w:rFonts w:cstheme="minorHAnsi"/>
                <w:color w:val="000000"/>
                <w:sz w:val="20"/>
              </w:rPr>
            </w:pPr>
            <w:r w:rsidRPr="002F05DA">
              <w:rPr>
                <w:rFonts w:cstheme="minorHAnsi"/>
                <w:color w:val="000000"/>
                <w:sz w:val="20"/>
              </w:rPr>
              <w:t>12</w:t>
            </w:r>
          </w:p>
        </w:tc>
      </w:tr>
      <w:tr w:rsidR="00154D81" w:rsidRPr="00004D85" w:rsidTr="00154D81">
        <w:trPr>
          <w:trHeight w:val="227"/>
        </w:trPr>
        <w:tc>
          <w:tcPr>
            <w:tcW w:w="2268" w:type="dxa"/>
            <w:vMerge/>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268" w:type="dxa"/>
            <w:tcBorders>
              <w:left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r w:rsidRPr="00004D85">
              <w:rPr>
                <w:rFonts w:cs="Arial"/>
                <w:sz w:val="20"/>
              </w:rPr>
              <w:t>Intensive extended</w:t>
            </w:r>
          </w:p>
        </w:tc>
        <w:tc>
          <w:tcPr>
            <w:tcW w:w="2268" w:type="dxa"/>
            <w:tcBorders>
              <w:left w:val="single" w:sz="4" w:space="0" w:color="auto"/>
              <w:right w:val="single" w:sz="4" w:space="0" w:color="auto"/>
            </w:tcBorders>
            <w:shd w:val="clear" w:color="auto" w:fill="auto"/>
            <w:vAlign w:val="center"/>
          </w:tcPr>
          <w:p w:rsidR="00154D81" w:rsidRPr="00004D85" w:rsidRDefault="00154D81" w:rsidP="00154D81">
            <w:pPr>
              <w:spacing w:before="100" w:after="100" w:line="240" w:lineRule="auto"/>
            </w:pPr>
            <w:r w:rsidRPr="00004D85">
              <w:rPr>
                <w:rFonts w:cs="Arial"/>
                <w:sz w:val="20"/>
              </w:rPr>
              <w:t>18-64 years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2F05DA" w:rsidRDefault="00154D81" w:rsidP="00154D81">
            <w:pPr>
              <w:spacing w:before="100" w:after="100" w:line="240" w:lineRule="auto"/>
              <w:jc w:val="right"/>
              <w:rPr>
                <w:rFonts w:cstheme="minorHAnsi"/>
                <w:color w:val="000000"/>
                <w:sz w:val="20"/>
              </w:rPr>
            </w:pPr>
            <w:r w:rsidRPr="002F05DA">
              <w:rPr>
                <w:rFonts w:cstheme="minorHAnsi"/>
                <w:color w:val="000000"/>
                <w:sz w:val="20"/>
              </w:rPr>
              <w:t>15</w:t>
            </w:r>
          </w:p>
        </w:tc>
      </w:tr>
      <w:tr w:rsidR="00154D81" w:rsidRPr="00004D85" w:rsidTr="00154D81">
        <w:trPr>
          <w:trHeight w:val="227"/>
        </w:trPr>
        <w:tc>
          <w:tcPr>
            <w:tcW w:w="2268" w:type="dxa"/>
            <w:vMerge/>
            <w:tcBorders>
              <w:left w:val="single" w:sz="4" w:space="0" w:color="auto"/>
              <w:bottom w:val="single" w:sz="4" w:space="0" w:color="auto"/>
              <w:right w:val="single" w:sz="4" w:space="0" w:color="auto"/>
            </w:tcBorders>
            <w:shd w:val="clear" w:color="auto" w:fill="auto"/>
            <w:vAlign w:val="center"/>
          </w:tcPr>
          <w:p w:rsidR="00154D81" w:rsidRPr="00004D85" w:rsidRDefault="00154D81" w:rsidP="00154D81">
            <w:pPr>
              <w:keepLines/>
              <w:spacing w:before="100" w:after="100" w:line="240" w:lineRule="auto"/>
              <w:rPr>
                <w:rFonts w:cs="Arial"/>
                <w:sz w:val="20"/>
              </w:rPr>
            </w:pPr>
          </w:p>
        </w:tc>
        <w:tc>
          <w:tcPr>
            <w:tcW w:w="2268"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keepLines/>
              <w:spacing w:before="100" w:after="100" w:line="240" w:lineRule="auto"/>
              <w:rPr>
                <w:rFonts w:cs="Arial"/>
                <w:sz w:val="20"/>
              </w:rPr>
            </w:pPr>
            <w:r w:rsidRPr="00004D85">
              <w:rPr>
                <w:rFonts w:cs="Arial"/>
                <w:sz w:val="20"/>
              </w:rPr>
              <w:t>Consolidating gain</w:t>
            </w:r>
          </w:p>
        </w:tc>
        <w:tc>
          <w:tcPr>
            <w:tcW w:w="2268"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004D85" w:rsidRDefault="00154D81" w:rsidP="00154D81">
            <w:pPr>
              <w:spacing w:before="100" w:after="100" w:line="240" w:lineRule="auto"/>
            </w:pPr>
            <w:r w:rsidRPr="00004D85">
              <w:rPr>
                <w:rFonts w:cs="Arial"/>
                <w:sz w:val="20"/>
              </w:rPr>
              <w:t>18-64 years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4D81" w:rsidRPr="002F05DA" w:rsidRDefault="00154D81" w:rsidP="00154D81">
            <w:pPr>
              <w:spacing w:before="100" w:after="100" w:line="240" w:lineRule="auto"/>
              <w:jc w:val="right"/>
              <w:rPr>
                <w:rFonts w:cstheme="minorHAnsi"/>
                <w:color w:val="000000"/>
                <w:sz w:val="20"/>
              </w:rPr>
            </w:pPr>
            <w:r w:rsidRPr="002F05DA">
              <w:rPr>
                <w:rFonts w:cstheme="minorHAnsi"/>
                <w:color w:val="000000"/>
                <w:sz w:val="20"/>
              </w:rPr>
              <w:t>13</w:t>
            </w:r>
          </w:p>
        </w:tc>
      </w:tr>
    </w:tbl>
    <w:p w:rsidR="00154D81" w:rsidRDefault="00154D81" w:rsidP="00154D81">
      <w:pPr>
        <w:pStyle w:val="Heading2"/>
      </w:pPr>
      <w:bookmarkStart w:id="152" w:name="_Toc433900362"/>
      <w:bookmarkStart w:id="153" w:name="_Toc454793258"/>
      <w:bookmarkStart w:id="154" w:name="_Toc483478612"/>
      <w:bookmarkStart w:id="155" w:name="_Toc514924142"/>
      <w:r>
        <w:t>5.3 Class numbering system</w:t>
      </w:r>
      <w:bookmarkEnd w:id="152"/>
      <w:bookmarkEnd w:id="153"/>
      <w:bookmarkEnd w:id="154"/>
      <w:bookmarkEnd w:id="155"/>
    </w:p>
    <w:p w:rsidR="00154D81" w:rsidRPr="00673447" w:rsidRDefault="00154D81" w:rsidP="00154D81">
      <w:pPr>
        <w:pStyle w:val="Heading3"/>
      </w:pPr>
      <w:bookmarkStart w:id="156" w:name="_Toc433900363"/>
      <w:bookmarkStart w:id="157" w:name="_Toc454793259"/>
      <w:bookmarkStart w:id="158" w:name="_Toc483478613"/>
      <w:bookmarkStart w:id="159" w:name="_Toc514924143"/>
      <w:r>
        <w:t>5.3.1 Alpha-numeric class characters</w:t>
      </w:r>
      <w:bookmarkEnd w:id="156"/>
      <w:bookmarkEnd w:id="157"/>
      <w:bookmarkEnd w:id="158"/>
      <w:bookmarkEnd w:id="159"/>
      <w:r>
        <w:t xml:space="preserve"> </w:t>
      </w:r>
    </w:p>
    <w:p w:rsidR="00154D81" w:rsidRDefault="00154D81" w:rsidP="00154D81">
      <w:bookmarkStart w:id="160" w:name="_Toc433900364"/>
      <w:bookmarkStart w:id="161" w:name="_Toc454793260"/>
      <w:r>
        <w:t>The class format of the AMHCC Version 1.0 reflects the structure of the classification. Specifically, there are five alpha-numeric characters that specify each class.</w:t>
      </w:r>
    </w:p>
    <w:p w:rsidR="00154D81" w:rsidRDefault="00154D81" w:rsidP="00154D81">
      <w:r>
        <w:t xml:space="preserve">The first (left-most) character specifies the setting as: </w:t>
      </w:r>
    </w:p>
    <w:p w:rsidR="00154D81" w:rsidRDefault="00154D81" w:rsidP="00154D81">
      <w:pPr>
        <w:pStyle w:val="ListParagraph"/>
        <w:numPr>
          <w:ilvl w:val="0"/>
          <w:numId w:val="21"/>
        </w:numPr>
        <w:spacing w:before="0" w:after="200" w:line="276" w:lineRule="auto"/>
        <w:contextualSpacing/>
      </w:pPr>
      <w:r>
        <w:t>1 – admitted</w:t>
      </w:r>
    </w:p>
    <w:p w:rsidR="00154D81" w:rsidRDefault="00154D81" w:rsidP="00154D81">
      <w:pPr>
        <w:pStyle w:val="ListParagraph"/>
        <w:numPr>
          <w:ilvl w:val="0"/>
          <w:numId w:val="21"/>
        </w:numPr>
        <w:spacing w:before="0" w:after="200" w:line="276" w:lineRule="auto"/>
        <w:contextualSpacing/>
      </w:pPr>
      <w:r>
        <w:t>2 – community</w:t>
      </w:r>
    </w:p>
    <w:p w:rsidR="00154D81" w:rsidRDefault="00154D81" w:rsidP="00154D81">
      <w:r>
        <w:t xml:space="preserve">The second character specifies the mental health phase of care as: </w:t>
      </w:r>
    </w:p>
    <w:p w:rsidR="00154D81" w:rsidRDefault="00154D81" w:rsidP="00154D81">
      <w:pPr>
        <w:pStyle w:val="ListParagraph"/>
        <w:numPr>
          <w:ilvl w:val="0"/>
          <w:numId w:val="22"/>
        </w:numPr>
        <w:spacing w:before="0" w:after="200" w:line="276" w:lineRule="auto"/>
        <w:contextualSpacing/>
      </w:pPr>
      <w:r>
        <w:t>0 – assessment only</w:t>
      </w:r>
    </w:p>
    <w:p w:rsidR="00154D81" w:rsidRDefault="00154D81" w:rsidP="00154D81">
      <w:pPr>
        <w:pStyle w:val="ListParagraph"/>
        <w:numPr>
          <w:ilvl w:val="0"/>
          <w:numId w:val="22"/>
        </w:numPr>
        <w:spacing w:before="0" w:after="200" w:line="276" w:lineRule="auto"/>
        <w:contextualSpacing/>
      </w:pPr>
      <w:r>
        <w:t>1 – acute</w:t>
      </w:r>
    </w:p>
    <w:p w:rsidR="00154D81" w:rsidRDefault="00154D81" w:rsidP="00154D81">
      <w:pPr>
        <w:pStyle w:val="ListParagraph"/>
        <w:numPr>
          <w:ilvl w:val="0"/>
          <w:numId w:val="22"/>
        </w:numPr>
        <w:spacing w:before="0" w:after="200" w:line="276" w:lineRule="auto"/>
        <w:contextualSpacing/>
      </w:pPr>
      <w:r>
        <w:t>2 – functional gain</w:t>
      </w:r>
    </w:p>
    <w:p w:rsidR="00154D81" w:rsidRDefault="00154D81" w:rsidP="00154D81">
      <w:pPr>
        <w:pStyle w:val="ListParagraph"/>
        <w:numPr>
          <w:ilvl w:val="0"/>
          <w:numId w:val="22"/>
        </w:numPr>
        <w:spacing w:before="0" w:after="200" w:line="276" w:lineRule="auto"/>
        <w:contextualSpacing/>
      </w:pPr>
      <w:r>
        <w:t>3 – intensive extended</w:t>
      </w:r>
    </w:p>
    <w:p w:rsidR="00154D81" w:rsidRDefault="00154D81" w:rsidP="00154D81">
      <w:pPr>
        <w:pStyle w:val="ListParagraph"/>
        <w:numPr>
          <w:ilvl w:val="0"/>
          <w:numId w:val="22"/>
        </w:numPr>
        <w:spacing w:before="0" w:after="200" w:line="276" w:lineRule="auto"/>
        <w:contextualSpacing/>
      </w:pPr>
      <w:r>
        <w:t>4 – consolidating gain</w:t>
      </w:r>
    </w:p>
    <w:p w:rsidR="00154D81" w:rsidRDefault="00154D81" w:rsidP="00154D81">
      <w:pPr>
        <w:pStyle w:val="ListParagraph"/>
        <w:numPr>
          <w:ilvl w:val="0"/>
          <w:numId w:val="22"/>
        </w:numPr>
        <w:spacing w:before="0" w:after="200" w:line="276" w:lineRule="auto"/>
        <w:contextualSpacing/>
      </w:pPr>
      <w:r>
        <w:t>9 – unknown.</w:t>
      </w:r>
    </w:p>
    <w:p w:rsidR="00154D81" w:rsidRDefault="00154D81" w:rsidP="00154D81">
      <w:r>
        <w:t xml:space="preserve">The third character specifies age group as: </w:t>
      </w:r>
    </w:p>
    <w:p w:rsidR="00154D81" w:rsidRDefault="00154D81" w:rsidP="00154D81">
      <w:pPr>
        <w:pStyle w:val="ListParagraph"/>
        <w:numPr>
          <w:ilvl w:val="0"/>
          <w:numId w:val="23"/>
        </w:numPr>
        <w:spacing w:before="0" w:after="200" w:line="276" w:lineRule="auto"/>
        <w:contextualSpacing/>
      </w:pPr>
      <w:r>
        <w:t>1 – 0-17 years</w:t>
      </w:r>
    </w:p>
    <w:p w:rsidR="00154D81" w:rsidRDefault="00154D81" w:rsidP="00154D81">
      <w:pPr>
        <w:pStyle w:val="ListParagraph"/>
        <w:numPr>
          <w:ilvl w:val="0"/>
          <w:numId w:val="23"/>
        </w:numPr>
        <w:spacing w:before="0" w:after="200" w:line="276" w:lineRule="auto"/>
        <w:contextualSpacing/>
      </w:pPr>
      <w:r>
        <w:t>2 – 18-64 years</w:t>
      </w:r>
    </w:p>
    <w:p w:rsidR="00154D81" w:rsidRDefault="00154D81" w:rsidP="00154D81">
      <w:pPr>
        <w:pStyle w:val="ListParagraph"/>
        <w:numPr>
          <w:ilvl w:val="0"/>
          <w:numId w:val="23"/>
        </w:numPr>
        <w:spacing w:before="0" w:after="200" w:line="276" w:lineRule="auto"/>
        <w:contextualSpacing/>
      </w:pPr>
      <w:r>
        <w:t>3 – 65+ years.</w:t>
      </w:r>
    </w:p>
    <w:p w:rsidR="00154D81" w:rsidRDefault="00154D81" w:rsidP="00154D81">
      <w:r>
        <w:t xml:space="preserve">The fourth character specifies: </w:t>
      </w:r>
    </w:p>
    <w:p w:rsidR="00154D81" w:rsidRDefault="00154D81" w:rsidP="00154D81">
      <w:pPr>
        <w:pStyle w:val="ListParagraph"/>
        <w:numPr>
          <w:ilvl w:val="0"/>
          <w:numId w:val="24"/>
        </w:numPr>
        <w:spacing w:before="0" w:after="200" w:line="276" w:lineRule="auto"/>
        <w:contextualSpacing/>
      </w:pPr>
      <w:r>
        <w:t>1 – mental health legal status is involuntary</w:t>
      </w:r>
    </w:p>
    <w:p w:rsidR="00154D81" w:rsidRDefault="00154D81" w:rsidP="00154D81">
      <w:pPr>
        <w:pStyle w:val="ListParagraph"/>
        <w:numPr>
          <w:ilvl w:val="0"/>
          <w:numId w:val="24"/>
        </w:numPr>
        <w:spacing w:before="0" w:after="200" w:line="276" w:lineRule="auto"/>
        <w:contextualSpacing/>
      </w:pPr>
      <w:r w:rsidRPr="000B3936">
        <w:t xml:space="preserve">2 – </w:t>
      </w:r>
      <w:r>
        <w:t xml:space="preserve">mental health legal status is </w:t>
      </w:r>
      <w:r w:rsidRPr="000B3936">
        <w:t>voluntary</w:t>
      </w:r>
    </w:p>
    <w:p w:rsidR="00154D81" w:rsidRDefault="00154D81" w:rsidP="00154D81">
      <w:pPr>
        <w:pStyle w:val="ListParagraph"/>
        <w:numPr>
          <w:ilvl w:val="0"/>
          <w:numId w:val="24"/>
        </w:numPr>
        <w:spacing w:before="0" w:after="200" w:line="276" w:lineRule="auto"/>
        <w:contextualSpacing/>
      </w:pPr>
      <w:r>
        <w:t xml:space="preserve">A </w:t>
      </w:r>
      <w:r w:rsidRPr="000B3936">
        <w:t>–</w:t>
      </w:r>
      <w:r>
        <w:t xml:space="preserve"> high HoNOS complexity</w:t>
      </w:r>
    </w:p>
    <w:p w:rsidR="00154D81" w:rsidRPr="00684045" w:rsidRDefault="00154D81" w:rsidP="00154D81">
      <w:pPr>
        <w:pStyle w:val="ListParagraph"/>
        <w:numPr>
          <w:ilvl w:val="0"/>
          <w:numId w:val="24"/>
        </w:numPr>
        <w:spacing w:before="0" w:after="200" w:line="276" w:lineRule="auto"/>
        <w:contextualSpacing/>
      </w:pPr>
      <w:r>
        <w:t xml:space="preserve">B </w:t>
      </w:r>
      <w:r w:rsidRPr="000B3936">
        <w:t>–</w:t>
      </w:r>
      <w:r>
        <w:t xml:space="preserve"> moderate HoNOS </w:t>
      </w:r>
      <w:r w:rsidRPr="00684045">
        <w:t>complexity</w:t>
      </w:r>
    </w:p>
    <w:p w:rsidR="00154D81" w:rsidRPr="00684045" w:rsidRDefault="00154D81" w:rsidP="00154D81">
      <w:pPr>
        <w:pStyle w:val="ListParagraph"/>
        <w:numPr>
          <w:ilvl w:val="0"/>
          <w:numId w:val="24"/>
        </w:numPr>
        <w:spacing w:before="0" w:after="200" w:line="276" w:lineRule="auto"/>
        <w:contextualSpacing/>
      </w:pPr>
      <w:r w:rsidRPr="00684045">
        <w:t xml:space="preserve">Z – </w:t>
      </w:r>
      <w:r>
        <w:t xml:space="preserve">used as the fourth character for </w:t>
      </w:r>
      <w:r w:rsidRPr="00684045">
        <w:t xml:space="preserve">assessment only </w:t>
      </w:r>
      <w:r>
        <w:t xml:space="preserve">classes, </w:t>
      </w:r>
      <w:r w:rsidRPr="00684045">
        <w:t xml:space="preserve">or </w:t>
      </w:r>
      <w:r>
        <w:t xml:space="preserve">classes with </w:t>
      </w:r>
      <w:r w:rsidRPr="00684045">
        <w:t>unknown mental health phase of care or unknown HoNOS score.</w:t>
      </w:r>
    </w:p>
    <w:p w:rsidR="00154D81" w:rsidRDefault="00154D81" w:rsidP="00154D81">
      <w:pPr>
        <w:keepNext/>
      </w:pPr>
      <w:r>
        <w:lastRenderedPageBreak/>
        <w:t xml:space="preserve">The fifth character specifies: </w:t>
      </w:r>
    </w:p>
    <w:p w:rsidR="00154D81" w:rsidRDefault="00154D81" w:rsidP="00154D81">
      <w:pPr>
        <w:pStyle w:val="ListParagraph"/>
        <w:numPr>
          <w:ilvl w:val="0"/>
          <w:numId w:val="24"/>
        </w:numPr>
        <w:spacing w:before="0" w:after="200" w:line="276" w:lineRule="auto"/>
        <w:contextualSpacing/>
      </w:pPr>
      <w:r>
        <w:t>A – high</w:t>
      </w:r>
      <w:r w:rsidRPr="00684045">
        <w:t xml:space="preserve"> </w:t>
      </w:r>
      <w:r>
        <w:t xml:space="preserve">HoNOS complexity </w:t>
      </w:r>
    </w:p>
    <w:p w:rsidR="00154D81" w:rsidRDefault="00154D81" w:rsidP="00154D81">
      <w:pPr>
        <w:pStyle w:val="ListParagraph"/>
        <w:numPr>
          <w:ilvl w:val="0"/>
          <w:numId w:val="24"/>
        </w:numPr>
        <w:spacing w:before="0" w:after="200" w:line="276" w:lineRule="auto"/>
        <w:contextualSpacing/>
      </w:pPr>
      <w:r>
        <w:t>B – moderate</w:t>
      </w:r>
      <w:r w:rsidRPr="00684045">
        <w:t xml:space="preserve"> </w:t>
      </w:r>
      <w:r>
        <w:t>HoNOS complexity</w:t>
      </w:r>
    </w:p>
    <w:p w:rsidR="00154D81" w:rsidRDefault="00154D81" w:rsidP="00154D81">
      <w:pPr>
        <w:pStyle w:val="ListParagraph"/>
        <w:numPr>
          <w:ilvl w:val="0"/>
          <w:numId w:val="24"/>
        </w:numPr>
        <w:spacing w:before="0" w:after="200" w:line="276" w:lineRule="auto"/>
        <w:contextualSpacing/>
      </w:pPr>
      <w:r>
        <w:t>1 – high LSP-16 complexity</w:t>
      </w:r>
    </w:p>
    <w:p w:rsidR="00154D81" w:rsidRDefault="00154D81" w:rsidP="00154D81">
      <w:pPr>
        <w:pStyle w:val="ListParagraph"/>
        <w:numPr>
          <w:ilvl w:val="0"/>
          <w:numId w:val="24"/>
        </w:numPr>
        <w:spacing w:before="0" w:after="200" w:line="276" w:lineRule="auto"/>
        <w:contextualSpacing/>
      </w:pPr>
      <w:r>
        <w:t>2 – moderate LSP-16 complexity</w:t>
      </w:r>
    </w:p>
    <w:p w:rsidR="00154D81" w:rsidRDefault="00154D81" w:rsidP="00154D81">
      <w:pPr>
        <w:pStyle w:val="ListParagraph"/>
        <w:numPr>
          <w:ilvl w:val="0"/>
          <w:numId w:val="24"/>
        </w:numPr>
        <w:spacing w:before="0" w:after="200" w:line="276" w:lineRule="auto"/>
        <w:contextualSpacing/>
      </w:pPr>
      <w:r>
        <w:t>Z – used as the fifth character for classes with unknown HoNOS score.</w:t>
      </w:r>
    </w:p>
    <w:p w:rsidR="00154D81" w:rsidRDefault="00154D81" w:rsidP="00154D81">
      <w:r>
        <w:t xml:space="preserve">It is important to note that the fifth character </w:t>
      </w:r>
      <w:r w:rsidRPr="007A2F22">
        <w:t>also includes phases with unknown clinical or LSP</w:t>
      </w:r>
      <w:r>
        <w:noBreakHyphen/>
      </w:r>
      <w:r w:rsidRPr="007A2F22">
        <w:t>based complexity</w:t>
      </w:r>
      <w:r>
        <w:t xml:space="preserve">. </w:t>
      </w:r>
    </w:p>
    <w:p w:rsidR="00154D81" w:rsidRDefault="00154D81" w:rsidP="00154D81">
      <w:pPr>
        <w:pStyle w:val="Heading3"/>
      </w:pPr>
      <w:bookmarkStart w:id="162" w:name="_Toc483478614"/>
      <w:bookmarkStart w:id="163" w:name="_Toc514924144"/>
      <w:r>
        <w:t>5.3.2 Examples of the class numbering system</w:t>
      </w:r>
      <w:bookmarkEnd w:id="160"/>
      <w:bookmarkEnd w:id="161"/>
      <w:bookmarkEnd w:id="162"/>
      <w:bookmarkEnd w:id="163"/>
    </w:p>
    <w:p w:rsidR="00154D81" w:rsidRDefault="00154D81" w:rsidP="00154D81">
      <w:r>
        <w:t xml:space="preserve">The following examples illustrate how the class format is interpreted. </w:t>
      </w:r>
    </w:p>
    <w:p w:rsidR="00154D81" w:rsidRPr="008F1C71" w:rsidRDefault="00154D81" w:rsidP="006664EF">
      <w:pPr>
        <w:spacing w:after="0" w:line="240" w:lineRule="auto"/>
        <w:rPr>
          <w:b/>
        </w:rPr>
      </w:pPr>
      <w:r w:rsidRPr="008F1C71">
        <w:rPr>
          <w:b/>
        </w:rPr>
        <w:t xml:space="preserve">132B </w:t>
      </w:r>
    </w:p>
    <w:p w:rsidR="00154D81" w:rsidRDefault="00154D81" w:rsidP="00154D81">
      <w:pPr>
        <w:pStyle w:val="ListParagraph"/>
        <w:numPr>
          <w:ilvl w:val="0"/>
          <w:numId w:val="25"/>
        </w:numPr>
        <w:spacing w:before="0" w:line="240" w:lineRule="auto"/>
        <w:contextualSpacing/>
      </w:pPr>
      <w:r>
        <w:t>1 – admitted setting</w:t>
      </w:r>
    </w:p>
    <w:p w:rsidR="00154D81" w:rsidRDefault="00154D81" w:rsidP="00154D81">
      <w:pPr>
        <w:pStyle w:val="ListParagraph"/>
        <w:numPr>
          <w:ilvl w:val="0"/>
          <w:numId w:val="25"/>
        </w:numPr>
        <w:spacing w:before="0" w:line="240" w:lineRule="auto"/>
        <w:contextualSpacing/>
      </w:pPr>
      <w:r>
        <w:t>3 – intensive extended phase of care</w:t>
      </w:r>
    </w:p>
    <w:p w:rsidR="00154D81" w:rsidRDefault="00154D81" w:rsidP="00154D81">
      <w:pPr>
        <w:pStyle w:val="ListParagraph"/>
        <w:numPr>
          <w:ilvl w:val="0"/>
          <w:numId w:val="25"/>
        </w:numPr>
        <w:spacing w:before="0" w:line="240" w:lineRule="auto"/>
        <w:contextualSpacing/>
      </w:pPr>
      <w:r>
        <w:t>2 – 18-64 years age group</w:t>
      </w:r>
    </w:p>
    <w:p w:rsidR="00154D81" w:rsidRDefault="00154D81" w:rsidP="00154D81">
      <w:pPr>
        <w:pStyle w:val="ListParagraph"/>
        <w:numPr>
          <w:ilvl w:val="0"/>
          <w:numId w:val="25"/>
        </w:numPr>
        <w:spacing w:before="0" w:line="240" w:lineRule="auto"/>
        <w:contextualSpacing/>
      </w:pPr>
      <w:r>
        <w:t>B – moderate HoNOS complexity</w:t>
      </w:r>
    </w:p>
    <w:p w:rsidR="00154D81" w:rsidRPr="008F1C71" w:rsidRDefault="00154D81" w:rsidP="006664EF">
      <w:pPr>
        <w:spacing w:after="0" w:line="240" w:lineRule="auto"/>
        <w:rPr>
          <w:b/>
        </w:rPr>
      </w:pPr>
      <w:r w:rsidRPr="008F1C71">
        <w:rPr>
          <w:b/>
        </w:rPr>
        <w:t>212B1</w:t>
      </w:r>
    </w:p>
    <w:p w:rsidR="00154D81" w:rsidRDefault="00154D81" w:rsidP="00154D81">
      <w:pPr>
        <w:pStyle w:val="ListParagraph"/>
        <w:numPr>
          <w:ilvl w:val="0"/>
          <w:numId w:val="29"/>
        </w:numPr>
        <w:spacing w:before="0" w:line="240" w:lineRule="auto"/>
        <w:contextualSpacing/>
      </w:pPr>
      <w:r>
        <w:t>2 – community setting</w:t>
      </w:r>
    </w:p>
    <w:p w:rsidR="00154D81" w:rsidRDefault="00154D81" w:rsidP="00154D81">
      <w:pPr>
        <w:pStyle w:val="ListParagraph"/>
        <w:numPr>
          <w:ilvl w:val="0"/>
          <w:numId w:val="29"/>
        </w:numPr>
        <w:spacing w:before="0" w:line="240" w:lineRule="auto"/>
        <w:contextualSpacing/>
      </w:pPr>
      <w:r>
        <w:t>1 – acute phase of care</w:t>
      </w:r>
    </w:p>
    <w:p w:rsidR="00154D81" w:rsidRDefault="00154D81" w:rsidP="00154D81">
      <w:pPr>
        <w:pStyle w:val="ListParagraph"/>
        <w:numPr>
          <w:ilvl w:val="0"/>
          <w:numId w:val="29"/>
        </w:numPr>
        <w:spacing w:before="0" w:line="240" w:lineRule="auto"/>
        <w:contextualSpacing/>
      </w:pPr>
      <w:r>
        <w:t>2 – 18-64 years age group</w:t>
      </w:r>
    </w:p>
    <w:p w:rsidR="00154D81" w:rsidRDefault="00154D81" w:rsidP="00154D81">
      <w:pPr>
        <w:pStyle w:val="ListParagraph"/>
        <w:numPr>
          <w:ilvl w:val="0"/>
          <w:numId w:val="29"/>
        </w:numPr>
        <w:spacing w:before="0" w:line="240" w:lineRule="auto"/>
        <w:contextualSpacing/>
      </w:pPr>
      <w:r>
        <w:t>B – moderate HoNOS complexity</w:t>
      </w:r>
    </w:p>
    <w:p w:rsidR="00154D81" w:rsidRDefault="00154D81" w:rsidP="00154D81">
      <w:pPr>
        <w:pStyle w:val="ListParagraph"/>
        <w:numPr>
          <w:ilvl w:val="0"/>
          <w:numId w:val="29"/>
        </w:numPr>
        <w:spacing w:before="0" w:line="240" w:lineRule="auto"/>
        <w:contextualSpacing/>
      </w:pPr>
      <w:r>
        <w:t>1 – high LSP complexity</w:t>
      </w:r>
    </w:p>
    <w:p w:rsidR="00154D81" w:rsidRPr="008F1C71" w:rsidRDefault="00154D81" w:rsidP="00154D81">
      <w:pPr>
        <w:spacing w:line="240" w:lineRule="auto"/>
        <w:rPr>
          <w:b/>
        </w:rPr>
      </w:pPr>
      <w:r w:rsidRPr="008F1C71">
        <w:rPr>
          <w:b/>
        </w:rPr>
        <w:t>111A</w:t>
      </w:r>
    </w:p>
    <w:p w:rsidR="00154D81" w:rsidRDefault="00154D81" w:rsidP="00154D81">
      <w:pPr>
        <w:pStyle w:val="ListParagraph"/>
        <w:numPr>
          <w:ilvl w:val="0"/>
          <w:numId w:val="30"/>
        </w:numPr>
        <w:spacing w:before="0" w:line="240" w:lineRule="auto"/>
        <w:contextualSpacing/>
      </w:pPr>
      <w:r>
        <w:t>1 – admitted setting</w:t>
      </w:r>
    </w:p>
    <w:p w:rsidR="00154D81" w:rsidRDefault="00154D81" w:rsidP="00154D81">
      <w:pPr>
        <w:pStyle w:val="ListParagraph"/>
        <w:numPr>
          <w:ilvl w:val="0"/>
          <w:numId w:val="30"/>
        </w:numPr>
        <w:spacing w:before="0" w:line="240" w:lineRule="auto"/>
        <w:contextualSpacing/>
      </w:pPr>
      <w:r>
        <w:t>1 – acute phase of care</w:t>
      </w:r>
    </w:p>
    <w:p w:rsidR="00154D81" w:rsidRDefault="00154D81" w:rsidP="00154D81">
      <w:pPr>
        <w:pStyle w:val="ListParagraph"/>
        <w:numPr>
          <w:ilvl w:val="0"/>
          <w:numId w:val="30"/>
        </w:numPr>
        <w:spacing w:before="0" w:line="240" w:lineRule="auto"/>
        <w:contextualSpacing/>
      </w:pPr>
      <w:r>
        <w:t>1 – 0-17 years age group</w:t>
      </w:r>
    </w:p>
    <w:p w:rsidR="00154D81" w:rsidRDefault="00154D81" w:rsidP="00154D81">
      <w:pPr>
        <w:pStyle w:val="ListParagraph"/>
        <w:numPr>
          <w:ilvl w:val="0"/>
          <w:numId w:val="30"/>
        </w:numPr>
        <w:spacing w:before="0" w:line="240" w:lineRule="auto"/>
        <w:contextualSpacing/>
      </w:pPr>
      <w:r>
        <w:t>A – high HoNOS complexity</w:t>
      </w:r>
    </w:p>
    <w:p w:rsidR="00154D81" w:rsidRPr="008F1C71" w:rsidRDefault="00154D81" w:rsidP="006664EF">
      <w:pPr>
        <w:spacing w:after="0" w:line="240" w:lineRule="auto"/>
        <w:rPr>
          <w:b/>
        </w:rPr>
      </w:pPr>
      <w:r w:rsidRPr="008F1C71">
        <w:rPr>
          <w:b/>
        </w:rPr>
        <w:t>1121B</w:t>
      </w:r>
    </w:p>
    <w:p w:rsidR="00154D81" w:rsidRDefault="00154D81" w:rsidP="00154D81">
      <w:pPr>
        <w:pStyle w:val="ListParagraph"/>
        <w:numPr>
          <w:ilvl w:val="0"/>
          <w:numId w:val="29"/>
        </w:numPr>
        <w:spacing w:before="0" w:line="240" w:lineRule="auto"/>
        <w:contextualSpacing/>
      </w:pPr>
      <w:r>
        <w:t>1 – admitted setting</w:t>
      </w:r>
    </w:p>
    <w:p w:rsidR="00154D81" w:rsidRDefault="00154D81" w:rsidP="00154D81">
      <w:pPr>
        <w:pStyle w:val="ListParagraph"/>
        <w:numPr>
          <w:ilvl w:val="0"/>
          <w:numId w:val="29"/>
        </w:numPr>
        <w:spacing w:before="0" w:line="240" w:lineRule="auto"/>
        <w:contextualSpacing/>
      </w:pPr>
      <w:r>
        <w:t>1 – acute phase of care</w:t>
      </w:r>
    </w:p>
    <w:p w:rsidR="00154D81" w:rsidRDefault="00154D81" w:rsidP="00154D81">
      <w:pPr>
        <w:pStyle w:val="ListParagraph"/>
        <w:numPr>
          <w:ilvl w:val="0"/>
          <w:numId w:val="29"/>
        </w:numPr>
        <w:spacing w:before="0" w:line="240" w:lineRule="auto"/>
        <w:contextualSpacing/>
      </w:pPr>
      <w:r>
        <w:t>2 – 18-64 years age group</w:t>
      </w:r>
    </w:p>
    <w:p w:rsidR="00154D81" w:rsidRDefault="00154D81" w:rsidP="00154D81">
      <w:pPr>
        <w:pStyle w:val="ListParagraph"/>
        <w:numPr>
          <w:ilvl w:val="0"/>
          <w:numId w:val="29"/>
        </w:numPr>
        <w:spacing w:before="0" w:line="240" w:lineRule="auto"/>
        <w:contextualSpacing/>
      </w:pPr>
      <w:r>
        <w:t>1 – involuntary mental health legal status</w:t>
      </w:r>
    </w:p>
    <w:p w:rsidR="00154D81" w:rsidRDefault="00154D81" w:rsidP="00154D81">
      <w:pPr>
        <w:pStyle w:val="ListParagraph"/>
        <w:numPr>
          <w:ilvl w:val="0"/>
          <w:numId w:val="29"/>
        </w:numPr>
        <w:spacing w:before="0" w:line="240" w:lineRule="auto"/>
        <w:contextualSpacing/>
      </w:pPr>
      <w:r>
        <w:t xml:space="preserve">B – moderate HoNOS complexity </w:t>
      </w:r>
    </w:p>
    <w:p w:rsidR="00154D81" w:rsidRPr="008F1C71" w:rsidRDefault="00154D81" w:rsidP="006664EF">
      <w:pPr>
        <w:spacing w:after="0" w:line="240" w:lineRule="auto"/>
        <w:rPr>
          <w:b/>
        </w:rPr>
      </w:pPr>
      <w:r w:rsidRPr="008F1C71">
        <w:rPr>
          <w:b/>
        </w:rPr>
        <w:t xml:space="preserve">203Z </w:t>
      </w:r>
    </w:p>
    <w:p w:rsidR="00154D81" w:rsidRDefault="00154D81" w:rsidP="00154D81">
      <w:pPr>
        <w:pStyle w:val="ListParagraph"/>
        <w:numPr>
          <w:ilvl w:val="0"/>
          <w:numId w:val="26"/>
        </w:numPr>
        <w:spacing w:before="0" w:line="240" w:lineRule="auto"/>
        <w:contextualSpacing/>
      </w:pPr>
      <w:r>
        <w:t>2 – community setting</w:t>
      </w:r>
    </w:p>
    <w:p w:rsidR="00154D81" w:rsidRDefault="00154D81" w:rsidP="00154D81">
      <w:pPr>
        <w:pStyle w:val="ListParagraph"/>
        <w:numPr>
          <w:ilvl w:val="0"/>
          <w:numId w:val="26"/>
        </w:numPr>
        <w:spacing w:before="0" w:line="240" w:lineRule="auto"/>
        <w:contextualSpacing/>
      </w:pPr>
      <w:r>
        <w:t>0 – assessment only phase of care</w:t>
      </w:r>
    </w:p>
    <w:p w:rsidR="00154D81" w:rsidRDefault="00154D81" w:rsidP="00154D81">
      <w:pPr>
        <w:pStyle w:val="ListParagraph"/>
        <w:numPr>
          <w:ilvl w:val="0"/>
          <w:numId w:val="26"/>
        </w:numPr>
        <w:spacing w:before="0" w:line="240" w:lineRule="auto"/>
        <w:contextualSpacing/>
      </w:pPr>
      <w:r>
        <w:t>3 – 65+ years age group</w:t>
      </w:r>
    </w:p>
    <w:p w:rsidR="00154D81" w:rsidRDefault="00154D81" w:rsidP="00154D81">
      <w:pPr>
        <w:pStyle w:val="ListParagraph"/>
        <w:numPr>
          <w:ilvl w:val="0"/>
          <w:numId w:val="26"/>
        </w:numPr>
        <w:spacing w:before="0" w:line="240" w:lineRule="auto"/>
        <w:contextualSpacing/>
      </w:pPr>
      <w:r>
        <w:t>Z – interpreted as no HoNOS complexity split due to assessment only phase of care specification</w:t>
      </w:r>
    </w:p>
    <w:p w:rsidR="00154D81" w:rsidRPr="008F1C71" w:rsidRDefault="00154D81" w:rsidP="006664EF">
      <w:pPr>
        <w:spacing w:after="0" w:line="240" w:lineRule="auto"/>
        <w:rPr>
          <w:b/>
        </w:rPr>
      </w:pPr>
      <w:r>
        <w:rPr>
          <w:b/>
        </w:rPr>
        <w:t>2</w:t>
      </w:r>
      <w:r w:rsidRPr="008F1C71">
        <w:rPr>
          <w:b/>
        </w:rPr>
        <w:t xml:space="preserve">91Z </w:t>
      </w:r>
    </w:p>
    <w:p w:rsidR="00154D81" w:rsidRDefault="00154D81" w:rsidP="00154D81">
      <w:pPr>
        <w:pStyle w:val="ListParagraph"/>
        <w:numPr>
          <w:ilvl w:val="0"/>
          <w:numId w:val="27"/>
        </w:numPr>
        <w:spacing w:before="0" w:line="240" w:lineRule="auto"/>
        <w:contextualSpacing/>
      </w:pPr>
      <w:r>
        <w:t>2 – community setting</w:t>
      </w:r>
    </w:p>
    <w:p w:rsidR="00154D81" w:rsidRDefault="00154D81" w:rsidP="00154D81">
      <w:pPr>
        <w:pStyle w:val="ListParagraph"/>
        <w:numPr>
          <w:ilvl w:val="0"/>
          <w:numId w:val="27"/>
        </w:numPr>
        <w:spacing w:before="0" w:line="240" w:lineRule="auto"/>
        <w:contextualSpacing/>
      </w:pPr>
      <w:r>
        <w:t>9 – unknown phase of care</w:t>
      </w:r>
    </w:p>
    <w:p w:rsidR="00154D81" w:rsidRDefault="00154D81" w:rsidP="00154D81">
      <w:pPr>
        <w:pStyle w:val="ListParagraph"/>
        <w:numPr>
          <w:ilvl w:val="0"/>
          <w:numId w:val="27"/>
        </w:numPr>
        <w:spacing w:before="0" w:line="240" w:lineRule="auto"/>
        <w:contextualSpacing/>
      </w:pPr>
      <w:r>
        <w:t>1 – 0-17 years age group</w:t>
      </w:r>
    </w:p>
    <w:p w:rsidR="00154D81" w:rsidRDefault="00154D81" w:rsidP="00154D81">
      <w:pPr>
        <w:pStyle w:val="ListParagraph"/>
        <w:numPr>
          <w:ilvl w:val="0"/>
          <w:numId w:val="27"/>
        </w:numPr>
        <w:spacing w:before="0" w:line="240" w:lineRule="auto"/>
        <w:contextualSpacing/>
      </w:pPr>
      <w:r>
        <w:t xml:space="preserve">Z – interpreted as a missing information class due to unknown mental health phase of care </w:t>
      </w:r>
    </w:p>
    <w:p w:rsidR="00154D81" w:rsidRPr="008F1C71" w:rsidRDefault="00154D81" w:rsidP="006664EF">
      <w:pPr>
        <w:keepNext/>
        <w:spacing w:after="0" w:line="240" w:lineRule="auto"/>
        <w:rPr>
          <w:b/>
        </w:rPr>
      </w:pPr>
      <w:r>
        <w:rPr>
          <w:b/>
        </w:rPr>
        <w:lastRenderedPageBreak/>
        <w:t>2</w:t>
      </w:r>
      <w:r w:rsidRPr="008F1C71">
        <w:rPr>
          <w:b/>
        </w:rPr>
        <w:t xml:space="preserve">13Z </w:t>
      </w:r>
    </w:p>
    <w:p w:rsidR="00154D81" w:rsidRDefault="00154D81" w:rsidP="00154D81">
      <w:pPr>
        <w:pStyle w:val="ListParagraph"/>
        <w:numPr>
          <w:ilvl w:val="0"/>
          <w:numId w:val="28"/>
        </w:numPr>
        <w:spacing w:before="0" w:line="240" w:lineRule="auto"/>
        <w:contextualSpacing/>
      </w:pPr>
      <w:r>
        <w:t>2 – community setting</w:t>
      </w:r>
    </w:p>
    <w:p w:rsidR="00154D81" w:rsidRDefault="00154D81" w:rsidP="00154D81">
      <w:pPr>
        <w:pStyle w:val="ListParagraph"/>
        <w:numPr>
          <w:ilvl w:val="0"/>
          <w:numId w:val="28"/>
        </w:numPr>
        <w:spacing w:before="0" w:line="240" w:lineRule="auto"/>
        <w:contextualSpacing/>
      </w:pPr>
      <w:r>
        <w:t>1 – acute phase of care</w:t>
      </w:r>
    </w:p>
    <w:p w:rsidR="00154D81" w:rsidRDefault="00154D81" w:rsidP="00154D81">
      <w:pPr>
        <w:pStyle w:val="ListParagraph"/>
        <w:numPr>
          <w:ilvl w:val="0"/>
          <w:numId w:val="28"/>
        </w:numPr>
        <w:spacing w:before="0" w:line="240" w:lineRule="auto"/>
        <w:contextualSpacing/>
      </w:pPr>
      <w:r>
        <w:t>3 – 65+ years age group</w:t>
      </w:r>
    </w:p>
    <w:p w:rsidR="00154D81" w:rsidRDefault="00154D81" w:rsidP="00154D81">
      <w:pPr>
        <w:pStyle w:val="ListParagraph"/>
        <w:numPr>
          <w:ilvl w:val="0"/>
          <w:numId w:val="27"/>
        </w:numPr>
        <w:spacing w:before="0" w:line="240" w:lineRule="auto"/>
        <w:contextualSpacing/>
      </w:pPr>
      <w:r>
        <w:t>Z – interpreted as a missing information class due to unknown HoNOS score.</w:t>
      </w:r>
    </w:p>
    <w:p w:rsidR="00154D81" w:rsidRDefault="00154D81">
      <w:pPr>
        <w:spacing w:before="0" w:after="0" w:line="240" w:lineRule="auto"/>
        <w:sectPr w:rsidR="00154D81" w:rsidSect="00BD758B">
          <w:headerReference w:type="default" r:id="rId21"/>
          <w:pgSz w:w="11906" w:h="16838" w:code="9"/>
          <w:pgMar w:top="2041" w:right="1440" w:bottom="1021" w:left="1021" w:header="680" w:footer="510" w:gutter="0"/>
          <w:cols w:space="708"/>
          <w:docGrid w:linePitch="360"/>
        </w:sectPr>
      </w:pPr>
    </w:p>
    <w:p w:rsidR="00154D81" w:rsidRPr="005808C0" w:rsidRDefault="00154D81" w:rsidP="00154D81">
      <w:pPr>
        <w:pStyle w:val="Heading2"/>
      </w:pPr>
      <w:bookmarkStart w:id="164" w:name="_Toc454793261"/>
      <w:bookmarkStart w:id="165" w:name="_Toc483478615"/>
      <w:bookmarkStart w:id="166" w:name="_Toc514924145"/>
      <w:r>
        <w:lastRenderedPageBreak/>
        <w:t xml:space="preserve">5.4 The AMHCC Version 1.0 classes - </w:t>
      </w:r>
      <w:r w:rsidRPr="00FA1030">
        <w:t xml:space="preserve">Admitted </w:t>
      </w:r>
      <w:r>
        <w:t>s</w:t>
      </w:r>
      <w:r w:rsidRPr="00FA1030">
        <w:t>etting</w:t>
      </w:r>
      <w:bookmarkEnd w:id="164"/>
      <w:bookmarkEnd w:id="165"/>
      <w:bookmarkEnd w:id="166"/>
    </w:p>
    <w:p w:rsidR="00154D81" w:rsidRPr="009D64E1" w:rsidRDefault="00154D81" w:rsidP="00154D81">
      <w:pPr>
        <w:rPr>
          <w:b/>
          <w:i/>
          <w:lang w:val="en-US" w:eastAsia="ja-JP"/>
        </w:rPr>
      </w:pPr>
      <w:r>
        <w:rPr>
          <w:b/>
          <w:i/>
          <w:lang w:val="en-US" w:eastAsia="ja-JP"/>
        </w:rPr>
        <w:t>Table 4</w:t>
      </w:r>
      <w:r w:rsidRPr="009D64E1">
        <w:rPr>
          <w:b/>
          <w:i/>
          <w:lang w:val="en-US" w:eastAsia="ja-JP"/>
        </w:rPr>
        <w:t xml:space="preserve"> </w:t>
      </w:r>
      <w:r>
        <w:rPr>
          <w:b/>
          <w:i/>
          <w:lang w:val="en-US" w:eastAsia="ja-JP"/>
        </w:rPr>
        <w:t>–</w:t>
      </w:r>
      <w:r w:rsidRPr="009D64E1">
        <w:rPr>
          <w:b/>
          <w:i/>
          <w:lang w:val="en-US" w:eastAsia="ja-JP"/>
        </w:rPr>
        <w:t xml:space="preserve"> </w:t>
      </w:r>
      <w:r>
        <w:rPr>
          <w:b/>
          <w:i/>
          <w:lang w:val="en-US" w:eastAsia="ja-JP"/>
        </w:rPr>
        <w:t>Admitted branch of the AMHCC Version 1.0</w:t>
      </w:r>
    </w:p>
    <w:tbl>
      <w:tblPr>
        <w:tblW w:w="14175" w:type="dxa"/>
        <w:tblInd w:w="108" w:type="dxa"/>
        <w:tblLayout w:type="fixed"/>
        <w:tblLook w:val="04A0" w:firstRow="1" w:lastRow="0" w:firstColumn="1" w:lastColumn="0" w:noHBand="0" w:noVBand="1"/>
        <w:tblCaption w:val="Admitted end classes"/>
        <w:tblDescription w:val="Provides end class codes and descriptions for admitted setting."/>
      </w:tblPr>
      <w:tblGrid>
        <w:gridCol w:w="1418"/>
        <w:gridCol w:w="1276"/>
        <w:gridCol w:w="1134"/>
        <w:gridCol w:w="1360"/>
        <w:gridCol w:w="1333"/>
        <w:gridCol w:w="1276"/>
        <w:gridCol w:w="1275"/>
        <w:gridCol w:w="1275"/>
        <w:gridCol w:w="832"/>
        <w:gridCol w:w="2996"/>
      </w:tblGrid>
      <w:tr w:rsidR="00154D81" w:rsidRPr="009B40A8" w:rsidTr="00154D81">
        <w:trPr>
          <w:trHeight w:val="600"/>
          <w:tblHeader/>
        </w:trPr>
        <w:tc>
          <w:tcPr>
            <w:tcW w:w="1418" w:type="dxa"/>
            <w:tcBorders>
              <w:top w:val="single" w:sz="4" w:space="0" w:color="auto"/>
              <w:left w:val="single" w:sz="4" w:space="0" w:color="auto"/>
              <w:bottom w:val="single" w:sz="4" w:space="0" w:color="auto"/>
              <w:right w:val="single" w:sz="4" w:space="0" w:color="auto"/>
            </w:tcBorders>
            <w:shd w:val="clear" w:color="auto" w:fill="006D00" w:themeFill="accent1" w:themeFillTint="E6"/>
            <w:hideMark/>
          </w:tcPr>
          <w:p w:rsidR="00154D81" w:rsidRPr="00103593" w:rsidRDefault="00154D81" w:rsidP="00154D81">
            <w:pPr>
              <w:spacing w:after="0" w:line="240" w:lineRule="auto"/>
              <w:jc w:val="center"/>
              <w:rPr>
                <w:rFonts w:cs="Arial"/>
                <w:b/>
                <w:bCs/>
                <w:color w:val="FFFFFF" w:themeColor="background1"/>
                <w:sz w:val="20"/>
                <w:szCs w:val="20"/>
              </w:rPr>
            </w:pPr>
            <w:r w:rsidRPr="00103593">
              <w:rPr>
                <w:rFonts w:cs="Arial"/>
                <w:b/>
                <w:bCs/>
                <w:color w:val="FFFFFF" w:themeColor="background1"/>
                <w:sz w:val="20"/>
                <w:szCs w:val="20"/>
              </w:rPr>
              <w:t>Phase</w:t>
            </w:r>
          </w:p>
        </w:tc>
        <w:tc>
          <w:tcPr>
            <w:tcW w:w="1276" w:type="dxa"/>
            <w:tcBorders>
              <w:top w:val="single" w:sz="4" w:space="0" w:color="auto"/>
              <w:left w:val="nil"/>
              <w:bottom w:val="single" w:sz="4" w:space="0" w:color="auto"/>
              <w:right w:val="single" w:sz="4" w:space="0" w:color="auto"/>
            </w:tcBorders>
            <w:shd w:val="clear" w:color="auto" w:fill="006D00" w:themeFill="accent1" w:themeFillTint="E6"/>
            <w:hideMark/>
          </w:tcPr>
          <w:p w:rsidR="00154D81" w:rsidRPr="00103593" w:rsidRDefault="00154D81" w:rsidP="00154D81">
            <w:pPr>
              <w:spacing w:after="0" w:line="240" w:lineRule="auto"/>
              <w:jc w:val="center"/>
              <w:rPr>
                <w:rFonts w:cs="Arial"/>
                <w:b/>
                <w:bCs/>
                <w:color w:val="FFFFFF" w:themeColor="background1"/>
                <w:sz w:val="20"/>
                <w:szCs w:val="20"/>
              </w:rPr>
            </w:pPr>
            <w:r w:rsidRPr="00103593">
              <w:rPr>
                <w:rFonts w:cs="Arial"/>
                <w:b/>
                <w:bCs/>
                <w:color w:val="FFFFFF" w:themeColor="background1"/>
                <w:sz w:val="20"/>
                <w:szCs w:val="20"/>
              </w:rPr>
              <w:t>Age Group</w:t>
            </w:r>
          </w:p>
        </w:tc>
        <w:tc>
          <w:tcPr>
            <w:tcW w:w="1134" w:type="dxa"/>
            <w:tcBorders>
              <w:top w:val="single" w:sz="4" w:space="0" w:color="auto"/>
              <w:left w:val="nil"/>
              <w:bottom w:val="single" w:sz="4" w:space="0" w:color="auto"/>
              <w:right w:val="single" w:sz="4" w:space="0" w:color="auto"/>
            </w:tcBorders>
            <w:shd w:val="clear" w:color="auto" w:fill="006D00" w:themeFill="accent1" w:themeFillTint="E6"/>
            <w:hideMark/>
          </w:tcPr>
          <w:p w:rsidR="00154D81" w:rsidRPr="00103593" w:rsidRDefault="00154D81" w:rsidP="00154D81">
            <w:pPr>
              <w:spacing w:after="0" w:line="240" w:lineRule="auto"/>
              <w:jc w:val="center"/>
              <w:rPr>
                <w:rFonts w:cs="Arial"/>
                <w:b/>
                <w:bCs/>
                <w:color w:val="FFFFFF" w:themeColor="background1"/>
                <w:sz w:val="20"/>
                <w:szCs w:val="20"/>
              </w:rPr>
            </w:pPr>
            <w:r w:rsidRPr="00103593">
              <w:rPr>
                <w:rFonts w:cs="Arial"/>
                <w:b/>
                <w:bCs/>
                <w:color w:val="FFFFFF" w:themeColor="background1"/>
                <w:sz w:val="20"/>
                <w:szCs w:val="20"/>
              </w:rPr>
              <w:t>M</w:t>
            </w:r>
            <w:r>
              <w:rPr>
                <w:rFonts w:cs="Arial"/>
                <w:b/>
                <w:bCs/>
                <w:color w:val="FFFFFF" w:themeColor="background1"/>
                <w:sz w:val="20"/>
                <w:szCs w:val="20"/>
              </w:rPr>
              <w:t>ental health legal status</w:t>
            </w:r>
          </w:p>
        </w:tc>
        <w:tc>
          <w:tcPr>
            <w:tcW w:w="1360" w:type="dxa"/>
            <w:tcBorders>
              <w:top w:val="single" w:sz="4" w:space="0" w:color="auto"/>
              <w:left w:val="nil"/>
              <w:bottom w:val="single" w:sz="4" w:space="0" w:color="auto"/>
              <w:right w:val="single" w:sz="4" w:space="0" w:color="auto"/>
            </w:tcBorders>
            <w:shd w:val="clear" w:color="auto" w:fill="006D00" w:themeFill="accent1" w:themeFillTint="E6"/>
            <w:hideMark/>
          </w:tcPr>
          <w:p w:rsidR="00154D81" w:rsidRPr="00103593" w:rsidRDefault="00154D81" w:rsidP="00154D81">
            <w:pPr>
              <w:spacing w:after="0" w:line="240" w:lineRule="auto"/>
              <w:jc w:val="center"/>
              <w:rPr>
                <w:rFonts w:cs="Arial"/>
                <w:b/>
                <w:bCs/>
                <w:color w:val="FFFFFF" w:themeColor="background1"/>
                <w:sz w:val="20"/>
                <w:szCs w:val="20"/>
              </w:rPr>
            </w:pPr>
            <w:r w:rsidRPr="00103593">
              <w:rPr>
                <w:rFonts w:cs="Arial"/>
                <w:b/>
                <w:bCs/>
                <w:color w:val="FFFFFF" w:themeColor="background1"/>
                <w:sz w:val="20"/>
                <w:szCs w:val="20"/>
              </w:rPr>
              <w:t>HoNOS Complexity Weights</w:t>
            </w:r>
          </w:p>
        </w:tc>
        <w:tc>
          <w:tcPr>
            <w:tcW w:w="1333" w:type="dxa"/>
            <w:tcBorders>
              <w:top w:val="single" w:sz="4" w:space="0" w:color="auto"/>
              <w:left w:val="nil"/>
              <w:bottom w:val="single" w:sz="4" w:space="0" w:color="auto"/>
              <w:right w:val="single" w:sz="4" w:space="0" w:color="auto"/>
            </w:tcBorders>
            <w:shd w:val="clear" w:color="auto" w:fill="006D00" w:themeFill="accent1" w:themeFillTint="E6"/>
            <w:hideMark/>
          </w:tcPr>
          <w:p w:rsidR="00154D81" w:rsidRPr="00103593" w:rsidRDefault="00154D81" w:rsidP="00154D81">
            <w:pPr>
              <w:spacing w:after="0" w:line="240" w:lineRule="auto"/>
              <w:ind w:left="-51" w:right="-108"/>
              <w:jc w:val="center"/>
              <w:rPr>
                <w:rFonts w:cs="Arial"/>
                <w:b/>
                <w:bCs/>
                <w:color w:val="FFFFFF" w:themeColor="background1"/>
                <w:sz w:val="20"/>
                <w:szCs w:val="20"/>
              </w:rPr>
            </w:pPr>
            <w:r w:rsidRPr="00103593">
              <w:rPr>
                <w:rFonts w:cs="Arial"/>
                <w:b/>
                <w:bCs/>
                <w:color w:val="FFFFFF" w:themeColor="background1"/>
                <w:sz w:val="20"/>
                <w:szCs w:val="20"/>
              </w:rPr>
              <w:t xml:space="preserve">HoNOS Complexity </w:t>
            </w:r>
            <w:r w:rsidRPr="00103593">
              <w:rPr>
                <w:rFonts w:cs="Arial"/>
                <w:b/>
                <w:bCs/>
                <w:color w:val="FFFFFF" w:themeColor="background1"/>
                <w:sz w:val="20"/>
                <w:szCs w:val="20"/>
              </w:rPr>
              <w:br/>
              <w:t>Re-Scaling Factor</w:t>
            </w:r>
          </w:p>
        </w:tc>
        <w:tc>
          <w:tcPr>
            <w:tcW w:w="1276" w:type="dxa"/>
            <w:tcBorders>
              <w:top w:val="single" w:sz="4" w:space="0" w:color="auto"/>
              <w:left w:val="nil"/>
              <w:bottom w:val="single" w:sz="4" w:space="0" w:color="auto"/>
              <w:right w:val="single" w:sz="4" w:space="0" w:color="auto"/>
            </w:tcBorders>
            <w:shd w:val="clear" w:color="auto" w:fill="006D00" w:themeFill="accent1" w:themeFillTint="E6"/>
            <w:hideMark/>
          </w:tcPr>
          <w:p w:rsidR="00154D81" w:rsidRPr="00103593" w:rsidRDefault="00154D81" w:rsidP="00154D81">
            <w:pPr>
              <w:spacing w:after="0" w:line="240" w:lineRule="auto"/>
              <w:ind w:left="-108" w:right="-108"/>
              <w:jc w:val="center"/>
              <w:rPr>
                <w:rFonts w:cs="Arial"/>
                <w:b/>
                <w:bCs/>
                <w:color w:val="FFFFFF" w:themeColor="background1"/>
                <w:sz w:val="20"/>
                <w:szCs w:val="20"/>
              </w:rPr>
            </w:pPr>
            <w:r w:rsidRPr="00103593">
              <w:rPr>
                <w:rFonts w:cs="Arial"/>
                <w:b/>
                <w:bCs/>
                <w:color w:val="FFFFFF" w:themeColor="background1"/>
                <w:sz w:val="20"/>
                <w:szCs w:val="20"/>
              </w:rPr>
              <w:t>HoNOS Complexity Threshold</w:t>
            </w:r>
          </w:p>
        </w:tc>
        <w:tc>
          <w:tcPr>
            <w:tcW w:w="1275" w:type="dxa"/>
            <w:tcBorders>
              <w:top w:val="single" w:sz="4" w:space="0" w:color="auto"/>
              <w:left w:val="nil"/>
              <w:bottom w:val="single" w:sz="4" w:space="0" w:color="auto"/>
              <w:right w:val="single" w:sz="4" w:space="0" w:color="auto"/>
            </w:tcBorders>
            <w:shd w:val="clear" w:color="auto" w:fill="006D00" w:themeFill="accent1" w:themeFillTint="E6"/>
            <w:hideMark/>
          </w:tcPr>
          <w:p w:rsidR="00154D81" w:rsidRPr="00103593" w:rsidRDefault="00154D81" w:rsidP="00154D81">
            <w:pPr>
              <w:spacing w:after="0" w:line="240" w:lineRule="auto"/>
              <w:ind w:left="-108" w:right="-108"/>
              <w:jc w:val="center"/>
              <w:rPr>
                <w:rFonts w:cs="Arial"/>
                <w:b/>
                <w:bCs/>
                <w:color w:val="FFFFFF" w:themeColor="background1"/>
                <w:sz w:val="20"/>
                <w:szCs w:val="20"/>
              </w:rPr>
            </w:pPr>
            <w:r w:rsidRPr="00103593">
              <w:rPr>
                <w:rFonts w:cs="Arial"/>
                <w:b/>
                <w:bCs/>
                <w:color w:val="FFFFFF" w:themeColor="background1"/>
                <w:sz w:val="20"/>
                <w:szCs w:val="20"/>
              </w:rPr>
              <w:t>HoNOS Complexity</w:t>
            </w:r>
          </w:p>
        </w:tc>
        <w:tc>
          <w:tcPr>
            <w:tcW w:w="1275" w:type="dxa"/>
            <w:tcBorders>
              <w:top w:val="single" w:sz="4" w:space="0" w:color="auto"/>
              <w:left w:val="nil"/>
              <w:bottom w:val="single" w:sz="4" w:space="0" w:color="auto"/>
              <w:right w:val="single" w:sz="4" w:space="0" w:color="auto"/>
            </w:tcBorders>
            <w:shd w:val="clear" w:color="auto" w:fill="006D00" w:themeFill="accent1" w:themeFillTint="E6"/>
            <w:hideMark/>
          </w:tcPr>
          <w:p w:rsidR="00154D81" w:rsidRPr="00103593" w:rsidRDefault="00154D81" w:rsidP="00154D81">
            <w:pPr>
              <w:spacing w:after="0" w:line="240" w:lineRule="auto"/>
              <w:ind w:left="-109" w:right="-108"/>
              <w:jc w:val="center"/>
              <w:rPr>
                <w:rFonts w:cs="Arial"/>
                <w:b/>
                <w:bCs/>
                <w:color w:val="FFFFFF" w:themeColor="background1"/>
                <w:sz w:val="20"/>
                <w:szCs w:val="20"/>
              </w:rPr>
            </w:pPr>
            <w:r w:rsidRPr="00103593">
              <w:rPr>
                <w:rFonts w:cs="Arial"/>
                <w:b/>
                <w:bCs/>
                <w:color w:val="FFFFFF" w:themeColor="background1"/>
                <w:sz w:val="20"/>
                <w:szCs w:val="20"/>
              </w:rPr>
              <w:t>LSP Complexity</w:t>
            </w:r>
          </w:p>
        </w:tc>
        <w:tc>
          <w:tcPr>
            <w:tcW w:w="832" w:type="dxa"/>
            <w:tcBorders>
              <w:top w:val="single" w:sz="4" w:space="0" w:color="auto"/>
              <w:left w:val="nil"/>
              <w:bottom w:val="single" w:sz="4" w:space="0" w:color="auto"/>
              <w:right w:val="single" w:sz="4" w:space="0" w:color="auto"/>
            </w:tcBorders>
            <w:shd w:val="clear" w:color="auto" w:fill="006D00" w:themeFill="accent1" w:themeFillTint="E6"/>
            <w:hideMark/>
          </w:tcPr>
          <w:p w:rsidR="00154D81" w:rsidRPr="00103593" w:rsidRDefault="00154D81" w:rsidP="00154D81">
            <w:pPr>
              <w:spacing w:after="0" w:line="240" w:lineRule="auto"/>
              <w:rPr>
                <w:rFonts w:cs="Arial"/>
                <w:b/>
                <w:bCs/>
                <w:color w:val="FFFFFF" w:themeColor="background1"/>
                <w:sz w:val="20"/>
                <w:szCs w:val="20"/>
              </w:rPr>
            </w:pPr>
            <w:r w:rsidRPr="00103593">
              <w:rPr>
                <w:rFonts w:cs="Arial"/>
                <w:b/>
                <w:bCs/>
                <w:color w:val="FFFFFF" w:themeColor="background1"/>
                <w:sz w:val="20"/>
                <w:szCs w:val="20"/>
              </w:rPr>
              <w:t>Class Code</w:t>
            </w:r>
          </w:p>
        </w:tc>
        <w:tc>
          <w:tcPr>
            <w:tcW w:w="2996" w:type="dxa"/>
            <w:tcBorders>
              <w:top w:val="single" w:sz="4" w:space="0" w:color="auto"/>
              <w:left w:val="single" w:sz="4" w:space="0" w:color="auto"/>
              <w:bottom w:val="single" w:sz="4" w:space="0" w:color="auto"/>
              <w:right w:val="single" w:sz="4" w:space="0" w:color="auto"/>
            </w:tcBorders>
            <w:shd w:val="clear" w:color="auto" w:fill="006D00" w:themeFill="accent1" w:themeFillTint="E6"/>
            <w:hideMark/>
          </w:tcPr>
          <w:p w:rsidR="00154D81" w:rsidRPr="00103593" w:rsidRDefault="00154D81" w:rsidP="00154D81">
            <w:pPr>
              <w:spacing w:after="0" w:line="240" w:lineRule="auto"/>
              <w:rPr>
                <w:rFonts w:cs="Arial"/>
                <w:b/>
                <w:bCs/>
                <w:color w:val="FFFFFF" w:themeColor="background1"/>
                <w:sz w:val="20"/>
                <w:szCs w:val="20"/>
              </w:rPr>
            </w:pPr>
            <w:r w:rsidRPr="00103593">
              <w:rPr>
                <w:rFonts w:cs="Arial"/>
                <w:b/>
                <w:bCs/>
                <w:color w:val="FFFFFF" w:themeColor="background1"/>
                <w:sz w:val="20"/>
                <w:szCs w:val="20"/>
              </w:rPr>
              <w:t>Class Description</w:t>
            </w:r>
          </w:p>
        </w:tc>
      </w:tr>
      <w:tr w:rsidR="00154D81" w:rsidRPr="009B40A8" w:rsidTr="00154D81">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 xml:space="preserve">Assessment </w:t>
            </w:r>
            <w:r>
              <w:rPr>
                <w:rFonts w:cs="Arial"/>
                <w:sz w:val="20"/>
                <w:szCs w:val="20"/>
              </w:rPr>
              <w:t>o</w:t>
            </w:r>
            <w:r w:rsidRPr="009B40A8">
              <w:rPr>
                <w:rFonts w:cs="Arial"/>
                <w:sz w:val="20"/>
                <w:szCs w:val="20"/>
              </w:rPr>
              <w:t>nly</w:t>
            </w:r>
          </w:p>
        </w:tc>
        <w:tc>
          <w:tcPr>
            <w:tcW w:w="1276"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0-17 years</w:t>
            </w:r>
          </w:p>
        </w:tc>
        <w:tc>
          <w:tcPr>
            <w:tcW w:w="1134"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33"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6"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101Z</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Assessment </w:t>
            </w:r>
            <w:r>
              <w:rPr>
                <w:rFonts w:cs="Arial"/>
                <w:sz w:val="20"/>
                <w:szCs w:val="20"/>
              </w:rPr>
              <w:t>o</w:t>
            </w:r>
            <w:r w:rsidRPr="009B40A8">
              <w:rPr>
                <w:rFonts w:cs="Arial"/>
                <w:sz w:val="20"/>
                <w:szCs w:val="20"/>
              </w:rPr>
              <w:t>nly, 0</w:t>
            </w:r>
            <w:r>
              <w:rPr>
                <w:rFonts w:cs="Arial"/>
                <w:sz w:val="20"/>
                <w:szCs w:val="20"/>
              </w:rPr>
              <w:noBreakHyphen/>
            </w:r>
            <w:r w:rsidRPr="009B40A8">
              <w:rPr>
                <w:rFonts w:cs="Arial"/>
                <w:sz w:val="20"/>
                <w:szCs w:val="20"/>
              </w:rPr>
              <w:t>17 years</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18-64 years</w:t>
            </w:r>
          </w:p>
        </w:tc>
        <w:tc>
          <w:tcPr>
            <w:tcW w:w="1134"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33"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6"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102Z</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Assessment </w:t>
            </w:r>
            <w:r>
              <w:rPr>
                <w:rFonts w:cs="Arial"/>
                <w:sz w:val="20"/>
                <w:szCs w:val="20"/>
              </w:rPr>
              <w:t>o</w:t>
            </w:r>
            <w:r w:rsidRPr="009B40A8">
              <w:rPr>
                <w:rFonts w:cs="Arial"/>
                <w:sz w:val="20"/>
                <w:szCs w:val="20"/>
              </w:rPr>
              <w:t>nly, 18</w:t>
            </w:r>
            <w:r>
              <w:rPr>
                <w:rFonts w:cs="Arial"/>
                <w:sz w:val="20"/>
                <w:szCs w:val="20"/>
              </w:rPr>
              <w:noBreakHyphen/>
            </w:r>
            <w:r w:rsidRPr="009B40A8">
              <w:rPr>
                <w:rFonts w:cs="Arial"/>
                <w:sz w:val="20"/>
                <w:szCs w:val="20"/>
              </w:rPr>
              <w:t>64 years</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65+ years</w:t>
            </w:r>
          </w:p>
        </w:tc>
        <w:tc>
          <w:tcPr>
            <w:tcW w:w="1134"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33"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6"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103Z</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Assessment </w:t>
            </w:r>
            <w:r>
              <w:rPr>
                <w:rFonts w:cs="Arial"/>
                <w:sz w:val="20"/>
                <w:szCs w:val="20"/>
              </w:rPr>
              <w:t>o</w:t>
            </w:r>
            <w:r w:rsidRPr="009B40A8">
              <w:rPr>
                <w:rFonts w:cs="Arial"/>
                <w:sz w:val="20"/>
                <w:szCs w:val="20"/>
              </w:rPr>
              <w:t>nly, 65+ years</w:t>
            </w:r>
          </w:p>
        </w:tc>
      </w:tr>
      <w:tr w:rsidR="00154D81" w:rsidRPr="009B40A8" w:rsidTr="00154D81">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Acute</w:t>
            </w:r>
          </w:p>
        </w:tc>
        <w:tc>
          <w:tcPr>
            <w:tcW w:w="1276"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0-17 years</w:t>
            </w:r>
          </w:p>
        </w:tc>
        <w:tc>
          <w:tcPr>
            <w:tcW w:w="1134"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1, 1, 1, 1, 1, 1, 1, 1, 1, 1, 1, 1, 1</w:t>
            </w:r>
          </w:p>
        </w:tc>
        <w:tc>
          <w:tcPr>
            <w:tcW w:w="1333"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w:t>
            </w:r>
          </w:p>
        </w:tc>
        <w:tc>
          <w:tcPr>
            <w:tcW w:w="1276"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17</w:t>
            </w:r>
          </w:p>
        </w:tc>
        <w:tc>
          <w:tcPr>
            <w:tcW w:w="1275" w:type="dxa"/>
            <w:tcBorders>
              <w:top w:val="nil"/>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High</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111A</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Acute, 0-17 years, High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Moderate</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111B</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Acute, 0-17 years, Moderate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Unknown</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111Z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Admitted, Acute, 0-17 years, Unknown HoNOS</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18-64 years</w:t>
            </w:r>
          </w:p>
        </w:tc>
        <w:tc>
          <w:tcPr>
            <w:tcW w:w="1134"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ind w:left="-108" w:right="-108"/>
              <w:jc w:val="center"/>
              <w:rPr>
                <w:rFonts w:cs="Arial"/>
                <w:sz w:val="20"/>
                <w:szCs w:val="20"/>
              </w:rPr>
            </w:pPr>
            <w:r w:rsidRPr="009B40A8">
              <w:rPr>
                <w:rFonts w:cs="Arial"/>
                <w:sz w:val="20"/>
                <w:szCs w:val="20"/>
              </w:rPr>
              <w:t>Involuntary</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1.6, 0.6, 0.6, 0.8, 0.8, 1.6, 0.4, 0.4, 0.6, 0.6, 0.6, 0.6</w:t>
            </w:r>
          </w:p>
        </w:tc>
        <w:tc>
          <w:tcPr>
            <w:tcW w:w="1333"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1.3043</w:t>
            </w:r>
          </w:p>
        </w:tc>
        <w:tc>
          <w:tcPr>
            <w:tcW w:w="1276"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14</w:t>
            </w:r>
          </w:p>
        </w:tc>
        <w:tc>
          <w:tcPr>
            <w:tcW w:w="1275" w:type="dxa"/>
            <w:tcBorders>
              <w:top w:val="nil"/>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High</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1121A</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Acute, 18-64 years, Involuntary, High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Moderate</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1121B</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Acute, 18-64 years, Involuntary, Moderate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Unknown</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1121Z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Admitted, Acute, 18-64 years, Involuntary, Unknown HoNOS</w:t>
            </w:r>
          </w:p>
        </w:tc>
      </w:tr>
      <w:tr w:rsidR="00154D81" w:rsidRPr="009B40A8" w:rsidTr="0055691C">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Voluntary</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1.6, 0.6, 0.6, 0.8, 0.8, 1.6, 0.4, 0.4, 0.6, 0.6, 0.6, 0.6</w:t>
            </w:r>
          </w:p>
        </w:tc>
        <w:tc>
          <w:tcPr>
            <w:tcW w:w="1333"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1.3043</w:t>
            </w:r>
          </w:p>
        </w:tc>
        <w:tc>
          <w:tcPr>
            <w:tcW w:w="1276"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14</w:t>
            </w:r>
            <w:r w:rsidRPr="009B40A8">
              <w:rPr>
                <w:rFonts w:cs="Arial"/>
                <w:sz w:val="20"/>
                <w:szCs w:val="20"/>
              </w:rPr>
              <w:t> </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High</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1122A</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Acute, 18-64 years, Voluntary, High HoNOS </w:t>
            </w:r>
            <w:r>
              <w:rPr>
                <w:rFonts w:cs="Arial"/>
                <w:sz w:val="20"/>
                <w:szCs w:val="20"/>
              </w:rPr>
              <w:t>c</w:t>
            </w:r>
            <w:r w:rsidRPr="009B40A8">
              <w:rPr>
                <w:rFonts w:cs="Arial"/>
                <w:sz w:val="20"/>
                <w:szCs w:val="20"/>
              </w:rPr>
              <w:t>omplexity</w:t>
            </w:r>
          </w:p>
        </w:tc>
      </w:tr>
      <w:tr w:rsidR="00154D81" w:rsidRPr="009B40A8" w:rsidTr="0055691C">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5" w:type="dxa"/>
            <w:tcBorders>
              <w:top w:val="single" w:sz="4" w:space="0" w:color="auto"/>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Moderate</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1122B</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Default="00154D81" w:rsidP="006664EF">
            <w:pPr>
              <w:spacing w:before="0" w:after="0" w:line="240" w:lineRule="auto"/>
              <w:rPr>
                <w:rFonts w:cs="Arial"/>
                <w:sz w:val="20"/>
                <w:szCs w:val="20"/>
              </w:rPr>
            </w:pPr>
            <w:r w:rsidRPr="009B40A8">
              <w:rPr>
                <w:rFonts w:cs="Arial"/>
                <w:sz w:val="20"/>
                <w:szCs w:val="20"/>
              </w:rPr>
              <w:t xml:space="preserve">Admitted, Acute, 18-64 years, Voluntary, Moderate HoNOS </w:t>
            </w:r>
            <w:r>
              <w:rPr>
                <w:rFonts w:cs="Arial"/>
                <w:sz w:val="20"/>
                <w:szCs w:val="20"/>
              </w:rPr>
              <w:t>c</w:t>
            </w:r>
            <w:r w:rsidRPr="009B40A8">
              <w:rPr>
                <w:rFonts w:cs="Arial"/>
                <w:sz w:val="20"/>
                <w:szCs w:val="20"/>
              </w:rPr>
              <w:t>omplexity</w:t>
            </w:r>
          </w:p>
          <w:p w:rsidR="00003342" w:rsidRPr="009B40A8" w:rsidRDefault="00003342" w:rsidP="006664EF">
            <w:pPr>
              <w:spacing w:before="0" w:after="0" w:line="240" w:lineRule="auto"/>
              <w:rPr>
                <w:rFonts w:cs="Arial"/>
                <w:sz w:val="20"/>
                <w:szCs w:val="20"/>
              </w:rPr>
            </w:pPr>
          </w:p>
        </w:tc>
      </w:tr>
      <w:tr w:rsidR="00154D81" w:rsidRPr="009B40A8" w:rsidTr="0055691C">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5" w:type="dxa"/>
            <w:tcBorders>
              <w:top w:val="single" w:sz="4" w:space="0" w:color="auto"/>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Unknown</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1122Z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Admitted, Acute, 18-64 years, Voluntary, Unknown HoNOS</w:t>
            </w:r>
          </w:p>
        </w:tc>
      </w:tr>
      <w:tr w:rsidR="00154D81" w:rsidRPr="009B40A8" w:rsidTr="00154D81">
        <w:trPr>
          <w:cantSplit/>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65+ years</w:t>
            </w:r>
          </w:p>
        </w:tc>
        <w:tc>
          <w:tcPr>
            <w:tcW w:w="1134"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1.2, 0.8, 0.8, 1.2, 1.2, 1.2, 0.8, 0.8, 1, 1, 1, 1</w:t>
            </w:r>
          </w:p>
        </w:tc>
        <w:tc>
          <w:tcPr>
            <w:tcW w:w="1333"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w:t>
            </w:r>
          </w:p>
        </w:tc>
        <w:tc>
          <w:tcPr>
            <w:tcW w:w="1276"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15</w:t>
            </w:r>
          </w:p>
        </w:tc>
        <w:tc>
          <w:tcPr>
            <w:tcW w:w="1275" w:type="dxa"/>
            <w:tcBorders>
              <w:top w:val="nil"/>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High</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113A</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Acute, 65+ years, High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Moderate</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113B</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Acute, 65+ years, Moderate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Unknown</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113Z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Admitted, Acute, 65+ years, Unknown HoNOS</w:t>
            </w:r>
          </w:p>
        </w:tc>
      </w:tr>
      <w:tr w:rsidR="00154D81" w:rsidRPr="009B40A8" w:rsidTr="00154D81">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 xml:space="preserve">Functional </w:t>
            </w:r>
            <w:r>
              <w:rPr>
                <w:rFonts w:cs="Arial"/>
                <w:sz w:val="20"/>
                <w:szCs w:val="20"/>
              </w:rPr>
              <w:t>g</w:t>
            </w:r>
            <w:r w:rsidRPr="009B40A8">
              <w:rPr>
                <w:rFonts w:cs="Arial"/>
                <w:sz w:val="20"/>
                <w:szCs w:val="20"/>
              </w:rPr>
              <w:t>ain</w:t>
            </w:r>
          </w:p>
        </w:tc>
        <w:tc>
          <w:tcPr>
            <w:tcW w:w="1276"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0-17 years</w:t>
            </w:r>
          </w:p>
        </w:tc>
        <w:tc>
          <w:tcPr>
            <w:tcW w:w="1134"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1, 1, 1, 1, 1, 1, 1, 1, 1, 1, 1, 1, 1</w:t>
            </w:r>
          </w:p>
        </w:tc>
        <w:tc>
          <w:tcPr>
            <w:tcW w:w="1333"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w:t>
            </w:r>
          </w:p>
        </w:tc>
        <w:tc>
          <w:tcPr>
            <w:tcW w:w="1276"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12</w:t>
            </w:r>
          </w:p>
        </w:tc>
        <w:tc>
          <w:tcPr>
            <w:tcW w:w="1275" w:type="dxa"/>
            <w:tcBorders>
              <w:top w:val="nil"/>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High</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121A</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Functional </w:t>
            </w:r>
            <w:r>
              <w:rPr>
                <w:rFonts w:cs="Arial"/>
                <w:sz w:val="20"/>
                <w:szCs w:val="20"/>
              </w:rPr>
              <w:t>g</w:t>
            </w:r>
            <w:r w:rsidRPr="009B40A8">
              <w:rPr>
                <w:rFonts w:cs="Arial"/>
                <w:sz w:val="20"/>
                <w:szCs w:val="20"/>
              </w:rPr>
              <w:t xml:space="preserve">ain, 0-17 years, High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Moderate</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121B</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Functional </w:t>
            </w:r>
            <w:r>
              <w:rPr>
                <w:rFonts w:cs="Arial"/>
                <w:sz w:val="20"/>
                <w:szCs w:val="20"/>
              </w:rPr>
              <w:t>g</w:t>
            </w:r>
            <w:r w:rsidRPr="009B40A8">
              <w:rPr>
                <w:rFonts w:cs="Arial"/>
                <w:sz w:val="20"/>
                <w:szCs w:val="20"/>
              </w:rPr>
              <w:t xml:space="preserve">ain, 0-17 years, Moderate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Unknown</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121Z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Functional </w:t>
            </w:r>
            <w:r>
              <w:rPr>
                <w:rFonts w:cs="Arial"/>
                <w:sz w:val="20"/>
                <w:szCs w:val="20"/>
              </w:rPr>
              <w:t>g</w:t>
            </w:r>
            <w:r w:rsidRPr="009B40A8">
              <w:rPr>
                <w:rFonts w:cs="Arial"/>
                <w:sz w:val="20"/>
                <w:szCs w:val="20"/>
              </w:rPr>
              <w:t>ain, 0-17 years, Unknown HoNOS</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18-64 years</w:t>
            </w:r>
          </w:p>
        </w:tc>
        <w:tc>
          <w:tcPr>
            <w:tcW w:w="1134"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1.4, 1.2, 1.2, 1.4, 1.4, 1.4, 0.6, 0.6, 0.6, 0.6, 0.6, 0.6</w:t>
            </w:r>
          </w:p>
        </w:tc>
        <w:tc>
          <w:tcPr>
            <w:tcW w:w="1333"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1.0345</w:t>
            </w:r>
          </w:p>
        </w:tc>
        <w:tc>
          <w:tcPr>
            <w:tcW w:w="1276"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10</w:t>
            </w:r>
          </w:p>
        </w:tc>
        <w:tc>
          <w:tcPr>
            <w:tcW w:w="1275" w:type="dxa"/>
            <w:tcBorders>
              <w:top w:val="nil"/>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High</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122A</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Functional </w:t>
            </w:r>
            <w:r>
              <w:rPr>
                <w:rFonts w:cs="Arial"/>
                <w:sz w:val="20"/>
                <w:szCs w:val="20"/>
              </w:rPr>
              <w:t>g</w:t>
            </w:r>
            <w:r w:rsidRPr="009B40A8">
              <w:rPr>
                <w:rFonts w:cs="Arial"/>
                <w:sz w:val="20"/>
                <w:szCs w:val="20"/>
              </w:rPr>
              <w:t>ain, 18</w:t>
            </w:r>
            <w:r>
              <w:rPr>
                <w:rFonts w:cs="Arial"/>
                <w:sz w:val="20"/>
                <w:szCs w:val="20"/>
              </w:rPr>
              <w:noBreakHyphen/>
            </w:r>
            <w:r w:rsidRPr="009B40A8">
              <w:rPr>
                <w:rFonts w:cs="Arial"/>
                <w:sz w:val="20"/>
                <w:szCs w:val="20"/>
              </w:rPr>
              <w:t xml:space="preserve">64 years, High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Moderate</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122B</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Functional </w:t>
            </w:r>
            <w:r>
              <w:rPr>
                <w:rFonts w:cs="Arial"/>
                <w:sz w:val="20"/>
                <w:szCs w:val="20"/>
              </w:rPr>
              <w:t>g</w:t>
            </w:r>
            <w:r w:rsidRPr="009B40A8">
              <w:rPr>
                <w:rFonts w:cs="Arial"/>
                <w:sz w:val="20"/>
                <w:szCs w:val="20"/>
              </w:rPr>
              <w:t>ain, 18</w:t>
            </w:r>
            <w:r>
              <w:rPr>
                <w:rFonts w:cs="Arial"/>
                <w:sz w:val="20"/>
                <w:szCs w:val="20"/>
              </w:rPr>
              <w:noBreakHyphen/>
            </w:r>
            <w:r w:rsidRPr="009B40A8">
              <w:rPr>
                <w:rFonts w:cs="Arial"/>
                <w:sz w:val="20"/>
                <w:szCs w:val="20"/>
              </w:rPr>
              <w:t xml:space="preserve">64 years, Moderate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Unknown</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122Z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Functional </w:t>
            </w:r>
            <w:r>
              <w:rPr>
                <w:rFonts w:cs="Arial"/>
                <w:sz w:val="20"/>
                <w:szCs w:val="20"/>
              </w:rPr>
              <w:t>g</w:t>
            </w:r>
            <w:r w:rsidRPr="009B40A8">
              <w:rPr>
                <w:rFonts w:cs="Arial"/>
                <w:sz w:val="20"/>
                <w:szCs w:val="20"/>
              </w:rPr>
              <w:t>ain, 18</w:t>
            </w:r>
            <w:r>
              <w:rPr>
                <w:rFonts w:cs="Arial"/>
                <w:sz w:val="20"/>
                <w:szCs w:val="20"/>
              </w:rPr>
              <w:noBreakHyphen/>
            </w:r>
            <w:r w:rsidRPr="009B40A8">
              <w:rPr>
                <w:rFonts w:cs="Arial"/>
                <w:sz w:val="20"/>
                <w:szCs w:val="20"/>
              </w:rPr>
              <w:t>64 years, Unknown HoNOS</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65+ years</w:t>
            </w:r>
          </w:p>
        </w:tc>
        <w:tc>
          <w:tcPr>
            <w:tcW w:w="1134"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1.2, 0.8, 0.8, 1.2, 1.2, 1.2, 0.8, 0.8, 1, 1, 1, 1</w:t>
            </w:r>
          </w:p>
        </w:tc>
        <w:tc>
          <w:tcPr>
            <w:tcW w:w="1333"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w:t>
            </w:r>
          </w:p>
        </w:tc>
        <w:tc>
          <w:tcPr>
            <w:tcW w:w="1276"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11</w:t>
            </w:r>
          </w:p>
        </w:tc>
        <w:tc>
          <w:tcPr>
            <w:tcW w:w="1275" w:type="dxa"/>
            <w:tcBorders>
              <w:top w:val="nil"/>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High</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123A</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Functional </w:t>
            </w:r>
            <w:r>
              <w:rPr>
                <w:rFonts w:cs="Arial"/>
                <w:sz w:val="20"/>
                <w:szCs w:val="20"/>
              </w:rPr>
              <w:t>g</w:t>
            </w:r>
            <w:r w:rsidRPr="009B40A8">
              <w:rPr>
                <w:rFonts w:cs="Arial"/>
                <w:sz w:val="20"/>
                <w:szCs w:val="20"/>
              </w:rPr>
              <w:t xml:space="preserve">ain, 65+ years, High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Moderate</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123B</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Functional </w:t>
            </w:r>
            <w:r>
              <w:rPr>
                <w:rFonts w:cs="Arial"/>
                <w:sz w:val="20"/>
                <w:szCs w:val="20"/>
              </w:rPr>
              <w:t>g</w:t>
            </w:r>
            <w:r w:rsidRPr="009B40A8">
              <w:rPr>
                <w:rFonts w:cs="Arial"/>
                <w:sz w:val="20"/>
                <w:szCs w:val="20"/>
              </w:rPr>
              <w:t xml:space="preserve">ain, 65+ years, Moderate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Unknown</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123Z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Default="00154D81" w:rsidP="006664EF">
            <w:pPr>
              <w:spacing w:before="0" w:after="0" w:line="240" w:lineRule="auto"/>
              <w:rPr>
                <w:rFonts w:cs="Arial"/>
                <w:sz w:val="20"/>
                <w:szCs w:val="20"/>
              </w:rPr>
            </w:pPr>
            <w:r w:rsidRPr="009B40A8">
              <w:rPr>
                <w:rFonts w:cs="Arial"/>
                <w:sz w:val="20"/>
                <w:szCs w:val="20"/>
              </w:rPr>
              <w:t xml:space="preserve">Admitted, Functional </w:t>
            </w:r>
            <w:r>
              <w:rPr>
                <w:rFonts w:cs="Arial"/>
                <w:sz w:val="20"/>
                <w:szCs w:val="20"/>
              </w:rPr>
              <w:t>g</w:t>
            </w:r>
            <w:r w:rsidRPr="009B40A8">
              <w:rPr>
                <w:rFonts w:cs="Arial"/>
                <w:sz w:val="20"/>
                <w:szCs w:val="20"/>
              </w:rPr>
              <w:t>ain, 65+ years, Unknown HoNOS</w:t>
            </w:r>
          </w:p>
          <w:p w:rsidR="00003342" w:rsidRDefault="00003342" w:rsidP="006664EF">
            <w:pPr>
              <w:spacing w:before="0" w:after="0" w:line="240" w:lineRule="auto"/>
              <w:rPr>
                <w:rFonts w:cs="Arial"/>
                <w:sz w:val="20"/>
                <w:szCs w:val="20"/>
              </w:rPr>
            </w:pPr>
          </w:p>
          <w:p w:rsidR="00003342" w:rsidRPr="009B40A8" w:rsidRDefault="00003342" w:rsidP="006664EF">
            <w:pPr>
              <w:spacing w:before="0" w:after="0" w:line="240" w:lineRule="auto"/>
              <w:rPr>
                <w:rFonts w:cs="Arial"/>
                <w:sz w:val="20"/>
                <w:szCs w:val="20"/>
              </w:rPr>
            </w:pPr>
          </w:p>
        </w:tc>
      </w:tr>
      <w:tr w:rsidR="00154D81" w:rsidRPr="009B40A8" w:rsidTr="00154D81">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lastRenderedPageBreak/>
              <w:t xml:space="preserve">Intensive </w:t>
            </w:r>
            <w:r>
              <w:rPr>
                <w:rFonts w:cs="Arial"/>
                <w:sz w:val="20"/>
                <w:szCs w:val="20"/>
              </w:rPr>
              <w:t>e</w:t>
            </w:r>
            <w:r w:rsidRPr="009B40A8">
              <w:rPr>
                <w:rFonts w:cs="Arial"/>
                <w:sz w:val="20"/>
                <w:szCs w:val="20"/>
              </w:rPr>
              <w:t>xtended</w:t>
            </w:r>
          </w:p>
        </w:tc>
        <w:tc>
          <w:tcPr>
            <w:tcW w:w="1276"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0-17 years</w:t>
            </w:r>
          </w:p>
        </w:tc>
        <w:tc>
          <w:tcPr>
            <w:tcW w:w="1134"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1, 1, 1, 1, 1, 1, 1, 1, 1, 1, 1, 1, 1</w:t>
            </w:r>
          </w:p>
        </w:tc>
        <w:tc>
          <w:tcPr>
            <w:tcW w:w="1333"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w:t>
            </w:r>
          </w:p>
        </w:tc>
        <w:tc>
          <w:tcPr>
            <w:tcW w:w="1276"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12</w:t>
            </w:r>
          </w:p>
        </w:tc>
        <w:tc>
          <w:tcPr>
            <w:tcW w:w="1275" w:type="dxa"/>
            <w:tcBorders>
              <w:top w:val="nil"/>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High</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131A</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Intensive </w:t>
            </w:r>
            <w:r>
              <w:rPr>
                <w:rFonts w:cs="Arial"/>
                <w:sz w:val="20"/>
                <w:szCs w:val="20"/>
              </w:rPr>
              <w:t>e</w:t>
            </w:r>
            <w:r w:rsidRPr="009B40A8">
              <w:rPr>
                <w:rFonts w:cs="Arial"/>
                <w:sz w:val="20"/>
                <w:szCs w:val="20"/>
              </w:rPr>
              <w:t xml:space="preserve">xtended, 0-17 years, High HoNOS </w:t>
            </w:r>
            <w:r>
              <w:rPr>
                <w:rFonts w:cs="Arial"/>
                <w:sz w:val="20"/>
                <w:szCs w:val="20"/>
              </w:rPr>
              <w:t>c</w:t>
            </w:r>
            <w:r w:rsidRPr="009B40A8">
              <w:rPr>
                <w:rFonts w:cs="Arial"/>
                <w:sz w:val="20"/>
                <w:szCs w:val="20"/>
              </w:rPr>
              <w:t>omplexity</w:t>
            </w:r>
          </w:p>
        </w:tc>
      </w:tr>
      <w:tr w:rsidR="00154D81" w:rsidRPr="009B40A8" w:rsidTr="00154D81">
        <w:trPr>
          <w:cantSplit/>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Moderate</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131B</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Intensive </w:t>
            </w:r>
            <w:r>
              <w:rPr>
                <w:rFonts w:cs="Arial"/>
                <w:sz w:val="20"/>
                <w:szCs w:val="20"/>
              </w:rPr>
              <w:t>e</w:t>
            </w:r>
            <w:r w:rsidRPr="009B40A8">
              <w:rPr>
                <w:rFonts w:cs="Arial"/>
                <w:sz w:val="20"/>
                <w:szCs w:val="20"/>
              </w:rPr>
              <w:t xml:space="preserve">xtended, 0-17 years, Moderate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5" w:type="dxa"/>
            <w:tcBorders>
              <w:top w:val="single" w:sz="4" w:space="0" w:color="auto"/>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Unknown</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131Z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Intensive </w:t>
            </w:r>
            <w:r>
              <w:rPr>
                <w:rFonts w:cs="Arial"/>
                <w:sz w:val="20"/>
                <w:szCs w:val="20"/>
              </w:rPr>
              <w:t>e</w:t>
            </w:r>
            <w:r w:rsidRPr="009B40A8">
              <w:rPr>
                <w:rFonts w:cs="Arial"/>
                <w:sz w:val="20"/>
                <w:szCs w:val="20"/>
              </w:rPr>
              <w:t>xtended, 0-17 years, Unknown HoNOS</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18-64 years</w:t>
            </w:r>
          </w:p>
        </w:tc>
        <w:tc>
          <w:tcPr>
            <w:tcW w:w="1134"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1.2, 1, 1, 1.2, 1.2, 1.2, 1.2, 1.2, 1.2, 1.2, 1.2, 1.2</w:t>
            </w:r>
          </w:p>
        </w:tc>
        <w:tc>
          <w:tcPr>
            <w:tcW w:w="1333"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0.8571</w:t>
            </w:r>
          </w:p>
        </w:tc>
        <w:tc>
          <w:tcPr>
            <w:tcW w:w="1276"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11</w:t>
            </w:r>
          </w:p>
        </w:tc>
        <w:tc>
          <w:tcPr>
            <w:tcW w:w="1275" w:type="dxa"/>
            <w:tcBorders>
              <w:top w:val="nil"/>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High</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132A</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Intensive </w:t>
            </w:r>
            <w:r>
              <w:rPr>
                <w:rFonts w:cs="Arial"/>
                <w:sz w:val="20"/>
                <w:szCs w:val="20"/>
              </w:rPr>
              <w:t>e</w:t>
            </w:r>
            <w:r w:rsidRPr="009B40A8">
              <w:rPr>
                <w:rFonts w:cs="Arial"/>
                <w:sz w:val="20"/>
                <w:szCs w:val="20"/>
              </w:rPr>
              <w:t xml:space="preserve">xtended, 18-64 years, High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Moderate</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132B</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Intensive </w:t>
            </w:r>
            <w:r>
              <w:rPr>
                <w:rFonts w:cs="Arial"/>
                <w:sz w:val="20"/>
                <w:szCs w:val="20"/>
              </w:rPr>
              <w:t>e</w:t>
            </w:r>
            <w:r w:rsidRPr="009B40A8">
              <w:rPr>
                <w:rFonts w:cs="Arial"/>
                <w:sz w:val="20"/>
                <w:szCs w:val="20"/>
              </w:rPr>
              <w:t xml:space="preserve">xtended, 18-64 years, Moderate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Unknown</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132Z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Intensive </w:t>
            </w:r>
            <w:r>
              <w:rPr>
                <w:rFonts w:cs="Arial"/>
                <w:sz w:val="20"/>
                <w:szCs w:val="20"/>
              </w:rPr>
              <w:t>e</w:t>
            </w:r>
            <w:r w:rsidRPr="009B40A8">
              <w:rPr>
                <w:rFonts w:cs="Arial"/>
                <w:sz w:val="20"/>
                <w:szCs w:val="20"/>
              </w:rPr>
              <w:t>xtended, 18-64 years, Unknown HoNOS</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65+ years</w:t>
            </w:r>
          </w:p>
        </w:tc>
        <w:tc>
          <w:tcPr>
            <w:tcW w:w="1134"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1.2, 0.8, 0.8, 1.2, 1.2, 1.2, 0.8, 0.8, 1, 1, 1, 1</w:t>
            </w:r>
          </w:p>
        </w:tc>
        <w:tc>
          <w:tcPr>
            <w:tcW w:w="1333"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w:t>
            </w:r>
          </w:p>
        </w:tc>
        <w:tc>
          <w:tcPr>
            <w:tcW w:w="1276"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11</w:t>
            </w:r>
          </w:p>
        </w:tc>
        <w:tc>
          <w:tcPr>
            <w:tcW w:w="1275" w:type="dxa"/>
            <w:tcBorders>
              <w:top w:val="nil"/>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High</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133A</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Intensive </w:t>
            </w:r>
            <w:r>
              <w:rPr>
                <w:rFonts w:cs="Arial"/>
                <w:sz w:val="20"/>
                <w:szCs w:val="20"/>
              </w:rPr>
              <w:t>e</w:t>
            </w:r>
            <w:r w:rsidRPr="009B40A8">
              <w:rPr>
                <w:rFonts w:cs="Arial"/>
                <w:sz w:val="20"/>
                <w:szCs w:val="20"/>
              </w:rPr>
              <w:t xml:space="preserve">xtended, 65+ years, High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Moderate</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133B</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Intensive </w:t>
            </w:r>
            <w:r>
              <w:rPr>
                <w:rFonts w:cs="Arial"/>
                <w:sz w:val="20"/>
                <w:szCs w:val="20"/>
              </w:rPr>
              <w:t>e</w:t>
            </w:r>
            <w:r w:rsidRPr="009B40A8">
              <w:rPr>
                <w:rFonts w:cs="Arial"/>
                <w:sz w:val="20"/>
                <w:szCs w:val="20"/>
              </w:rPr>
              <w:t xml:space="preserve">xtended, 65+ years, Moderate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Unknown</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133Z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Intensive </w:t>
            </w:r>
            <w:r>
              <w:rPr>
                <w:rFonts w:cs="Arial"/>
                <w:sz w:val="20"/>
                <w:szCs w:val="20"/>
              </w:rPr>
              <w:t>e</w:t>
            </w:r>
            <w:r w:rsidRPr="009B40A8">
              <w:rPr>
                <w:rFonts w:cs="Arial"/>
                <w:sz w:val="20"/>
                <w:szCs w:val="20"/>
              </w:rPr>
              <w:t>xtended, 65+ years, Unknown HoNOS</w:t>
            </w:r>
          </w:p>
        </w:tc>
      </w:tr>
      <w:tr w:rsidR="00154D81" w:rsidRPr="009B40A8" w:rsidTr="0055691C">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ind w:left="-108" w:right="-108"/>
              <w:jc w:val="center"/>
              <w:rPr>
                <w:rFonts w:cs="Arial"/>
                <w:sz w:val="20"/>
                <w:szCs w:val="20"/>
              </w:rPr>
            </w:pPr>
            <w:r w:rsidRPr="009B40A8">
              <w:rPr>
                <w:rFonts w:cs="Arial"/>
                <w:sz w:val="20"/>
                <w:szCs w:val="20"/>
              </w:rPr>
              <w:t xml:space="preserve">Consolidating </w:t>
            </w:r>
            <w:r>
              <w:rPr>
                <w:rFonts w:cs="Arial"/>
                <w:sz w:val="20"/>
                <w:szCs w:val="20"/>
              </w:rPr>
              <w:t>g</w:t>
            </w:r>
            <w:r w:rsidRPr="009B40A8">
              <w:rPr>
                <w:rFonts w:cs="Arial"/>
                <w:sz w:val="20"/>
                <w:szCs w:val="20"/>
              </w:rPr>
              <w:t>ain</w:t>
            </w:r>
          </w:p>
        </w:tc>
        <w:tc>
          <w:tcPr>
            <w:tcW w:w="1276"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0-17 years</w:t>
            </w:r>
          </w:p>
        </w:tc>
        <w:tc>
          <w:tcPr>
            <w:tcW w:w="1134"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1, 1, 1, 1, 1, 1, 1, 1, 1, 1, 1, 1, 1</w:t>
            </w:r>
          </w:p>
        </w:tc>
        <w:tc>
          <w:tcPr>
            <w:tcW w:w="1333"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w:t>
            </w:r>
          </w:p>
        </w:tc>
        <w:tc>
          <w:tcPr>
            <w:tcW w:w="1276"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9</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High</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141A</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Consolidating </w:t>
            </w:r>
            <w:r>
              <w:rPr>
                <w:rFonts w:cs="Arial"/>
                <w:sz w:val="20"/>
                <w:szCs w:val="20"/>
              </w:rPr>
              <w:t>g</w:t>
            </w:r>
            <w:r w:rsidRPr="009B40A8">
              <w:rPr>
                <w:rFonts w:cs="Arial"/>
                <w:sz w:val="20"/>
                <w:szCs w:val="20"/>
              </w:rPr>
              <w:t xml:space="preserve">ain, 0-17 years, High HoNOS </w:t>
            </w:r>
            <w:r>
              <w:rPr>
                <w:rFonts w:cs="Arial"/>
                <w:sz w:val="20"/>
                <w:szCs w:val="20"/>
              </w:rPr>
              <w:t>c</w:t>
            </w:r>
            <w:r w:rsidRPr="009B40A8">
              <w:rPr>
                <w:rFonts w:cs="Arial"/>
                <w:sz w:val="20"/>
                <w:szCs w:val="20"/>
              </w:rPr>
              <w:t>omplexity</w:t>
            </w:r>
          </w:p>
        </w:tc>
      </w:tr>
      <w:tr w:rsidR="00154D81" w:rsidRPr="009B40A8" w:rsidTr="0055691C">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Moderate</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141B</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Default="00154D81" w:rsidP="006664EF">
            <w:pPr>
              <w:spacing w:before="0" w:after="0" w:line="240" w:lineRule="auto"/>
              <w:rPr>
                <w:rFonts w:cs="Arial"/>
                <w:sz w:val="20"/>
                <w:szCs w:val="20"/>
              </w:rPr>
            </w:pPr>
            <w:r w:rsidRPr="009B40A8">
              <w:rPr>
                <w:rFonts w:cs="Arial"/>
                <w:sz w:val="20"/>
                <w:szCs w:val="20"/>
              </w:rPr>
              <w:t xml:space="preserve">Admitted, Consolidating </w:t>
            </w:r>
            <w:r>
              <w:rPr>
                <w:rFonts w:cs="Arial"/>
                <w:sz w:val="20"/>
                <w:szCs w:val="20"/>
              </w:rPr>
              <w:t>g</w:t>
            </w:r>
            <w:r w:rsidRPr="009B40A8">
              <w:rPr>
                <w:rFonts w:cs="Arial"/>
                <w:sz w:val="20"/>
                <w:szCs w:val="20"/>
              </w:rPr>
              <w:t xml:space="preserve">ain, 0-17 years, Moderate HoNOS </w:t>
            </w:r>
            <w:r>
              <w:rPr>
                <w:rFonts w:cs="Arial"/>
                <w:sz w:val="20"/>
                <w:szCs w:val="20"/>
              </w:rPr>
              <w:t>c</w:t>
            </w:r>
            <w:r w:rsidRPr="009B40A8">
              <w:rPr>
                <w:rFonts w:cs="Arial"/>
                <w:sz w:val="20"/>
                <w:szCs w:val="20"/>
              </w:rPr>
              <w:t>omplexity</w:t>
            </w:r>
          </w:p>
          <w:p w:rsidR="00003342" w:rsidRDefault="00003342" w:rsidP="006664EF">
            <w:pPr>
              <w:spacing w:before="0" w:after="0" w:line="240" w:lineRule="auto"/>
              <w:rPr>
                <w:rFonts w:cs="Arial"/>
                <w:sz w:val="20"/>
                <w:szCs w:val="20"/>
              </w:rPr>
            </w:pPr>
          </w:p>
          <w:p w:rsidR="00003342" w:rsidRPr="009B40A8" w:rsidRDefault="00003342" w:rsidP="006664EF">
            <w:pPr>
              <w:spacing w:before="0" w:after="0" w:line="240" w:lineRule="auto"/>
              <w:rPr>
                <w:rFonts w:cs="Arial"/>
                <w:sz w:val="20"/>
                <w:szCs w:val="20"/>
              </w:rPr>
            </w:pPr>
          </w:p>
        </w:tc>
      </w:tr>
      <w:tr w:rsidR="00154D81" w:rsidRPr="009B40A8" w:rsidTr="0055691C">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Unknown</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141Z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Consolidating </w:t>
            </w:r>
            <w:r>
              <w:rPr>
                <w:rFonts w:cs="Arial"/>
                <w:sz w:val="20"/>
                <w:szCs w:val="20"/>
              </w:rPr>
              <w:t>g</w:t>
            </w:r>
            <w:r w:rsidRPr="009B40A8">
              <w:rPr>
                <w:rFonts w:cs="Arial"/>
                <w:sz w:val="20"/>
                <w:szCs w:val="20"/>
              </w:rPr>
              <w:t>ain, 0-17 years, Unknown HoNOS</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18-64 years</w:t>
            </w:r>
          </w:p>
        </w:tc>
        <w:tc>
          <w:tcPr>
            <w:tcW w:w="1134"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1, 0.6, 0.6, 1.4, 1.4, 1, 0.8, 0.8, 1.4, 1.4, 0.6, 0.6</w:t>
            </w:r>
          </w:p>
        </w:tc>
        <w:tc>
          <w:tcPr>
            <w:tcW w:w="1333"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1.0345</w:t>
            </w:r>
          </w:p>
        </w:tc>
        <w:tc>
          <w:tcPr>
            <w:tcW w:w="1276"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8</w:t>
            </w:r>
          </w:p>
        </w:tc>
        <w:tc>
          <w:tcPr>
            <w:tcW w:w="1275" w:type="dxa"/>
            <w:tcBorders>
              <w:top w:val="nil"/>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High</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142A</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Default="00154D81" w:rsidP="00727848">
            <w:pPr>
              <w:spacing w:before="0" w:after="0" w:line="240" w:lineRule="auto"/>
              <w:rPr>
                <w:rFonts w:cs="Arial"/>
                <w:sz w:val="20"/>
                <w:szCs w:val="20"/>
              </w:rPr>
            </w:pPr>
            <w:r w:rsidRPr="009B40A8">
              <w:rPr>
                <w:rFonts w:cs="Arial"/>
                <w:sz w:val="20"/>
                <w:szCs w:val="20"/>
              </w:rPr>
              <w:t xml:space="preserve">Admitted, Consolidating </w:t>
            </w:r>
            <w:r>
              <w:rPr>
                <w:rFonts w:cs="Arial"/>
                <w:sz w:val="20"/>
                <w:szCs w:val="20"/>
              </w:rPr>
              <w:t>g</w:t>
            </w:r>
            <w:r w:rsidRPr="009B40A8">
              <w:rPr>
                <w:rFonts w:cs="Arial"/>
                <w:sz w:val="20"/>
                <w:szCs w:val="20"/>
              </w:rPr>
              <w:t xml:space="preserve">ain, 18-64 years, High HoNOS </w:t>
            </w:r>
            <w:r>
              <w:rPr>
                <w:rFonts w:cs="Arial"/>
                <w:sz w:val="20"/>
                <w:szCs w:val="20"/>
              </w:rPr>
              <w:t>c</w:t>
            </w:r>
            <w:r w:rsidRPr="009B40A8">
              <w:rPr>
                <w:rFonts w:cs="Arial"/>
                <w:sz w:val="20"/>
                <w:szCs w:val="20"/>
              </w:rPr>
              <w:t>omplexity</w:t>
            </w:r>
          </w:p>
          <w:p w:rsidR="00727848" w:rsidRPr="009B40A8" w:rsidRDefault="00727848" w:rsidP="00727848">
            <w:pPr>
              <w:spacing w:before="0" w:after="0" w:line="240" w:lineRule="auto"/>
              <w:rPr>
                <w:rFonts w:cs="Arial"/>
                <w:sz w:val="20"/>
                <w:szCs w:val="20"/>
              </w:rPr>
            </w:pP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Moderate</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142B</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Consolidating </w:t>
            </w:r>
            <w:r>
              <w:rPr>
                <w:rFonts w:cs="Arial"/>
                <w:sz w:val="20"/>
                <w:szCs w:val="20"/>
              </w:rPr>
              <w:t>g</w:t>
            </w:r>
            <w:r w:rsidRPr="009B40A8">
              <w:rPr>
                <w:rFonts w:cs="Arial"/>
                <w:sz w:val="20"/>
                <w:szCs w:val="20"/>
              </w:rPr>
              <w:t xml:space="preserve">ain, 18-64 years, Moderate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5" w:type="dxa"/>
            <w:tcBorders>
              <w:top w:val="single" w:sz="4" w:space="0" w:color="auto"/>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Unknown</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142Z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Consolidating </w:t>
            </w:r>
            <w:r>
              <w:rPr>
                <w:rFonts w:cs="Arial"/>
                <w:sz w:val="20"/>
                <w:szCs w:val="20"/>
              </w:rPr>
              <w:t>g</w:t>
            </w:r>
            <w:r w:rsidRPr="009B40A8">
              <w:rPr>
                <w:rFonts w:cs="Arial"/>
                <w:sz w:val="20"/>
                <w:szCs w:val="20"/>
              </w:rPr>
              <w:t>ain, 18-64 years, Unknown HoNOS</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65+ years</w:t>
            </w:r>
          </w:p>
        </w:tc>
        <w:tc>
          <w:tcPr>
            <w:tcW w:w="1134" w:type="dxa"/>
            <w:vMerge w:val="restart"/>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1.2, 0.8, 0.8, 1.2, 1.2, 1.2, 0.8, 0.8, 1, 1, 1, 1</w:t>
            </w:r>
          </w:p>
        </w:tc>
        <w:tc>
          <w:tcPr>
            <w:tcW w:w="1333"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w:t>
            </w:r>
          </w:p>
        </w:tc>
        <w:tc>
          <w:tcPr>
            <w:tcW w:w="1276" w:type="dxa"/>
            <w:vMerge w:val="restart"/>
            <w:tcBorders>
              <w:top w:val="nil"/>
              <w:left w:val="single" w:sz="4" w:space="0" w:color="auto"/>
              <w:bottom w:val="single" w:sz="4" w:space="0" w:color="000000"/>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8</w:t>
            </w:r>
          </w:p>
        </w:tc>
        <w:tc>
          <w:tcPr>
            <w:tcW w:w="1275" w:type="dxa"/>
            <w:tcBorders>
              <w:top w:val="nil"/>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High</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143A</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Consolidating </w:t>
            </w:r>
            <w:r>
              <w:rPr>
                <w:rFonts w:cs="Arial"/>
                <w:sz w:val="20"/>
                <w:szCs w:val="20"/>
              </w:rPr>
              <w:t>g</w:t>
            </w:r>
            <w:r w:rsidRPr="009B40A8">
              <w:rPr>
                <w:rFonts w:cs="Arial"/>
                <w:sz w:val="20"/>
                <w:szCs w:val="20"/>
              </w:rPr>
              <w:t xml:space="preserve">ain, 65+ years, High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5" w:type="dxa"/>
            <w:tcBorders>
              <w:top w:val="single" w:sz="4" w:space="0" w:color="auto"/>
              <w:left w:val="nil"/>
              <w:bottom w:val="nil"/>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Moderate</w:t>
            </w:r>
          </w:p>
        </w:tc>
        <w:tc>
          <w:tcPr>
            <w:tcW w:w="1275"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143B</w:t>
            </w:r>
          </w:p>
        </w:tc>
        <w:tc>
          <w:tcPr>
            <w:tcW w:w="2996" w:type="dxa"/>
            <w:tcBorders>
              <w:top w:val="nil"/>
              <w:left w:val="single" w:sz="4" w:space="0" w:color="auto"/>
              <w:bottom w:val="single" w:sz="4" w:space="0" w:color="auto"/>
              <w:right w:val="single" w:sz="4" w:space="0" w:color="auto"/>
            </w:tcBorders>
            <w:shd w:val="clear" w:color="000000" w:fill="D9D9D9"/>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Consolidating </w:t>
            </w:r>
            <w:r>
              <w:rPr>
                <w:rFonts w:cs="Arial"/>
                <w:sz w:val="20"/>
                <w:szCs w:val="20"/>
              </w:rPr>
              <w:t>g</w:t>
            </w:r>
            <w:r w:rsidRPr="009B40A8">
              <w:rPr>
                <w:rFonts w:cs="Arial"/>
                <w:sz w:val="20"/>
                <w:szCs w:val="20"/>
              </w:rPr>
              <w:t xml:space="preserve">ain, 65+ years, Moderate HoNOS </w:t>
            </w:r>
            <w:r>
              <w:rPr>
                <w:rFonts w:cs="Arial"/>
                <w:sz w:val="20"/>
                <w:szCs w:val="20"/>
              </w:rPr>
              <w:t>c</w:t>
            </w:r>
            <w:r w:rsidRPr="009B40A8">
              <w:rPr>
                <w:rFonts w:cs="Arial"/>
                <w:sz w:val="20"/>
                <w:szCs w:val="20"/>
              </w:rPr>
              <w:t>omplexity</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333"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54D81" w:rsidRPr="009B40A8" w:rsidRDefault="00154D81" w:rsidP="00154D81">
            <w:pPr>
              <w:spacing w:after="0" w:line="240" w:lineRule="auto"/>
              <w:rPr>
                <w:rFonts w:cs="Arial"/>
                <w:sz w:val="20"/>
                <w:szCs w:val="20"/>
              </w:rPr>
            </w:pPr>
          </w:p>
        </w:tc>
        <w:tc>
          <w:tcPr>
            <w:tcW w:w="1275" w:type="dxa"/>
            <w:tcBorders>
              <w:top w:val="single" w:sz="4" w:space="0" w:color="auto"/>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Unknown</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143Z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Consolidating </w:t>
            </w:r>
            <w:r>
              <w:rPr>
                <w:rFonts w:cs="Arial"/>
                <w:sz w:val="20"/>
                <w:szCs w:val="20"/>
              </w:rPr>
              <w:t>g</w:t>
            </w:r>
            <w:r w:rsidRPr="009B40A8">
              <w:rPr>
                <w:rFonts w:cs="Arial"/>
                <w:sz w:val="20"/>
                <w:szCs w:val="20"/>
              </w:rPr>
              <w:t>ain, 65+ years, Unknown HoNOS</w:t>
            </w:r>
          </w:p>
        </w:tc>
      </w:tr>
      <w:tr w:rsidR="00154D81" w:rsidRPr="009B40A8" w:rsidTr="00154D81">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Unknown</w:t>
            </w:r>
          </w:p>
        </w:tc>
        <w:tc>
          <w:tcPr>
            <w:tcW w:w="1276"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0-17 years</w:t>
            </w:r>
          </w:p>
        </w:tc>
        <w:tc>
          <w:tcPr>
            <w:tcW w:w="1134"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33"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6"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191Z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Unknown </w:t>
            </w:r>
            <w:r>
              <w:rPr>
                <w:rFonts w:cs="Arial"/>
                <w:sz w:val="20"/>
                <w:szCs w:val="20"/>
              </w:rPr>
              <w:t>p</w:t>
            </w:r>
            <w:r w:rsidRPr="009B40A8">
              <w:rPr>
                <w:rFonts w:cs="Arial"/>
                <w:sz w:val="20"/>
                <w:szCs w:val="20"/>
              </w:rPr>
              <w:t>hase, 0</w:t>
            </w:r>
            <w:r>
              <w:rPr>
                <w:rFonts w:cs="Arial"/>
                <w:sz w:val="20"/>
                <w:szCs w:val="20"/>
              </w:rPr>
              <w:noBreakHyphen/>
            </w:r>
            <w:r w:rsidRPr="009B40A8">
              <w:rPr>
                <w:rFonts w:cs="Arial"/>
                <w:sz w:val="20"/>
                <w:szCs w:val="20"/>
              </w:rPr>
              <w:t>17 years</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18-64 years</w:t>
            </w:r>
          </w:p>
        </w:tc>
        <w:tc>
          <w:tcPr>
            <w:tcW w:w="1134"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33"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6"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192Z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Unknown </w:t>
            </w:r>
            <w:r>
              <w:rPr>
                <w:rFonts w:cs="Arial"/>
                <w:sz w:val="20"/>
                <w:szCs w:val="20"/>
              </w:rPr>
              <w:t>p</w:t>
            </w:r>
            <w:r w:rsidRPr="009B40A8">
              <w:rPr>
                <w:rFonts w:cs="Arial"/>
                <w:sz w:val="20"/>
                <w:szCs w:val="20"/>
              </w:rPr>
              <w:t>hase, 18</w:t>
            </w:r>
            <w:r>
              <w:rPr>
                <w:rFonts w:cs="Arial"/>
                <w:sz w:val="20"/>
                <w:szCs w:val="20"/>
              </w:rPr>
              <w:noBreakHyphen/>
            </w:r>
            <w:r w:rsidRPr="009B40A8">
              <w:rPr>
                <w:rFonts w:cs="Arial"/>
                <w:sz w:val="20"/>
                <w:szCs w:val="20"/>
              </w:rPr>
              <w:t>64 years</w:t>
            </w:r>
          </w:p>
        </w:tc>
      </w:tr>
      <w:tr w:rsidR="00154D81" w:rsidRPr="009B40A8" w:rsidTr="00154D81">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54D81" w:rsidRPr="009B40A8" w:rsidRDefault="00154D81" w:rsidP="006664EF">
            <w:pPr>
              <w:spacing w:before="0" w:after="0" w:line="240" w:lineRule="auto"/>
              <w:rPr>
                <w:rFonts w:cs="Arial"/>
                <w:sz w:val="20"/>
                <w:szCs w:val="20"/>
              </w:rPr>
            </w:pPr>
          </w:p>
        </w:tc>
        <w:tc>
          <w:tcPr>
            <w:tcW w:w="1276"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sidRPr="009B40A8">
              <w:rPr>
                <w:rFonts w:cs="Arial"/>
                <w:sz w:val="20"/>
                <w:szCs w:val="20"/>
              </w:rPr>
              <w:t>65+ years</w:t>
            </w:r>
          </w:p>
        </w:tc>
        <w:tc>
          <w:tcPr>
            <w:tcW w:w="1134"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60"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333"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6"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1275"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jc w:val="center"/>
              <w:rPr>
                <w:rFonts w:cs="Arial"/>
                <w:sz w:val="20"/>
                <w:szCs w:val="20"/>
              </w:rPr>
            </w:pPr>
            <w:r>
              <w:rPr>
                <w:rFonts w:cs="Arial"/>
                <w:sz w:val="20"/>
                <w:szCs w:val="20"/>
              </w:rPr>
              <w:t>-</w:t>
            </w:r>
          </w:p>
        </w:tc>
        <w:tc>
          <w:tcPr>
            <w:tcW w:w="832" w:type="dxa"/>
            <w:tcBorders>
              <w:top w:val="nil"/>
              <w:left w:val="nil"/>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193Z</w:t>
            </w:r>
          </w:p>
        </w:tc>
        <w:tc>
          <w:tcPr>
            <w:tcW w:w="2996" w:type="dxa"/>
            <w:tcBorders>
              <w:top w:val="nil"/>
              <w:left w:val="single" w:sz="4" w:space="0" w:color="auto"/>
              <w:bottom w:val="single" w:sz="4" w:space="0" w:color="auto"/>
              <w:right w:val="single" w:sz="4" w:space="0" w:color="auto"/>
            </w:tcBorders>
            <w:shd w:val="clear" w:color="000000" w:fill="F2F2F2"/>
            <w:hideMark/>
          </w:tcPr>
          <w:p w:rsidR="00154D81" w:rsidRPr="009B40A8" w:rsidRDefault="00154D81" w:rsidP="006664EF">
            <w:pPr>
              <w:spacing w:before="0" w:after="0" w:line="240" w:lineRule="auto"/>
              <w:rPr>
                <w:rFonts w:cs="Arial"/>
                <w:sz w:val="20"/>
                <w:szCs w:val="20"/>
              </w:rPr>
            </w:pPr>
            <w:r w:rsidRPr="009B40A8">
              <w:rPr>
                <w:rFonts w:cs="Arial"/>
                <w:sz w:val="20"/>
                <w:szCs w:val="20"/>
              </w:rPr>
              <w:t xml:space="preserve">Admitted, Unknown </w:t>
            </w:r>
            <w:r>
              <w:rPr>
                <w:rFonts w:cs="Arial"/>
                <w:sz w:val="20"/>
                <w:szCs w:val="20"/>
              </w:rPr>
              <w:t>p</w:t>
            </w:r>
            <w:r w:rsidRPr="009B40A8">
              <w:rPr>
                <w:rFonts w:cs="Arial"/>
                <w:sz w:val="20"/>
                <w:szCs w:val="20"/>
              </w:rPr>
              <w:t>hase, 65+ years</w:t>
            </w:r>
          </w:p>
        </w:tc>
      </w:tr>
    </w:tbl>
    <w:p w:rsidR="00727848" w:rsidRDefault="00727848">
      <w:pPr>
        <w:spacing w:before="0" w:after="0" w:line="240" w:lineRule="auto"/>
      </w:pPr>
      <w:bookmarkStart w:id="167" w:name="_Toc454793262"/>
      <w:r>
        <w:br w:type="page"/>
      </w:r>
    </w:p>
    <w:p w:rsidR="00154D81" w:rsidRDefault="00154D81" w:rsidP="00154D81">
      <w:pPr>
        <w:pStyle w:val="Heading2"/>
      </w:pPr>
      <w:bookmarkStart w:id="168" w:name="_Toc483478616"/>
      <w:bookmarkStart w:id="169" w:name="_Toc514924146"/>
      <w:r>
        <w:lastRenderedPageBreak/>
        <w:t>5.5 The AMHCC Version 1.0 classes - Community setting</w:t>
      </w:r>
      <w:bookmarkEnd w:id="167"/>
      <w:bookmarkEnd w:id="168"/>
      <w:bookmarkEnd w:id="169"/>
    </w:p>
    <w:p w:rsidR="00154D81" w:rsidRPr="006D5B85" w:rsidRDefault="00154D81" w:rsidP="00154D81">
      <w:r>
        <w:rPr>
          <w:b/>
          <w:i/>
          <w:lang w:val="en-US" w:eastAsia="ja-JP"/>
        </w:rPr>
        <w:t>Table 5</w:t>
      </w:r>
      <w:r w:rsidRPr="009D64E1">
        <w:rPr>
          <w:b/>
          <w:i/>
          <w:lang w:val="en-US" w:eastAsia="ja-JP"/>
        </w:rPr>
        <w:t xml:space="preserve"> </w:t>
      </w:r>
      <w:r>
        <w:rPr>
          <w:b/>
          <w:i/>
          <w:lang w:val="en-US" w:eastAsia="ja-JP"/>
        </w:rPr>
        <w:t>–</w:t>
      </w:r>
      <w:r w:rsidRPr="009D64E1">
        <w:rPr>
          <w:b/>
          <w:i/>
          <w:lang w:val="en-US" w:eastAsia="ja-JP"/>
        </w:rPr>
        <w:t xml:space="preserve"> </w:t>
      </w:r>
      <w:r>
        <w:rPr>
          <w:b/>
          <w:i/>
          <w:lang w:val="en-US" w:eastAsia="ja-JP"/>
        </w:rPr>
        <w:t>Community branch of the AMHCC Version 1.0</w:t>
      </w:r>
    </w:p>
    <w:tbl>
      <w:tblPr>
        <w:tblW w:w="14175" w:type="dxa"/>
        <w:tblInd w:w="108" w:type="dxa"/>
        <w:tblLook w:val="04A0" w:firstRow="1" w:lastRow="0" w:firstColumn="1" w:lastColumn="0" w:noHBand="0" w:noVBand="1"/>
        <w:tblCaption w:val="Community end classes"/>
        <w:tblDescription w:val="Provides end class codes and descriptions for community setting."/>
      </w:tblPr>
      <w:tblGrid>
        <w:gridCol w:w="1428"/>
        <w:gridCol w:w="1257"/>
        <w:gridCol w:w="1206"/>
        <w:gridCol w:w="1412"/>
        <w:gridCol w:w="1295"/>
        <w:gridCol w:w="1295"/>
        <w:gridCol w:w="1295"/>
        <w:gridCol w:w="1295"/>
        <w:gridCol w:w="806"/>
        <w:gridCol w:w="2886"/>
      </w:tblGrid>
      <w:tr w:rsidR="00154D81" w:rsidRPr="00103593" w:rsidTr="00154D81">
        <w:trPr>
          <w:trHeight w:val="300"/>
          <w:tblHeader/>
        </w:trPr>
        <w:tc>
          <w:tcPr>
            <w:tcW w:w="1428" w:type="dxa"/>
            <w:tcBorders>
              <w:top w:val="single" w:sz="4" w:space="0" w:color="auto"/>
              <w:left w:val="single" w:sz="4" w:space="0" w:color="auto"/>
              <w:bottom w:val="single" w:sz="4" w:space="0" w:color="auto"/>
              <w:right w:val="single" w:sz="4" w:space="0" w:color="auto"/>
            </w:tcBorders>
            <w:shd w:val="clear" w:color="auto" w:fill="006D00" w:themeFill="accent1" w:themeFillTint="E6"/>
          </w:tcPr>
          <w:p w:rsidR="00154D81" w:rsidRPr="00103593" w:rsidRDefault="00154D81" w:rsidP="00154D81">
            <w:pPr>
              <w:spacing w:after="0" w:line="240" w:lineRule="auto"/>
              <w:jc w:val="center"/>
              <w:rPr>
                <w:rFonts w:cs="Arial"/>
                <w:sz w:val="20"/>
                <w:szCs w:val="20"/>
              </w:rPr>
            </w:pPr>
            <w:r w:rsidRPr="00103593">
              <w:rPr>
                <w:rFonts w:cs="Arial"/>
                <w:b/>
                <w:bCs/>
                <w:color w:val="FFFFFF" w:themeColor="background1"/>
                <w:sz w:val="20"/>
                <w:szCs w:val="20"/>
              </w:rPr>
              <w:t>Phase</w:t>
            </w:r>
          </w:p>
        </w:tc>
        <w:tc>
          <w:tcPr>
            <w:tcW w:w="1257" w:type="dxa"/>
            <w:tcBorders>
              <w:top w:val="single" w:sz="4" w:space="0" w:color="auto"/>
              <w:left w:val="single" w:sz="4" w:space="0" w:color="auto"/>
              <w:bottom w:val="single" w:sz="4" w:space="0" w:color="auto"/>
              <w:right w:val="single" w:sz="4" w:space="0" w:color="auto"/>
            </w:tcBorders>
            <w:shd w:val="clear" w:color="auto" w:fill="006D00" w:themeFill="accent1" w:themeFillTint="E6"/>
          </w:tcPr>
          <w:p w:rsidR="00154D81" w:rsidRPr="00103593" w:rsidRDefault="00154D81" w:rsidP="00154D81">
            <w:pPr>
              <w:spacing w:after="0" w:line="240" w:lineRule="auto"/>
              <w:jc w:val="center"/>
              <w:rPr>
                <w:rFonts w:cs="Arial"/>
                <w:sz w:val="20"/>
                <w:szCs w:val="20"/>
              </w:rPr>
            </w:pPr>
            <w:r w:rsidRPr="00103593">
              <w:rPr>
                <w:rFonts w:cs="Arial"/>
                <w:b/>
                <w:bCs/>
                <w:color w:val="FFFFFF" w:themeColor="background1"/>
                <w:sz w:val="20"/>
                <w:szCs w:val="20"/>
              </w:rPr>
              <w:t>Age Group</w:t>
            </w:r>
          </w:p>
        </w:tc>
        <w:tc>
          <w:tcPr>
            <w:tcW w:w="1206" w:type="dxa"/>
            <w:tcBorders>
              <w:top w:val="single" w:sz="4" w:space="0" w:color="auto"/>
              <w:left w:val="nil"/>
              <w:bottom w:val="single" w:sz="4" w:space="0" w:color="auto"/>
              <w:right w:val="single" w:sz="4" w:space="0" w:color="auto"/>
            </w:tcBorders>
            <w:shd w:val="clear" w:color="auto" w:fill="006D00" w:themeFill="accent1" w:themeFillTint="E6"/>
          </w:tcPr>
          <w:p w:rsidR="00154D81" w:rsidRPr="00103593" w:rsidRDefault="00154D81" w:rsidP="00154D81">
            <w:pPr>
              <w:spacing w:after="0" w:line="240" w:lineRule="auto"/>
              <w:jc w:val="center"/>
              <w:rPr>
                <w:rFonts w:cs="Arial"/>
                <w:sz w:val="20"/>
                <w:szCs w:val="20"/>
              </w:rPr>
            </w:pPr>
            <w:r w:rsidRPr="00103593">
              <w:rPr>
                <w:rFonts w:cs="Arial"/>
                <w:b/>
                <w:bCs/>
                <w:color w:val="FFFFFF" w:themeColor="background1"/>
                <w:sz w:val="20"/>
                <w:szCs w:val="20"/>
              </w:rPr>
              <w:t>M</w:t>
            </w:r>
            <w:r>
              <w:rPr>
                <w:rFonts w:cs="Arial"/>
                <w:b/>
                <w:bCs/>
                <w:color w:val="FFFFFF" w:themeColor="background1"/>
                <w:sz w:val="20"/>
                <w:szCs w:val="20"/>
              </w:rPr>
              <w:t>ental health legal status</w:t>
            </w:r>
          </w:p>
        </w:tc>
        <w:tc>
          <w:tcPr>
            <w:tcW w:w="1412" w:type="dxa"/>
            <w:tcBorders>
              <w:top w:val="single" w:sz="4" w:space="0" w:color="auto"/>
              <w:left w:val="nil"/>
              <w:bottom w:val="single" w:sz="4" w:space="0" w:color="auto"/>
              <w:right w:val="single" w:sz="4" w:space="0" w:color="auto"/>
            </w:tcBorders>
            <w:shd w:val="clear" w:color="auto" w:fill="006D00" w:themeFill="accent1" w:themeFillTint="E6"/>
          </w:tcPr>
          <w:p w:rsidR="00154D81" w:rsidRPr="00103593" w:rsidRDefault="00154D81" w:rsidP="00154D81">
            <w:pPr>
              <w:spacing w:after="0" w:line="240" w:lineRule="auto"/>
              <w:jc w:val="center"/>
              <w:rPr>
                <w:rFonts w:cs="Arial"/>
                <w:sz w:val="20"/>
                <w:szCs w:val="20"/>
              </w:rPr>
            </w:pPr>
            <w:r w:rsidRPr="00103593">
              <w:rPr>
                <w:rFonts w:cs="Arial"/>
                <w:b/>
                <w:bCs/>
                <w:color w:val="FFFFFF" w:themeColor="background1"/>
                <w:sz w:val="20"/>
                <w:szCs w:val="20"/>
              </w:rPr>
              <w:t>HoNOS Complexity Weights</w:t>
            </w:r>
          </w:p>
        </w:tc>
        <w:tc>
          <w:tcPr>
            <w:tcW w:w="1295" w:type="dxa"/>
            <w:tcBorders>
              <w:top w:val="single" w:sz="4" w:space="0" w:color="auto"/>
              <w:left w:val="nil"/>
              <w:bottom w:val="single" w:sz="4" w:space="0" w:color="auto"/>
              <w:right w:val="single" w:sz="4" w:space="0" w:color="auto"/>
            </w:tcBorders>
            <w:shd w:val="clear" w:color="auto" w:fill="006D00" w:themeFill="accent1" w:themeFillTint="E6"/>
          </w:tcPr>
          <w:p w:rsidR="00154D81" w:rsidRPr="00103593" w:rsidRDefault="00154D81" w:rsidP="00154D81">
            <w:pPr>
              <w:spacing w:after="0" w:line="240" w:lineRule="auto"/>
              <w:jc w:val="center"/>
              <w:rPr>
                <w:rFonts w:cs="Arial"/>
                <w:sz w:val="20"/>
                <w:szCs w:val="20"/>
              </w:rPr>
            </w:pPr>
            <w:r w:rsidRPr="00103593">
              <w:rPr>
                <w:rFonts w:cs="Arial"/>
                <w:b/>
                <w:bCs/>
                <w:color w:val="FFFFFF" w:themeColor="background1"/>
                <w:sz w:val="20"/>
                <w:szCs w:val="20"/>
              </w:rPr>
              <w:t xml:space="preserve">HoNOS Complexity </w:t>
            </w:r>
            <w:r w:rsidRPr="00103593">
              <w:rPr>
                <w:rFonts w:cs="Arial"/>
                <w:b/>
                <w:bCs/>
                <w:color w:val="FFFFFF" w:themeColor="background1"/>
                <w:sz w:val="20"/>
                <w:szCs w:val="20"/>
              </w:rPr>
              <w:br/>
              <w:t>Re-Scaling Factor</w:t>
            </w:r>
          </w:p>
        </w:tc>
        <w:tc>
          <w:tcPr>
            <w:tcW w:w="1295" w:type="dxa"/>
            <w:tcBorders>
              <w:top w:val="single" w:sz="4" w:space="0" w:color="auto"/>
              <w:left w:val="nil"/>
              <w:bottom w:val="single" w:sz="4" w:space="0" w:color="auto"/>
              <w:right w:val="single" w:sz="4" w:space="0" w:color="auto"/>
            </w:tcBorders>
            <w:shd w:val="clear" w:color="auto" w:fill="006D00" w:themeFill="accent1" w:themeFillTint="E6"/>
          </w:tcPr>
          <w:p w:rsidR="00154D81" w:rsidRPr="00103593" w:rsidRDefault="00154D81" w:rsidP="00154D81">
            <w:pPr>
              <w:spacing w:after="0" w:line="240" w:lineRule="auto"/>
              <w:jc w:val="center"/>
              <w:rPr>
                <w:rFonts w:cs="Arial"/>
                <w:sz w:val="20"/>
                <w:szCs w:val="20"/>
              </w:rPr>
            </w:pPr>
            <w:r w:rsidRPr="00103593">
              <w:rPr>
                <w:rFonts w:cs="Arial"/>
                <w:b/>
                <w:bCs/>
                <w:color w:val="FFFFFF" w:themeColor="background1"/>
                <w:sz w:val="20"/>
                <w:szCs w:val="20"/>
              </w:rPr>
              <w:t>HoNOS Complexity Threshold</w:t>
            </w:r>
          </w:p>
        </w:tc>
        <w:tc>
          <w:tcPr>
            <w:tcW w:w="1295" w:type="dxa"/>
            <w:tcBorders>
              <w:top w:val="single" w:sz="4" w:space="0" w:color="auto"/>
              <w:left w:val="nil"/>
              <w:bottom w:val="single" w:sz="4" w:space="0" w:color="auto"/>
              <w:right w:val="single" w:sz="4" w:space="0" w:color="auto"/>
            </w:tcBorders>
            <w:shd w:val="clear" w:color="auto" w:fill="006D00" w:themeFill="accent1" w:themeFillTint="E6"/>
          </w:tcPr>
          <w:p w:rsidR="00154D81" w:rsidRPr="00103593" w:rsidRDefault="00154D81" w:rsidP="00154D81">
            <w:pPr>
              <w:spacing w:after="0" w:line="240" w:lineRule="auto"/>
              <w:jc w:val="center"/>
              <w:rPr>
                <w:rFonts w:cs="Arial"/>
                <w:sz w:val="20"/>
                <w:szCs w:val="20"/>
              </w:rPr>
            </w:pPr>
            <w:r w:rsidRPr="00103593">
              <w:rPr>
                <w:rFonts w:cs="Arial"/>
                <w:b/>
                <w:bCs/>
                <w:color w:val="FFFFFF" w:themeColor="background1"/>
                <w:sz w:val="20"/>
                <w:szCs w:val="20"/>
              </w:rPr>
              <w:t>HoNOS Complexity</w:t>
            </w:r>
          </w:p>
        </w:tc>
        <w:tc>
          <w:tcPr>
            <w:tcW w:w="1295" w:type="dxa"/>
            <w:tcBorders>
              <w:top w:val="single" w:sz="4" w:space="0" w:color="auto"/>
              <w:left w:val="nil"/>
              <w:bottom w:val="single" w:sz="4" w:space="0" w:color="auto"/>
              <w:right w:val="single" w:sz="4" w:space="0" w:color="auto"/>
            </w:tcBorders>
            <w:shd w:val="clear" w:color="auto" w:fill="006D00" w:themeFill="accent1" w:themeFillTint="E6"/>
          </w:tcPr>
          <w:p w:rsidR="00154D81" w:rsidRPr="00103593" w:rsidRDefault="00154D81" w:rsidP="00154D81">
            <w:pPr>
              <w:spacing w:after="0" w:line="240" w:lineRule="auto"/>
              <w:jc w:val="center"/>
              <w:rPr>
                <w:rFonts w:cs="Arial"/>
                <w:sz w:val="20"/>
                <w:szCs w:val="20"/>
              </w:rPr>
            </w:pPr>
            <w:r w:rsidRPr="00103593">
              <w:rPr>
                <w:rFonts w:cs="Arial"/>
                <w:b/>
                <w:bCs/>
                <w:color w:val="FFFFFF" w:themeColor="background1"/>
                <w:sz w:val="20"/>
                <w:szCs w:val="20"/>
              </w:rPr>
              <w:t>LSP Complexity</w:t>
            </w:r>
          </w:p>
        </w:tc>
        <w:tc>
          <w:tcPr>
            <w:tcW w:w="806" w:type="dxa"/>
            <w:tcBorders>
              <w:top w:val="single" w:sz="4" w:space="0" w:color="auto"/>
              <w:left w:val="nil"/>
              <w:bottom w:val="single" w:sz="4" w:space="0" w:color="auto"/>
              <w:right w:val="single" w:sz="4" w:space="0" w:color="auto"/>
            </w:tcBorders>
            <w:shd w:val="clear" w:color="auto" w:fill="006D00" w:themeFill="accent1" w:themeFillTint="E6"/>
          </w:tcPr>
          <w:p w:rsidR="00154D81" w:rsidRPr="00103593" w:rsidRDefault="00154D81" w:rsidP="00154D81">
            <w:pPr>
              <w:spacing w:after="0" w:line="240" w:lineRule="auto"/>
              <w:rPr>
                <w:rFonts w:cs="Arial"/>
                <w:sz w:val="20"/>
                <w:szCs w:val="20"/>
              </w:rPr>
            </w:pPr>
            <w:r w:rsidRPr="00103593">
              <w:rPr>
                <w:rFonts w:cs="Arial"/>
                <w:b/>
                <w:bCs/>
                <w:color w:val="FFFFFF" w:themeColor="background1"/>
                <w:sz w:val="20"/>
                <w:szCs w:val="20"/>
              </w:rPr>
              <w:t>Class Code</w:t>
            </w:r>
          </w:p>
        </w:tc>
        <w:tc>
          <w:tcPr>
            <w:tcW w:w="2886" w:type="dxa"/>
            <w:tcBorders>
              <w:top w:val="single" w:sz="4" w:space="0" w:color="auto"/>
              <w:left w:val="single" w:sz="4" w:space="0" w:color="auto"/>
              <w:bottom w:val="single" w:sz="4" w:space="0" w:color="auto"/>
              <w:right w:val="single" w:sz="4" w:space="0" w:color="auto"/>
            </w:tcBorders>
            <w:shd w:val="clear" w:color="auto" w:fill="006D00" w:themeFill="accent1" w:themeFillTint="E6"/>
          </w:tcPr>
          <w:p w:rsidR="00154D81" w:rsidRPr="00103593" w:rsidRDefault="00154D81" w:rsidP="00154D81">
            <w:pPr>
              <w:spacing w:after="0" w:line="240" w:lineRule="auto"/>
              <w:rPr>
                <w:rFonts w:cs="Arial"/>
                <w:sz w:val="20"/>
                <w:szCs w:val="20"/>
              </w:rPr>
            </w:pPr>
            <w:r w:rsidRPr="00103593">
              <w:rPr>
                <w:rFonts w:cs="Arial"/>
                <w:b/>
                <w:bCs/>
                <w:color w:val="FFFFFF" w:themeColor="background1"/>
                <w:sz w:val="20"/>
                <w:szCs w:val="20"/>
              </w:rPr>
              <w:t>Class Description</w:t>
            </w:r>
          </w:p>
        </w:tc>
      </w:tr>
      <w:tr w:rsidR="00154D81" w:rsidRPr="00103593" w:rsidTr="00154D81">
        <w:trPr>
          <w:trHeight w:val="300"/>
        </w:trPr>
        <w:tc>
          <w:tcPr>
            <w:tcW w:w="1428"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 xml:space="preserve">Assessment </w:t>
            </w:r>
            <w:r>
              <w:rPr>
                <w:rFonts w:cs="Arial"/>
                <w:sz w:val="20"/>
                <w:szCs w:val="20"/>
              </w:rPr>
              <w:t>o</w:t>
            </w:r>
            <w:r w:rsidRPr="0081153C">
              <w:rPr>
                <w:rFonts w:cs="Arial"/>
                <w:sz w:val="20"/>
                <w:szCs w:val="20"/>
              </w:rPr>
              <w:t>nly</w:t>
            </w:r>
          </w:p>
        </w:tc>
        <w:tc>
          <w:tcPr>
            <w:tcW w:w="1257" w:type="dxa"/>
            <w:tcBorders>
              <w:top w:val="single" w:sz="4" w:space="0" w:color="auto"/>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0-17 years</w:t>
            </w:r>
          </w:p>
        </w:tc>
        <w:tc>
          <w:tcPr>
            <w:tcW w:w="1206" w:type="dxa"/>
            <w:tcBorders>
              <w:top w:val="single" w:sz="4" w:space="0" w:color="auto"/>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tcBorders>
              <w:top w:val="single" w:sz="4" w:space="0" w:color="auto"/>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single" w:sz="4" w:space="0" w:color="auto"/>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single" w:sz="4" w:space="0" w:color="auto"/>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single" w:sz="4" w:space="0" w:color="auto"/>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single" w:sz="4" w:space="0" w:color="auto"/>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single" w:sz="4" w:space="0" w:color="auto"/>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201Z</w:t>
            </w:r>
          </w:p>
        </w:tc>
        <w:tc>
          <w:tcPr>
            <w:tcW w:w="2886" w:type="dxa"/>
            <w:tcBorders>
              <w:top w:val="single" w:sz="4" w:space="0" w:color="auto"/>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Assessment </w:t>
            </w:r>
            <w:r>
              <w:rPr>
                <w:rFonts w:cs="Arial"/>
                <w:sz w:val="20"/>
                <w:szCs w:val="20"/>
              </w:rPr>
              <w:t>o</w:t>
            </w:r>
            <w:r w:rsidRPr="0081153C">
              <w:rPr>
                <w:rFonts w:cs="Arial"/>
                <w:sz w:val="20"/>
                <w:szCs w:val="20"/>
              </w:rPr>
              <w:t>nly, 0-17 years</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ind w:left="-118" w:right="-117"/>
              <w:jc w:val="center"/>
              <w:rPr>
                <w:rFonts w:cs="Arial"/>
                <w:sz w:val="20"/>
                <w:szCs w:val="20"/>
              </w:rPr>
            </w:pPr>
            <w:r w:rsidRPr="0081153C">
              <w:rPr>
                <w:rFonts w:cs="Arial"/>
                <w:sz w:val="20"/>
                <w:szCs w:val="20"/>
              </w:rPr>
              <w:t>18-64 years</w:t>
            </w:r>
          </w:p>
        </w:tc>
        <w:tc>
          <w:tcPr>
            <w:tcW w:w="12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202Z</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Assessment </w:t>
            </w:r>
            <w:r>
              <w:rPr>
                <w:rFonts w:cs="Arial"/>
                <w:sz w:val="20"/>
                <w:szCs w:val="20"/>
              </w:rPr>
              <w:t>o</w:t>
            </w:r>
            <w:r w:rsidRPr="0081153C">
              <w:rPr>
                <w:rFonts w:cs="Arial"/>
                <w:sz w:val="20"/>
                <w:szCs w:val="20"/>
              </w:rPr>
              <w:t>nly, 18-64 years</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65+ years</w:t>
            </w:r>
          </w:p>
        </w:tc>
        <w:tc>
          <w:tcPr>
            <w:tcW w:w="12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203Z</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Assessment </w:t>
            </w:r>
            <w:r>
              <w:rPr>
                <w:rFonts w:cs="Arial"/>
                <w:sz w:val="20"/>
                <w:szCs w:val="20"/>
              </w:rPr>
              <w:t>o</w:t>
            </w:r>
            <w:r w:rsidRPr="0081153C">
              <w:rPr>
                <w:rFonts w:cs="Arial"/>
                <w:sz w:val="20"/>
                <w:szCs w:val="20"/>
              </w:rPr>
              <w:t>nly, 65+ years</w:t>
            </w:r>
          </w:p>
        </w:tc>
      </w:tr>
      <w:tr w:rsidR="00154D81" w:rsidRPr="00103593" w:rsidTr="00154D81">
        <w:trPr>
          <w:trHeight w:val="300"/>
        </w:trPr>
        <w:tc>
          <w:tcPr>
            <w:tcW w:w="1428"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Acute</w:t>
            </w:r>
          </w:p>
        </w:tc>
        <w:tc>
          <w:tcPr>
            <w:tcW w:w="1257"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0-17 years</w:t>
            </w:r>
          </w:p>
        </w:tc>
        <w:tc>
          <w:tcPr>
            <w:tcW w:w="1206"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1.2, 1, 1, 1, 1, 1, 1.2, 0.8, 0.8, 1, 1, 0.8, 0.8</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1.0317</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26</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211A</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Acute, 0-17 years, High HoNOS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211B</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Acute, 0-17 years, Moderate HoNOS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Unknown</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211Z</w:t>
            </w:r>
          </w:p>
        </w:tc>
        <w:tc>
          <w:tcPr>
            <w:tcW w:w="2886"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Community, Acute, 0-17 years, Unknown HoNOS</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ind w:left="-118" w:right="-117"/>
              <w:jc w:val="center"/>
              <w:rPr>
                <w:rFonts w:cs="Arial"/>
                <w:sz w:val="20"/>
                <w:szCs w:val="20"/>
              </w:rPr>
            </w:pPr>
            <w:r w:rsidRPr="0081153C">
              <w:rPr>
                <w:rFonts w:cs="Arial"/>
                <w:sz w:val="20"/>
                <w:szCs w:val="20"/>
              </w:rPr>
              <w:t>18-64 years</w:t>
            </w:r>
          </w:p>
        </w:tc>
        <w:tc>
          <w:tcPr>
            <w:tcW w:w="1206"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1.6, 0.6, 0.6, 0.6, 0.6, 1.6, 1.2, 1.2, 0.6, 0.6, 0.6, 0.6</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1.1538</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20</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212A</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Acute, 18-64 years, High HoNOS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212B1</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Acute, 18-64 years, Moderate HoNOS </w:t>
            </w:r>
            <w:r>
              <w:rPr>
                <w:rFonts w:cs="Arial"/>
                <w:sz w:val="20"/>
                <w:szCs w:val="20"/>
              </w:rPr>
              <w:t>c</w:t>
            </w:r>
            <w:r w:rsidRPr="0081153C">
              <w:rPr>
                <w:rFonts w:cs="Arial"/>
                <w:sz w:val="20"/>
                <w:szCs w:val="20"/>
              </w:rPr>
              <w:t xml:space="preserve">omplexity with High LSP </w:t>
            </w:r>
            <w:r>
              <w:rPr>
                <w:rFonts w:cs="Arial"/>
                <w:sz w:val="20"/>
                <w:szCs w:val="20"/>
              </w:rPr>
              <w:t>c</w:t>
            </w:r>
            <w:r w:rsidRPr="0081153C">
              <w:rPr>
                <w:rFonts w:cs="Arial"/>
                <w:sz w:val="20"/>
                <w:szCs w:val="20"/>
              </w:rPr>
              <w:t>omplexity</w:t>
            </w:r>
          </w:p>
        </w:tc>
      </w:tr>
      <w:tr w:rsidR="00154D81" w:rsidRPr="0081153C"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212B2</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Acute, 18-64 years, Moderate HoNOS </w:t>
            </w:r>
            <w:r>
              <w:rPr>
                <w:rFonts w:cs="Arial"/>
                <w:sz w:val="20"/>
                <w:szCs w:val="20"/>
              </w:rPr>
              <w:t>c</w:t>
            </w:r>
            <w:r w:rsidRPr="0081153C">
              <w:rPr>
                <w:rFonts w:cs="Arial"/>
                <w:sz w:val="20"/>
                <w:szCs w:val="20"/>
              </w:rPr>
              <w:t xml:space="preserve">omplexity with Moderate LSP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Unknown</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212Z</w:t>
            </w:r>
          </w:p>
        </w:tc>
        <w:tc>
          <w:tcPr>
            <w:tcW w:w="2886" w:type="dxa"/>
            <w:tcBorders>
              <w:top w:val="nil"/>
              <w:left w:val="single" w:sz="4" w:space="0" w:color="auto"/>
              <w:bottom w:val="single" w:sz="4" w:space="0" w:color="auto"/>
              <w:right w:val="single" w:sz="4" w:space="0" w:color="auto"/>
            </w:tcBorders>
            <w:shd w:val="clear" w:color="000000" w:fill="F2F2F2"/>
            <w:hideMark/>
          </w:tcPr>
          <w:p w:rsidR="00154D81" w:rsidRDefault="00154D81" w:rsidP="00727848">
            <w:pPr>
              <w:spacing w:before="0" w:after="0" w:line="240" w:lineRule="auto"/>
              <w:rPr>
                <w:rFonts w:cs="Arial"/>
                <w:sz w:val="20"/>
                <w:szCs w:val="20"/>
              </w:rPr>
            </w:pPr>
            <w:r w:rsidRPr="0081153C">
              <w:rPr>
                <w:rFonts w:cs="Arial"/>
                <w:sz w:val="20"/>
                <w:szCs w:val="20"/>
              </w:rPr>
              <w:t>Community, Acute, 18-64 years, Unknown HoNOS</w:t>
            </w:r>
          </w:p>
          <w:p w:rsidR="00727848" w:rsidRDefault="00727848" w:rsidP="00727848">
            <w:pPr>
              <w:spacing w:before="0" w:after="0" w:line="240" w:lineRule="auto"/>
              <w:rPr>
                <w:rFonts w:cs="Arial"/>
                <w:sz w:val="20"/>
                <w:szCs w:val="20"/>
              </w:rPr>
            </w:pPr>
          </w:p>
          <w:p w:rsidR="00727848" w:rsidRPr="0081153C" w:rsidRDefault="00727848" w:rsidP="00727848">
            <w:pPr>
              <w:spacing w:before="0" w:after="0" w:line="240" w:lineRule="auto"/>
              <w:rPr>
                <w:rFonts w:cs="Arial"/>
                <w:sz w:val="20"/>
                <w:szCs w:val="20"/>
              </w:rPr>
            </w:pP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65+ years</w:t>
            </w:r>
          </w:p>
        </w:tc>
        <w:tc>
          <w:tcPr>
            <w:tcW w:w="1206"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0.8, 1, 1, 1.2, 1.2, 0.8, 1.2, 1.2, 0.8, 0.8, 1, 1</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19</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213A</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Acute, 65+ years, High HoNOS </w:t>
            </w:r>
            <w:r>
              <w:rPr>
                <w:rFonts w:cs="Arial"/>
                <w:sz w:val="20"/>
                <w:szCs w:val="20"/>
              </w:rPr>
              <w:t>c</w:t>
            </w:r>
            <w:r w:rsidRPr="0081153C">
              <w:rPr>
                <w:rFonts w:cs="Arial"/>
                <w:sz w:val="20"/>
                <w:szCs w:val="20"/>
              </w:rPr>
              <w:t>omplexity</w:t>
            </w:r>
          </w:p>
        </w:tc>
      </w:tr>
      <w:tr w:rsidR="00154D81" w:rsidRPr="00103593" w:rsidTr="00154D81">
        <w:trPr>
          <w:cantSplit/>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213B</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Acute, 65+ years, Moderate HoNOS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Unknown</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213Z</w:t>
            </w:r>
          </w:p>
        </w:tc>
        <w:tc>
          <w:tcPr>
            <w:tcW w:w="2886"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Community, Acute, 65+ years, Unknown HoNOS</w:t>
            </w:r>
          </w:p>
        </w:tc>
      </w:tr>
      <w:tr w:rsidR="00154D81" w:rsidRPr="00103593" w:rsidTr="00154D81">
        <w:trPr>
          <w:trHeight w:val="300"/>
        </w:trPr>
        <w:tc>
          <w:tcPr>
            <w:tcW w:w="1428"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 xml:space="preserve">Functional </w:t>
            </w:r>
            <w:r>
              <w:rPr>
                <w:rFonts w:cs="Arial"/>
                <w:sz w:val="20"/>
                <w:szCs w:val="20"/>
              </w:rPr>
              <w:t>g</w:t>
            </w:r>
            <w:r w:rsidRPr="0081153C">
              <w:rPr>
                <w:rFonts w:cs="Arial"/>
                <w:sz w:val="20"/>
                <w:szCs w:val="20"/>
              </w:rPr>
              <w:t>ain</w:t>
            </w:r>
          </w:p>
        </w:tc>
        <w:tc>
          <w:tcPr>
            <w:tcW w:w="1257"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0-17 years</w:t>
            </w:r>
          </w:p>
        </w:tc>
        <w:tc>
          <w:tcPr>
            <w:tcW w:w="1206"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1.2, 1, 1, 1, 1, 1, 1.2, 0.8, 0.8, 1, 1, 0.8, 0.8</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1.0317</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23</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221A</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Functional </w:t>
            </w:r>
            <w:r>
              <w:rPr>
                <w:rFonts w:cs="Arial"/>
                <w:sz w:val="20"/>
                <w:szCs w:val="20"/>
              </w:rPr>
              <w:t>g</w:t>
            </w:r>
            <w:r w:rsidRPr="0081153C">
              <w:rPr>
                <w:rFonts w:cs="Arial"/>
                <w:sz w:val="20"/>
                <w:szCs w:val="20"/>
              </w:rPr>
              <w:t xml:space="preserve">ain, 0-17 years, High HoNOS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221B</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Functional </w:t>
            </w:r>
            <w:r>
              <w:rPr>
                <w:rFonts w:cs="Arial"/>
                <w:sz w:val="20"/>
                <w:szCs w:val="20"/>
              </w:rPr>
              <w:t>g</w:t>
            </w:r>
            <w:r w:rsidRPr="0081153C">
              <w:rPr>
                <w:rFonts w:cs="Arial"/>
                <w:sz w:val="20"/>
                <w:szCs w:val="20"/>
              </w:rPr>
              <w:t xml:space="preserve">ain, 0-17 years, Moderate HoNOS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Unknown</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221Z</w:t>
            </w:r>
          </w:p>
        </w:tc>
        <w:tc>
          <w:tcPr>
            <w:tcW w:w="2886"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Functional </w:t>
            </w:r>
            <w:r>
              <w:rPr>
                <w:rFonts w:cs="Arial"/>
                <w:sz w:val="20"/>
                <w:szCs w:val="20"/>
              </w:rPr>
              <w:t>g</w:t>
            </w:r>
            <w:r w:rsidRPr="0081153C">
              <w:rPr>
                <w:rFonts w:cs="Arial"/>
                <w:sz w:val="20"/>
                <w:szCs w:val="20"/>
              </w:rPr>
              <w:t>ain, 0-17 years, Unknown HoNOS</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ind w:left="-118" w:right="-117"/>
              <w:jc w:val="center"/>
              <w:rPr>
                <w:rFonts w:cs="Arial"/>
                <w:sz w:val="20"/>
                <w:szCs w:val="20"/>
              </w:rPr>
            </w:pPr>
            <w:r w:rsidRPr="0081153C">
              <w:rPr>
                <w:rFonts w:cs="Arial"/>
                <w:sz w:val="20"/>
                <w:szCs w:val="20"/>
              </w:rPr>
              <w:t>18-64 years</w:t>
            </w:r>
          </w:p>
        </w:tc>
        <w:tc>
          <w:tcPr>
            <w:tcW w:w="1206"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0.8, 0.8, 0.8, 1.2, 1.2, 0.8, 0.8, 0.8, 1, 1, 1, 1</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1.0714</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18</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222A</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Functional </w:t>
            </w:r>
            <w:r>
              <w:rPr>
                <w:rFonts w:cs="Arial"/>
                <w:sz w:val="20"/>
                <w:szCs w:val="20"/>
              </w:rPr>
              <w:t>g</w:t>
            </w:r>
            <w:r w:rsidRPr="0081153C">
              <w:rPr>
                <w:rFonts w:cs="Arial"/>
                <w:sz w:val="20"/>
                <w:szCs w:val="20"/>
              </w:rPr>
              <w:t xml:space="preserve">ain, 18-64 years, High HoNOS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222B1</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Functional </w:t>
            </w:r>
            <w:r>
              <w:rPr>
                <w:rFonts w:cs="Arial"/>
                <w:sz w:val="20"/>
                <w:szCs w:val="20"/>
              </w:rPr>
              <w:t>g</w:t>
            </w:r>
            <w:r w:rsidRPr="0081153C">
              <w:rPr>
                <w:rFonts w:cs="Arial"/>
                <w:sz w:val="20"/>
                <w:szCs w:val="20"/>
              </w:rPr>
              <w:t xml:space="preserve">ain, 18-64 years, Moderate HoNOS </w:t>
            </w:r>
            <w:r>
              <w:rPr>
                <w:rFonts w:cs="Arial"/>
                <w:sz w:val="20"/>
                <w:szCs w:val="20"/>
              </w:rPr>
              <w:t>c</w:t>
            </w:r>
            <w:r w:rsidRPr="0081153C">
              <w:rPr>
                <w:rFonts w:cs="Arial"/>
                <w:sz w:val="20"/>
                <w:szCs w:val="20"/>
              </w:rPr>
              <w:t xml:space="preserve">omplexity with High LSP </w:t>
            </w:r>
            <w:r>
              <w:rPr>
                <w:rFonts w:cs="Arial"/>
                <w:sz w:val="20"/>
                <w:szCs w:val="20"/>
              </w:rPr>
              <w:t>c</w:t>
            </w:r>
            <w:r w:rsidRPr="0081153C">
              <w:rPr>
                <w:rFonts w:cs="Arial"/>
                <w:sz w:val="20"/>
                <w:szCs w:val="20"/>
              </w:rPr>
              <w:t>omplexity</w:t>
            </w:r>
          </w:p>
        </w:tc>
      </w:tr>
      <w:tr w:rsidR="00154D81" w:rsidRPr="0081153C"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222B2</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Functional </w:t>
            </w:r>
            <w:r>
              <w:rPr>
                <w:rFonts w:cs="Arial"/>
                <w:sz w:val="20"/>
                <w:szCs w:val="20"/>
              </w:rPr>
              <w:t>g</w:t>
            </w:r>
            <w:r w:rsidRPr="0081153C">
              <w:rPr>
                <w:rFonts w:cs="Arial"/>
                <w:sz w:val="20"/>
                <w:szCs w:val="20"/>
              </w:rPr>
              <w:t xml:space="preserve">ain, 18-64 years, Moderate HoNOS </w:t>
            </w:r>
            <w:r>
              <w:rPr>
                <w:rFonts w:cs="Arial"/>
                <w:sz w:val="20"/>
                <w:szCs w:val="20"/>
              </w:rPr>
              <w:t>c</w:t>
            </w:r>
            <w:r w:rsidRPr="0081153C">
              <w:rPr>
                <w:rFonts w:cs="Arial"/>
                <w:sz w:val="20"/>
                <w:szCs w:val="20"/>
              </w:rPr>
              <w:t xml:space="preserve">omplexity with Moderate LSP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Unknown</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222Z</w:t>
            </w:r>
          </w:p>
        </w:tc>
        <w:tc>
          <w:tcPr>
            <w:tcW w:w="2886" w:type="dxa"/>
            <w:tcBorders>
              <w:top w:val="nil"/>
              <w:left w:val="single" w:sz="4" w:space="0" w:color="auto"/>
              <w:bottom w:val="single" w:sz="4" w:space="0" w:color="auto"/>
              <w:right w:val="single" w:sz="4" w:space="0" w:color="auto"/>
            </w:tcBorders>
            <w:shd w:val="clear" w:color="000000" w:fill="F2F2F2"/>
            <w:hideMark/>
          </w:tcPr>
          <w:p w:rsidR="00154D81" w:rsidRDefault="00154D81" w:rsidP="00727848">
            <w:pPr>
              <w:spacing w:before="0" w:after="0" w:line="240" w:lineRule="auto"/>
              <w:rPr>
                <w:rFonts w:cs="Arial"/>
                <w:sz w:val="20"/>
                <w:szCs w:val="20"/>
              </w:rPr>
            </w:pPr>
            <w:r w:rsidRPr="0081153C">
              <w:rPr>
                <w:rFonts w:cs="Arial"/>
                <w:sz w:val="20"/>
                <w:szCs w:val="20"/>
              </w:rPr>
              <w:t xml:space="preserve">Community, Functional </w:t>
            </w:r>
            <w:r>
              <w:rPr>
                <w:rFonts w:cs="Arial"/>
                <w:sz w:val="20"/>
                <w:szCs w:val="20"/>
              </w:rPr>
              <w:t>g</w:t>
            </w:r>
            <w:r w:rsidRPr="0081153C">
              <w:rPr>
                <w:rFonts w:cs="Arial"/>
                <w:sz w:val="20"/>
                <w:szCs w:val="20"/>
              </w:rPr>
              <w:t>ain, 18-64 years, Unknown HoNOS</w:t>
            </w:r>
          </w:p>
          <w:p w:rsidR="00003342" w:rsidRDefault="00003342" w:rsidP="00727848">
            <w:pPr>
              <w:spacing w:before="0" w:after="0" w:line="240" w:lineRule="auto"/>
              <w:rPr>
                <w:rFonts w:cs="Arial"/>
                <w:sz w:val="20"/>
                <w:szCs w:val="20"/>
              </w:rPr>
            </w:pPr>
          </w:p>
          <w:p w:rsidR="00003342" w:rsidRPr="0081153C" w:rsidRDefault="00003342" w:rsidP="00727848">
            <w:pPr>
              <w:spacing w:before="0" w:after="0" w:line="240" w:lineRule="auto"/>
              <w:rPr>
                <w:rFonts w:cs="Arial"/>
                <w:sz w:val="20"/>
                <w:szCs w:val="20"/>
              </w:rPr>
            </w:pP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57"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65+ years</w:t>
            </w:r>
          </w:p>
        </w:tc>
        <w:tc>
          <w:tcPr>
            <w:tcW w:w="1206"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0.8, 1, 1, 1.2, 1.2, 0.8, 1.2, 1.2, 0.8, 0.8, 1, 1</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15</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223A</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Functional </w:t>
            </w:r>
            <w:r>
              <w:rPr>
                <w:rFonts w:cs="Arial"/>
                <w:sz w:val="20"/>
                <w:szCs w:val="20"/>
              </w:rPr>
              <w:t>g</w:t>
            </w:r>
            <w:r w:rsidRPr="0081153C">
              <w:rPr>
                <w:rFonts w:cs="Arial"/>
                <w:sz w:val="20"/>
                <w:szCs w:val="20"/>
              </w:rPr>
              <w:t xml:space="preserve">ain, 65+ years, High HoNOS </w:t>
            </w:r>
            <w:r>
              <w:rPr>
                <w:rFonts w:cs="Arial"/>
                <w:sz w:val="20"/>
                <w:szCs w:val="20"/>
              </w:rPr>
              <w:t>c</w:t>
            </w:r>
            <w:r w:rsidRPr="0081153C">
              <w:rPr>
                <w:rFonts w:cs="Arial"/>
                <w:sz w:val="20"/>
                <w:szCs w:val="20"/>
              </w:rPr>
              <w:t>omplexity</w:t>
            </w:r>
          </w:p>
        </w:tc>
      </w:tr>
      <w:tr w:rsidR="00154D81" w:rsidRPr="00103593" w:rsidTr="00154D81">
        <w:trPr>
          <w:cantSplit/>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223B</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Functional </w:t>
            </w:r>
            <w:r>
              <w:rPr>
                <w:rFonts w:cs="Arial"/>
                <w:sz w:val="20"/>
                <w:szCs w:val="20"/>
              </w:rPr>
              <w:t>g</w:t>
            </w:r>
            <w:r w:rsidRPr="0081153C">
              <w:rPr>
                <w:rFonts w:cs="Arial"/>
                <w:sz w:val="20"/>
                <w:szCs w:val="20"/>
              </w:rPr>
              <w:t xml:space="preserve">ain, 65+ years, Moderate HoNOS </w:t>
            </w:r>
            <w:r>
              <w:rPr>
                <w:rFonts w:cs="Arial"/>
                <w:sz w:val="20"/>
                <w:szCs w:val="20"/>
              </w:rPr>
              <w:t>c</w:t>
            </w:r>
            <w:r w:rsidRPr="0081153C">
              <w:rPr>
                <w:rFonts w:cs="Arial"/>
                <w:sz w:val="20"/>
                <w:szCs w:val="20"/>
              </w:rPr>
              <w:t>omplexity</w:t>
            </w:r>
          </w:p>
        </w:tc>
      </w:tr>
      <w:tr w:rsidR="00154D81" w:rsidRPr="00103593" w:rsidTr="00154D81">
        <w:trPr>
          <w:cantSplit/>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Unknown</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223Z</w:t>
            </w:r>
          </w:p>
        </w:tc>
        <w:tc>
          <w:tcPr>
            <w:tcW w:w="2886"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Functional </w:t>
            </w:r>
            <w:r>
              <w:rPr>
                <w:rFonts w:cs="Arial"/>
                <w:sz w:val="20"/>
                <w:szCs w:val="20"/>
              </w:rPr>
              <w:t>g</w:t>
            </w:r>
            <w:r w:rsidRPr="0081153C">
              <w:rPr>
                <w:rFonts w:cs="Arial"/>
                <w:sz w:val="20"/>
                <w:szCs w:val="20"/>
              </w:rPr>
              <w:t>ain, 65+ years, Unknown HoNOS</w:t>
            </w:r>
          </w:p>
        </w:tc>
      </w:tr>
      <w:tr w:rsidR="00154D81" w:rsidRPr="00103593" w:rsidTr="00154D81">
        <w:trPr>
          <w:trHeight w:val="300"/>
        </w:trPr>
        <w:tc>
          <w:tcPr>
            <w:tcW w:w="1428"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 xml:space="preserve">Intensive </w:t>
            </w:r>
            <w:r>
              <w:rPr>
                <w:rFonts w:cs="Arial"/>
                <w:sz w:val="20"/>
                <w:szCs w:val="20"/>
              </w:rPr>
              <w:t>e</w:t>
            </w:r>
            <w:r w:rsidRPr="0081153C">
              <w:rPr>
                <w:rFonts w:cs="Arial"/>
                <w:sz w:val="20"/>
                <w:szCs w:val="20"/>
              </w:rPr>
              <w:t>xtended</w:t>
            </w:r>
          </w:p>
        </w:tc>
        <w:tc>
          <w:tcPr>
            <w:tcW w:w="1257"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0-17 years</w:t>
            </w:r>
          </w:p>
        </w:tc>
        <w:tc>
          <w:tcPr>
            <w:tcW w:w="1206"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1.2, 1, 1, 1, 1, 1, 1.2, 0.8, 0.8, 1, 1, 0.8, 0.8</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1.0317</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26</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231A</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Intensive </w:t>
            </w:r>
            <w:r>
              <w:rPr>
                <w:rFonts w:cs="Arial"/>
                <w:sz w:val="20"/>
                <w:szCs w:val="20"/>
              </w:rPr>
              <w:t>e</w:t>
            </w:r>
            <w:r w:rsidRPr="0081153C">
              <w:rPr>
                <w:rFonts w:cs="Arial"/>
                <w:sz w:val="20"/>
                <w:szCs w:val="20"/>
              </w:rPr>
              <w:t xml:space="preserve">xtended, 0-17 years, High HoNOS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231B</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Intensive </w:t>
            </w:r>
            <w:r>
              <w:rPr>
                <w:rFonts w:cs="Arial"/>
                <w:sz w:val="20"/>
                <w:szCs w:val="20"/>
              </w:rPr>
              <w:t>e</w:t>
            </w:r>
            <w:r w:rsidRPr="0081153C">
              <w:rPr>
                <w:rFonts w:cs="Arial"/>
                <w:sz w:val="20"/>
                <w:szCs w:val="20"/>
              </w:rPr>
              <w:t xml:space="preserve">xtended, 0-17 years, Moderate HoNOS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Unknown</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231Z</w:t>
            </w:r>
          </w:p>
        </w:tc>
        <w:tc>
          <w:tcPr>
            <w:tcW w:w="2886"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Intensive </w:t>
            </w:r>
            <w:r>
              <w:rPr>
                <w:rFonts w:cs="Arial"/>
                <w:sz w:val="20"/>
                <w:szCs w:val="20"/>
              </w:rPr>
              <w:t>e</w:t>
            </w:r>
            <w:r w:rsidRPr="0081153C">
              <w:rPr>
                <w:rFonts w:cs="Arial"/>
                <w:sz w:val="20"/>
                <w:szCs w:val="20"/>
              </w:rPr>
              <w:t>xtended, 0-17 years, Unknown HoNOS</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ind w:left="-118" w:right="-117"/>
              <w:jc w:val="center"/>
              <w:rPr>
                <w:rFonts w:cs="Arial"/>
                <w:sz w:val="20"/>
                <w:szCs w:val="20"/>
              </w:rPr>
            </w:pPr>
            <w:r w:rsidRPr="0081153C">
              <w:rPr>
                <w:rFonts w:cs="Arial"/>
                <w:sz w:val="20"/>
                <w:szCs w:val="20"/>
              </w:rPr>
              <w:t>18-64 years</w:t>
            </w:r>
          </w:p>
        </w:tc>
        <w:tc>
          <w:tcPr>
            <w:tcW w:w="1206"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1.4, 1.2, 1.2, 1, 1, 1.4, 0.6, 0.6, 0.6, 0.6, 0.6, 0.6</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1.1111</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18</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232A</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Intensive </w:t>
            </w:r>
            <w:r>
              <w:rPr>
                <w:rFonts w:cs="Arial"/>
                <w:sz w:val="20"/>
                <w:szCs w:val="20"/>
              </w:rPr>
              <w:t>e</w:t>
            </w:r>
            <w:r w:rsidRPr="0081153C">
              <w:rPr>
                <w:rFonts w:cs="Arial"/>
                <w:sz w:val="20"/>
                <w:szCs w:val="20"/>
              </w:rPr>
              <w:t xml:space="preserve">xtended, 18-64 years, High HoNOS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232B1</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Intensive </w:t>
            </w:r>
            <w:r>
              <w:rPr>
                <w:rFonts w:cs="Arial"/>
                <w:sz w:val="20"/>
                <w:szCs w:val="20"/>
              </w:rPr>
              <w:t>e</w:t>
            </w:r>
            <w:r w:rsidRPr="0081153C">
              <w:rPr>
                <w:rFonts w:cs="Arial"/>
                <w:sz w:val="20"/>
                <w:szCs w:val="20"/>
              </w:rPr>
              <w:t xml:space="preserve">xtended, 18-64 years, Moderate HoNOS </w:t>
            </w:r>
            <w:r>
              <w:rPr>
                <w:rFonts w:cs="Arial"/>
                <w:sz w:val="20"/>
                <w:szCs w:val="20"/>
              </w:rPr>
              <w:t>c</w:t>
            </w:r>
            <w:r w:rsidRPr="0081153C">
              <w:rPr>
                <w:rFonts w:cs="Arial"/>
                <w:sz w:val="20"/>
                <w:szCs w:val="20"/>
              </w:rPr>
              <w:t xml:space="preserve">omplexity with High LSP </w:t>
            </w:r>
            <w:r>
              <w:rPr>
                <w:rFonts w:cs="Arial"/>
                <w:sz w:val="20"/>
                <w:szCs w:val="20"/>
              </w:rPr>
              <w:t>c</w:t>
            </w:r>
            <w:r w:rsidRPr="0081153C">
              <w:rPr>
                <w:rFonts w:cs="Arial"/>
                <w:sz w:val="20"/>
                <w:szCs w:val="20"/>
              </w:rPr>
              <w:t>omplexity</w:t>
            </w:r>
          </w:p>
        </w:tc>
      </w:tr>
      <w:tr w:rsidR="00154D81" w:rsidRPr="0081153C"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232B2</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Intensive </w:t>
            </w:r>
            <w:r>
              <w:rPr>
                <w:rFonts w:cs="Arial"/>
                <w:sz w:val="20"/>
                <w:szCs w:val="20"/>
              </w:rPr>
              <w:t>e</w:t>
            </w:r>
            <w:r w:rsidRPr="0081153C">
              <w:rPr>
                <w:rFonts w:cs="Arial"/>
                <w:sz w:val="20"/>
                <w:szCs w:val="20"/>
              </w:rPr>
              <w:t xml:space="preserve">xtended, 18-64 years, Moderate HoNOS </w:t>
            </w:r>
            <w:r>
              <w:rPr>
                <w:rFonts w:cs="Arial"/>
                <w:sz w:val="20"/>
                <w:szCs w:val="20"/>
              </w:rPr>
              <w:t>c</w:t>
            </w:r>
            <w:r w:rsidRPr="0081153C">
              <w:rPr>
                <w:rFonts w:cs="Arial"/>
                <w:sz w:val="20"/>
                <w:szCs w:val="20"/>
              </w:rPr>
              <w:t xml:space="preserve">omplexity with Moderate LSP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Unknown</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232Z</w:t>
            </w:r>
          </w:p>
        </w:tc>
        <w:tc>
          <w:tcPr>
            <w:tcW w:w="2886"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Intensive </w:t>
            </w:r>
            <w:r>
              <w:rPr>
                <w:rFonts w:cs="Arial"/>
                <w:sz w:val="20"/>
                <w:szCs w:val="20"/>
              </w:rPr>
              <w:t>e</w:t>
            </w:r>
            <w:r w:rsidRPr="0081153C">
              <w:rPr>
                <w:rFonts w:cs="Arial"/>
                <w:sz w:val="20"/>
                <w:szCs w:val="20"/>
              </w:rPr>
              <w:t>xtended, 18-64 years, Unknown HoNOS</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57"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65+ years</w:t>
            </w:r>
          </w:p>
        </w:tc>
        <w:tc>
          <w:tcPr>
            <w:tcW w:w="1206"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0.8, 1, 1, 1.2, 1.2, 0.8, 1.2, 1.2, 0.8, 0.8, 1, 1</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15</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233A</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Intensive </w:t>
            </w:r>
            <w:r>
              <w:rPr>
                <w:rFonts w:cs="Arial"/>
                <w:sz w:val="20"/>
                <w:szCs w:val="20"/>
              </w:rPr>
              <w:t>e</w:t>
            </w:r>
            <w:r w:rsidRPr="0081153C">
              <w:rPr>
                <w:rFonts w:cs="Arial"/>
                <w:sz w:val="20"/>
                <w:szCs w:val="20"/>
              </w:rPr>
              <w:t xml:space="preserve">xtended, 65+ years, High HoNOS </w:t>
            </w:r>
            <w:r>
              <w:rPr>
                <w:rFonts w:cs="Arial"/>
                <w:sz w:val="20"/>
                <w:szCs w:val="20"/>
              </w:rPr>
              <w:t>c</w:t>
            </w:r>
            <w:r w:rsidRPr="0081153C">
              <w:rPr>
                <w:rFonts w:cs="Arial"/>
                <w:sz w:val="20"/>
                <w:szCs w:val="20"/>
              </w:rPr>
              <w:t>omplexity</w:t>
            </w:r>
          </w:p>
        </w:tc>
      </w:tr>
      <w:tr w:rsidR="00154D81" w:rsidRPr="00103593" w:rsidTr="00154D81">
        <w:trPr>
          <w:cantSplit/>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233B</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Intensive </w:t>
            </w:r>
            <w:r>
              <w:rPr>
                <w:rFonts w:cs="Arial"/>
                <w:sz w:val="20"/>
                <w:szCs w:val="20"/>
              </w:rPr>
              <w:t>e</w:t>
            </w:r>
            <w:r w:rsidRPr="0081153C">
              <w:rPr>
                <w:rFonts w:cs="Arial"/>
                <w:sz w:val="20"/>
                <w:szCs w:val="20"/>
              </w:rPr>
              <w:t xml:space="preserve">xtended, 65+ years, Moderate HoNOS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Unknown</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233Z</w:t>
            </w:r>
          </w:p>
        </w:tc>
        <w:tc>
          <w:tcPr>
            <w:tcW w:w="2886"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Intensive </w:t>
            </w:r>
            <w:r>
              <w:rPr>
                <w:rFonts w:cs="Arial"/>
                <w:sz w:val="20"/>
                <w:szCs w:val="20"/>
              </w:rPr>
              <w:t>e</w:t>
            </w:r>
            <w:r w:rsidRPr="0081153C">
              <w:rPr>
                <w:rFonts w:cs="Arial"/>
                <w:sz w:val="20"/>
                <w:szCs w:val="20"/>
              </w:rPr>
              <w:t>xtended, 65+ years, Unknown HoNOS</w:t>
            </w:r>
          </w:p>
        </w:tc>
      </w:tr>
      <w:tr w:rsidR="00154D81" w:rsidRPr="00103593" w:rsidTr="00154D81">
        <w:trPr>
          <w:trHeight w:val="300"/>
        </w:trPr>
        <w:tc>
          <w:tcPr>
            <w:tcW w:w="1428"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 xml:space="preserve">Consolidating </w:t>
            </w:r>
            <w:r>
              <w:rPr>
                <w:rFonts w:cs="Arial"/>
                <w:sz w:val="20"/>
                <w:szCs w:val="20"/>
              </w:rPr>
              <w:t>g</w:t>
            </w:r>
            <w:r w:rsidRPr="0081153C">
              <w:rPr>
                <w:rFonts w:cs="Arial"/>
                <w:sz w:val="20"/>
                <w:szCs w:val="20"/>
              </w:rPr>
              <w:t>ain</w:t>
            </w:r>
          </w:p>
        </w:tc>
        <w:tc>
          <w:tcPr>
            <w:tcW w:w="1257"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0-17 years</w:t>
            </w:r>
          </w:p>
        </w:tc>
        <w:tc>
          <w:tcPr>
            <w:tcW w:w="1206"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1.2, 1, 1, 1, 1, 1, 1.2, 0.8, 0.8, 1, 1, 0.8, 0.8</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1.0317</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22</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241A</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Consolidating </w:t>
            </w:r>
            <w:r>
              <w:rPr>
                <w:rFonts w:cs="Arial"/>
                <w:sz w:val="20"/>
                <w:szCs w:val="20"/>
              </w:rPr>
              <w:t>g</w:t>
            </w:r>
            <w:r w:rsidRPr="0081153C">
              <w:rPr>
                <w:rFonts w:cs="Arial"/>
                <w:sz w:val="20"/>
                <w:szCs w:val="20"/>
              </w:rPr>
              <w:t xml:space="preserve">ain, 0-17 years, High HoNOS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241B</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Consolidating </w:t>
            </w:r>
            <w:r>
              <w:rPr>
                <w:rFonts w:cs="Arial"/>
                <w:sz w:val="20"/>
                <w:szCs w:val="20"/>
              </w:rPr>
              <w:t>g</w:t>
            </w:r>
            <w:r w:rsidRPr="0081153C">
              <w:rPr>
                <w:rFonts w:cs="Arial"/>
                <w:sz w:val="20"/>
                <w:szCs w:val="20"/>
              </w:rPr>
              <w:t xml:space="preserve">ain, 0-17 years, Moderate HoNOS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Unknown</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241Z</w:t>
            </w:r>
          </w:p>
        </w:tc>
        <w:tc>
          <w:tcPr>
            <w:tcW w:w="2886"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Consolidating </w:t>
            </w:r>
            <w:r>
              <w:rPr>
                <w:rFonts w:cs="Arial"/>
                <w:sz w:val="20"/>
                <w:szCs w:val="20"/>
              </w:rPr>
              <w:t>g</w:t>
            </w:r>
            <w:r w:rsidRPr="0081153C">
              <w:rPr>
                <w:rFonts w:cs="Arial"/>
                <w:sz w:val="20"/>
                <w:szCs w:val="20"/>
              </w:rPr>
              <w:t>ain, 0-17 years, Unknown HoNOS</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E4B26">
            <w:pPr>
              <w:spacing w:before="0" w:after="0" w:line="240" w:lineRule="auto"/>
              <w:ind w:left="-118" w:right="-117"/>
              <w:jc w:val="center"/>
              <w:rPr>
                <w:rFonts w:cs="Arial"/>
                <w:sz w:val="20"/>
                <w:szCs w:val="20"/>
              </w:rPr>
            </w:pPr>
            <w:r w:rsidRPr="0081153C">
              <w:rPr>
                <w:rFonts w:cs="Arial"/>
                <w:sz w:val="20"/>
                <w:szCs w:val="20"/>
              </w:rPr>
              <w:t>18-64 years</w:t>
            </w:r>
          </w:p>
        </w:tc>
        <w:tc>
          <w:tcPr>
            <w:tcW w:w="1206"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0.6, 1.2, 1.2, 0.6, 0.6, 0.6, 1.4, 1.4, 0.6, 0.6, 0.6, 0.6</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1.2</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16</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242A</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Consolidating </w:t>
            </w:r>
            <w:r>
              <w:rPr>
                <w:rFonts w:cs="Arial"/>
                <w:sz w:val="20"/>
                <w:szCs w:val="20"/>
              </w:rPr>
              <w:t>g</w:t>
            </w:r>
            <w:r w:rsidRPr="0081153C">
              <w:rPr>
                <w:rFonts w:cs="Arial"/>
                <w:sz w:val="20"/>
                <w:szCs w:val="20"/>
              </w:rPr>
              <w:t xml:space="preserve">ain, 18-64 years, High HoNOS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242B1</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Consolidating </w:t>
            </w:r>
            <w:r>
              <w:rPr>
                <w:rFonts w:cs="Arial"/>
                <w:sz w:val="20"/>
                <w:szCs w:val="20"/>
              </w:rPr>
              <w:t>g</w:t>
            </w:r>
            <w:r w:rsidRPr="0081153C">
              <w:rPr>
                <w:rFonts w:cs="Arial"/>
                <w:sz w:val="20"/>
                <w:szCs w:val="20"/>
              </w:rPr>
              <w:t xml:space="preserve">ain, 18-64 years, Moderate HoNOS </w:t>
            </w:r>
            <w:r>
              <w:rPr>
                <w:rFonts w:cs="Arial"/>
                <w:sz w:val="20"/>
                <w:szCs w:val="20"/>
              </w:rPr>
              <w:t>c</w:t>
            </w:r>
            <w:r w:rsidRPr="0081153C">
              <w:rPr>
                <w:rFonts w:cs="Arial"/>
                <w:sz w:val="20"/>
                <w:szCs w:val="20"/>
              </w:rPr>
              <w:t xml:space="preserve">omplexity with High LSP </w:t>
            </w:r>
            <w:r>
              <w:rPr>
                <w:rFonts w:cs="Arial"/>
                <w:sz w:val="20"/>
                <w:szCs w:val="20"/>
              </w:rPr>
              <w:t>c</w:t>
            </w:r>
            <w:r w:rsidRPr="0081153C">
              <w:rPr>
                <w:rFonts w:cs="Arial"/>
                <w:sz w:val="20"/>
                <w:szCs w:val="20"/>
              </w:rPr>
              <w:t>omplexity</w:t>
            </w:r>
          </w:p>
        </w:tc>
      </w:tr>
      <w:tr w:rsidR="00154D81" w:rsidRPr="0081153C"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242B2</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Consolidating </w:t>
            </w:r>
            <w:r>
              <w:rPr>
                <w:rFonts w:cs="Arial"/>
                <w:sz w:val="20"/>
                <w:szCs w:val="20"/>
              </w:rPr>
              <w:t>g</w:t>
            </w:r>
            <w:r w:rsidRPr="0081153C">
              <w:rPr>
                <w:rFonts w:cs="Arial"/>
                <w:sz w:val="20"/>
                <w:szCs w:val="20"/>
              </w:rPr>
              <w:t xml:space="preserve">ain, 18-64 years, Moderate HoNOS </w:t>
            </w:r>
            <w:r>
              <w:rPr>
                <w:rFonts w:cs="Arial"/>
                <w:sz w:val="20"/>
                <w:szCs w:val="20"/>
              </w:rPr>
              <w:t>c</w:t>
            </w:r>
            <w:r w:rsidRPr="0081153C">
              <w:rPr>
                <w:rFonts w:cs="Arial"/>
                <w:sz w:val="20"/>
                <w:szCs w:val="20"/>
              </w:rPr>
              <w:t xml:space="preserve">omplexity with Moderate LSP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Unknown</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242Z</w:t>
            </w:r>
          </w:p>
        </w:tc>
        <w:tc>
          <w:tcPr>
            <w:tcW w:w="2886"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Consolidating </w:t>
            </w:r>
            <w:r>
              <w:rPr>
                <w:rFonts w:cs="Arial"/>
                <w:sz w:val="20"/>
                <w:szCs w:val="20"/>
              </w:rPr>
              <w:t>g</w:t>
            </w:r>
            <w:r w:rsidRPr="0081153C">
              <w:rPr>
                <w:rFonts w:cs="Arial"/>
                <w:sz w:val="20"/>
                <w:szCs w:val="20"/>
              </w:rPr>
              <w:t>ain, 18-64 years, Unknown HoNOS</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57"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65+ years</w:t>
            </w:r>
          </w:p>
        </w:tc>
        <w:tc>
          <w:tcPr>
            <w:tcW w:w="1206" w:type="dxa"/>
            <w:vMerge w:val="restart"/>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0.8, 1, 1, 1.2, 1.2, 0.8, 1.2, 1.2, 0.8, 0.8, 1, 1</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w:t>
            </w:r>
          </w:p>
        </w:tc>
        <w:tc>
          <w:tcPr>
            <w:tcW w:w="1295" w:type="dxa"/>
            <w:vMerge w:val="restart"/>
            <w:tcBorders>
              <w:top w:val="nil"/>
              <w:left w:val="single" w:sz="4" w:space="0" w:color="auto"/>
              <w:bottom w:val="single" w:sz="4" w:space="0" w:color="000000"/>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18</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High</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243A</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Default="00154D81" w:rsidP="00727848">
            <w:pPr>
              <w:spacing w:before="0" w:after="0" w:line="240" w:lineRule="auto"/>
              <w:rPr>
                <w:rFonts w:cs="Arial"/>
                <w:sz w:val="20"/>
                <w:szCs w:val="20"/>
              </w:rPr>
            </w:pPr>
            <w:r w:rsidRPr="0081153C">
              <w:rPr>
                <w:rFonts w:cs="Arial"/>
                <w:sz w:val="20"/>
                <w:szCs w:val="20"/>
              </w:rPr>
              <w:t xml:space="preserve">Community, Consolidating </w:t>
            </w:r>
            <w:r>
              <w:rPr>
                <w:rFonts w:cs="Arial"/>
                <w:sz w:val="20"/>
                <w:szCs w:val="20"/>
              </w:rPr>
              <w:t>g</w:t>
            </w:r>
            <w:r w:rsidRPr="0081153C">
              <w:rPr>
                <w:rFonts w:cs="Arial"/>
                <w:sz w:val="20"/>
                <w:szCs w:val="20"/>
              </w:rPr>
              <w:t xml:space="preserve">ain, 65+ years, High HoNOS </w:t>
            </w:r>
            <w:r>
              <w:rPr>
                <w:rFonts w:cs="Arial"/>
                <w:sz w:val="20"/>
                <w:szCs w:val="20"/>
              </w:rPr>
              <w:t>c</w:t>
            </w:r>
            <w:r w:rsidRPr="0081153C">
              <w:rPr>
                <w:rFonts w:cs="Arial"/>
                <w:sz w:val="20"/>
                <w:szCs w:val="20"/>
              </w:rPr>
              <w:t>omplexity</w:t>
            </w:r>
          </w:p>
          <w:p w:rsidR="00727848" w:rsidRPr="0081153C" w:rsidRDefault="00727848" w:rsidP="00727848">
            <w:pPr>
              <w:spacing w:before="0" w:after="0" w:line="240" w:lineRule="auto"/>
              <w:rPr>
                <w:rFonts w:cs="Arial"/>
                <w:sz w:val="20"/>
                <w:szCs w:val="20"/>
              </w:rPr>
            </w:pP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Moderate</w:t>
            </w:r>
          </w:p>
        </w:tc>
        <w:tc>
          <w:tcPr>
            <w:tcW w:w="1295"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243B</w:t>
            </w:r>
          </w:p>
        </w:tc>
        <w:tc>
          <w:tcPr>
            <w:tcW w:w="2886" w:type="dxa"/>
            <w:tcBorders>
              <w:top w:val="nil"/>
              <w:left w:val="single" w:sz="4" w:space="0" w:color="auto"/>
              <w:bottom w:val="single" w:sz="4" w:space="0" w:color="auto"/>
              <w:right w:val="single" w:sz="4" w:space="0" w:color="auto"/>
            </w:tcBorders>
            <w:shd w:val="clear" w:color="000000" w:fill="D9D9D9"/>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Consolidating </w:t>
            </w:r>
            <w:r>
              <w:rPr>
                <w:rFonts w:cs="Arial"/>
                <w:sz w:val="20"/>
                <w:szCs w:val="20"/>
              </w:rPr>
              <w:t>g</w:t>
            </w:r>
            <w:r w:rsidRPr="0081153C">
              <w:rPr>
                <w:rFonts w:cs="Arial"/>
                <w:sz w:val="20"/>
                <w:szCs w:val="20"/>
              </w:rPr>
              <w:t xml:space="preserve">ain, 65+ years, Moderate HoNOS </w:t>
            </w:r>
            <w:r>
              <w:rPr>
                <w:rFonts w:cs="Arial"/>
                <w:sz w:val="20"/>
                <w:szCs w:val="20"/>
              </w:rPr>
              <w:t>c</w:t>
            </w:r>
            <w:r w:rsidRPr="0081153C">
              <w:rPr>
                <w:rFonts w:cs="Arial"/>
                <w:sz w:val="20"/>
                <w:szCs w:val="20"/>
              </w:rPr>
              <w:t>omplexity</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57"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06" w:type="dxa"/>
            <w:vMerge/>
            <w:tcBorders>
              <w:top w:val="nil"/>
              <w:left w:val="single" w:sz="4" w:space="0" w:color="auto"/>
              <w:bottom w:val="single" w:sz="4" w:space="0" w:color="auto"/>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154D81" w:rsidRPr="0081153C" w:rsidRDefault="00154D81" w:rsidP="00154D81">
            <w:pPr>
              <w:spacing w:after="0" w:line="240" w:lineRule="auto"/>
              <w:rPr>
                <w:rFonts w:cs="Arial"/>
                <w:sz w:val="20"/>
                <w:szCs w:val="20"/>
              </w:rPr>
            </w:pP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Unknown</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243Z</w:t>
            </w:r>
          </w:p>
        </w:tc>
        <w:tc>
          <w:tcPr>
            <w:tcW w:w="2886"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Consolidating </w:t>
            </w:r>
            <w:r>
              <w:rPr>
                <w:rFonts w:cs="Arial"/>
                <w:sz w:val="20"/>
                <w:szCs w:val="20"/>
              </w:rPr>
              <w:t>g</w:t>
            </w:r>
            <w:r w:rsidRPr="0081153C">
              <w:rPr>
                <w:rFonts w:cs="Arial"/>
                <w:sz w:val="20"/>
                <w:szCs w:val="20"/>
              </w:rPr>
              <w:t>ain, 65+ years, Unknown HoNOS</w:t>
            </w:r>
          </w:p>
        </w:tc>
      </w:tr>
      <w:tr w:rsidR="00154D81" w:rsidRPr="00103593" w:rsidTr="00154D81">
        <w:trPr>
          <w:cantSplit/>
          <w:trHeight w:val="300"/>
        </w:trPr>
        <w:tc>
          <w:tcPr>
            <w:tcW w:w="1428"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Unknown</w:t>
            </w:r>
          </w:p>
        </w:tc>
        <w:tc>
          <w:tcPr>
            <w:tcW w:w="1257"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0-17 years</w:t>
            </w:r>
          </w:p>
        </w:tc>
        <w:tc>
          <w:tcPr>
            <w:tcW w:w="12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291Z</w:t>
            </w:r>
          </w:p>
        </w:tc>
        <w:tc>
          <w:tcPr>
            <w:tcW w:w="2886"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Unknown </w:t>
            </w:r>
            <w:r>
              <w:rPr>
                <w:rFonts w:cs="Arial"/>
                <w:sz w:val="20"/>
                <w:szCs w:val="20"/>
              </w:rPr>
              <w:t>p</w:t>
            </w:r>
            <w:r w:rsidRPr="0081153C">
              <w:rPr>
                <w:rFonts w:cs="Arial"/>
                <w:sz w:val="20"/>
                <w:szCs w:val="20"/>
              </w:rPr>
              <w:t>hase, 0-17 years</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18-64 years</w:t>
            </w:r>
          </w:p>
        </w:tc>
        <w:tc>
          <w:tcPr>
            <w:tcW w:w="12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292Z</w:t>
            </w:r>
          </w:p>
        </w:tc>
        <w:tc>
          <w:tcPr>
            <w:tcW w:w="2886"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Unknown </w:t>
            </w:r>
            <w:r>
              <w:rPr>
                <w:rFonts w:cs="Arial"/>
                <w:sz w:val="20"/>
                <w:szCs w:val="20"/>
              </w:rPr>
              <w:t>p</w:t>
            </w:r>
            <w:r w:rsidRPr="0081153C">
              <w:rPr>
                <w:rFonts w:cs="Arial"/>
                <w:sz w:val="20"/>
                <w:szCs w:val="20"/>
              </w:rPr>
              <w:t>hase, 18-64 years</w:t>
            </w:r>
          </w:p>
        </w:tc>
      </w:tr>
      <w:tr w:rsidR="00154D81" w:rsidRPr="00103593" w:rsidTr="00154D81">
        <w:trPr>
          <w:trHeight w:val="300"/>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54D81" w:rsidRPr="0081153C" w:rsidRDefault="00154D81" w:rsidP="00727848">
            <w:pPr>
              <w:spacing w:before="0" w:after="0" w:line="240" w:lineRule="auto"/>
              <w:rPr>
                <w:rFonts w:cs="Arial"/>
                <w:sz w:val="20"/>
                <w:szCs w:val="20"/>
              </w:rPr>
            </w:pPr>
          </w:p>
        </w:tc>
        <w:tc>
          <w:tcPr>
            <w:tcW w:w="1257"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sidRPr="0081153C">
              <w:rPr>
                <w:rFonts w:cs="Arial"/>
                <w:sz w:val="20"/>
                <w:szCs w:val="20"/>
              </w:rPr>
              <w:t>65+ years</w:t>
            </w:r>
          </w:p>
        </w:tc>
        <w:tc>
          <w:tcPr>
            <w:tcW w:w="12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412"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1295"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jc w:val="center"/>
              <w:rPr>
                <w:rFonts w:cs="Arial"/>
                <w:sz w:val="20"/>
                <w:szCs w:val="20"/>
              </w:rPr>
            </w:pPr>
            <w:r>
              <w:rPr>
                <w:rFonts w:cs="Arial"/>
                <w:sz w:val="20"/>
                <w:szCs w:val="20"/>
              </w:rPr>
              <w:t>-</w:t>
            </w:r>
          </w:p>
        </w:tc>
        <w:tc>
          <w:tcPr>
            <w:tcW w:w="806" w:type="dxa"/>
            <w:tcBorders>
              <w:top w:val="nil"/>
              <w:left w:val="nil"/>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293Z</w:t>
            </w:r>
          </w:p>
        </w:tc>
        <w:tc>
          <w:tcPr>
            <w:tcW w:w="2886" w:type="dxa"/>
            <w:tcBorders>
              <w:top w:val="nil"/>
              <w:left w:val="single" w:sz="4" w:space="0" w:color="auto"/>
              <w:bottom w:val="single" w:sz="4" w:space="0" w:color="auto"/>
              <w:right w:val="single" w:sz="4" w:space="0" w:color="auto"/>
            </w:tcBorders>
            <w:shd w:val="clear" w:color="000000" w:fill="F2F2F2"/>
            <w:hideMark/>
          </w:tcPr>
          <w:p w:rsidR="00154D81" w:rsidRPr="0081153C" w:rsidRDefault="00154D81" w:rsidP="00727848">
            <w:pPr>
              <w:spacing w:before="0" w:after="0" w:line="240" w:lineRule="auto"/>
              <w:rPr>
                <w:rFonts w:cs="Arial"/>
                <w:sz w:val="20"/>
                <w:szCs w:val="20"/>
              </w:rPr>
            </w:pPr>
            <w:r w:rsidRPr="0081153C">
              <w:rPr>
                <w:rFonts w:cs="Arial"/>
                <w:sz w:val="20"/>
                <w:szCs w:val="20"/>
              </w:rPr>
              <w:t xml:space="preserve">Community, Unknown </w:t>
            </w:r>
            <w:r>
              <w:rPr>
                <w:rFonts w:cs="Arial"/>
                <w:sz w:val="20"/>
                <w:szCs w:val="20"/>
              </w:rPr>
              <w:t>p</w:t>
            </w:r>
            <w:r w:rsidRPr="0081153C">
              <w:rPr>
                <w:rFonts w:cs="Arial"/>
                <w:sz w:val="20"/>
                <w:szCs w:val="20"/>
              </w:rPr>
              <w:t>hase, 65+ years</w:t>
            </w:r>
          </w:p>
        </w:tc>
      </w:tr>
    </w:tbl>
    <w:p w:rsidR="00154D81" w:rsidRPr="00276C4B" w:rsidRDefault="00154D81" w:rsidP="00154D81">
      <w:pPr>
        <w:ind w:hanging="567"/>
      </w:pPr>
    </w:p>
    <w:p w:rsidR="00154D81" w:rsidRDefault="00154D81">
      <w:pPr>
        <w:spacing w:before="0" w:after="0" w:line="240" w:lineRule="auto"/>
        <w:sectPr w:rsidR="00154D81" w:rsidSect="00727848">
          <w:headerReference w:type="default" r:id="rId22"/>
          <w:pgSz w:w="16838" w:h="11906" w:orient="landscape" w:code="9"/>
          <w:pgMar w:top="1021" w:right="2041" w:bottom="1440" w:left="1021" w:header="680" w:footer="510" w:gutter="0"/>
          <w:cols w:space="708"/>
          <w:docGrid w:linePitch="360"/>
        </w:sectPr>
      </w:pPr>
    </w:p>
    <w:p w:rsidR="00154D81" w:rsidRPr="00673447" w:rsidRDefault="00154D81" w:rsidP="00154D81">
      <w:pPr>
        <w:pStyle w:val="Heading1"/>
      </w:pPr>
      <w:bookmarkStart w:id="170" w:name="_Toc454793263"/>
      <w:bookmarkStart w:id="171" w:name="_Toc483478617"/>
      <w:bookmarkStart w:id="172" w:name="_Toc514924147"/>
      <w:r w:rsidRPr="00673447">
        <w:lastRenderedPageBreak/>
        <w:t>References</w:t>
      </w:r>
      <w:bookmarkEnd w:id="170"/>
      <w:bookmarkEnd w:id="171"/>
      <w:bookmarkEnd w:id="172"/>
    </w:p>
    <w:p w:rsidR="00154D81" w:rsidRDefault="00154D81" w:rsidP="00154D81">
      <w:pPr>
        <w:pStyle w:val="ListParagraph"/>
        <w:numPr>
          <w:ilvl w:val="0"/>
          <w:numId w:val="31"/>
        </w:numPr>
        <w:spacing w:before="0" w:after="200" w:line="276" w:lineRule="auto"/>
        <w:ind w:left="357" w:hanging="357"/>
      </w:pPr>
      <w:r w:rsidRPr="0008061D">
        <w:t xml:space="preserve">University of Queensland. (2013). </w:t>
      </w:r>
      <w:r w:rsidRPr="0008061D">
        <w:rPr>
          <w:i/>
        </w:rPr>
        <w:t>Definition and cost drivers for mental health services project</w:t>
      </w:r>
      <w:r w:rsidRPr="0008061D">
        <w:t xml:space="preserve">. Commissioned by the Independent Hospital Pricing Authority. Retrieved </w:t>
      </w:r>
      <w:r>
        <w:br/>
      </w:r>
      <w:r w:rsidRPr="0008061D">
        <w:t xml:space="preserve">11 August 2015 from </w:t>
      </w:r>
      <w:hyperlink r:id="rId23" w:history="1">
        <w:r w:rsidRPr="002941A9">
          <w:rPr>
            <w:rStyle w:val="Hyperlink"/>
          </w:rPr>
          <w:t>ihpa.gov.au/publications/definitions-and-cost-drivers-mental-health-services-project</w:t>
        </w:r>
      </w:hyperlink>
    </w:p>
    <w:p w:rsidR="00154D81" w:rsidRDefault="00154D81" w:rsidP="00C86AAD">
      <w:pPr>
        <w:pStyle w:val="ListParagraph"/>
        <w:numPr>
          <w:ilvl w:val="0"/>
          <w:numId w:val="31"/>
        </w:numPr>
        <w:spacing w:before="0" w:after="200" w:line="276" w:lineRule="auto"/>
      </w:pPr>
      <w:r>
        <w:t>Australian Institute of Health and Welfare. (</w:t>
      </w:r>
      <w:r w:rsidR="00C86AAD">
        <w:t>2018</w:t>
      </w:r>
      <w:r>
        <w:t xml:space="preserve">). </w:t>
      </w:r>
      <w:r w:rsidR="00C86AAD">
        <w:t>Hospital service - c</w:t>
      </w:r>
      <w:r>
        <w:t>are type code N</w:t>
      </w:r>
      <w:r w:rsidR="00C86AAD">
        <w:t>[N]</w:t>
      </w:r>
      <w:r>
        <w:t>. Retrieved</w:t>
      </w:r>
      <w:r>
        <w:br/>
      </w:r>
      <w:r w:rsidR="00C86AAD">
        <w:t xml:space="preserve">24 May 2018 </w:t>
      </w:r>
      <w:r>
        <w:t xml:space="preserve">from </w:t>
      </w:r>
      <w:hyperlink r:id="rId24" w:history="1">
        <w:r w:rsidR="00AE2959" w:rsidRPr="00D5355C">
          <w:rPr>
            <w:rStyle w:val="Hyperlink"/>
          </w:rPr>
          <w:t>http://meteor.aihw.gov.au/content/index.phtml/itemId/584408</w:t>
        </w:r>
      </w:hyperlink>
    </w:p>
    <w:p w:rsidR="00154D81" w:rsidRPr="0008061D" w:rsidRDefault="00154D81" w:rsidP="00154D81">
      <w:pPr>
        <w:pStyle w:val="ListParagraph"/>
        <w:numPr>
          <w:ilvl w:val="0"/>
          <w:numId w:val="31"/>
        </w:numPr>
        <w:spacing w:before="0" w:after="200" w:line="276" w:lineRule="auto"/>
        <w:ind w:left="357" w:hanging="357"/>
      </w:pPr>
      <w:r w:rsidRPr="0008061D">
        <w:t xml:space="preserve">HealthConsult. (2015). </w:t>
      </w:r>
      <w:r w:rsidRPr="00294CC0">
        <w:rPr>
          <w:i/>
        </w:rPr>
        <w:t>Mental health costing study to inform the development of the Australian Mental Health Care</w:t>
      </w:r>
      <w:r w:rsidRPr="0008061D">
        <w:t>. Commissioned by the Independent Hospital Pricing Authority.</w:t>
      </w:r>
    </w:p>
    <w:p w:rsidR="00B87108" w:rsidRDefault="00B87108" w:rsidP="00B87108">
      <w:pPr>
        <w:pStyle w:val="ListParagraph"/>
        <w:numPr>
          <w:ilvl w:val="0"/>
          <w:numId w:val="31"/>
        </w:numPr>
        <w:spacing w:before="0" w:after="200" w:line="276" w:lineRule="auto"/>
      </w:pPr>
      <w:r>
        <w:t xml:space="preserve">Australian Institute of Health and Welfare. (2018). </w:t>
      </w:r>
      <w:r w:rsidRPr="00B87108">
        <w:t>Mental health phase of care</w:t>
      </w:r>
      <w:r>
        <w:t>. Retrieved</w:t>
      </w:r>
      <w:r>
        <w:br/>
        <w:t xml:space="preserve">24 May 2018 from </w:t>
      </w:r>
      <w:hyperlink r:id="rId25" w:history="1">
        <w:r w:rsidR="00EC1FCF" w:rsidRPr="00B410DE">
          <w:rPr>
            <w:rStyle w:val="Hyperlink"/>
          </w:rPr>
          <w:t>http://meteor.aihw.gov.au/content/index.phtml/itemId/682464</w:t>
        </w:r>
      </w:hyperlink>
    </w:p>
    <w:p w:rsidR="00154D81" w:rsidRDefault="00154D81" w:rsidP="00B87108">
      <w:pPr>
        <w:pStyle w:val="ListParagraph"/>
        <w:numPr>
          <w:ilvl w:val="0"/>
          <w:numId w:val="31"/>
        </w:numPr>
        <w:spacing w:before="0" w:after="200" w:line="276" w:lineRule="auto"/>
      </w:pPr>
      <w:r>
        <w:t>Australian Institute of Health and Welfare. (</w:t>
      </w:r>
      <w:r w:rsidR="00B87108">
        <w:t>2018</w:t>
      </w:r>
      <w:r>
        <w:t xml:space="preserve">). Episode of mental health care – Identifier. Retrieved </w:t>
      </w:r>
      <w:r w:rsidR="00B87108">
        <w:t xml:space="preserve">24 May 2018 </w:t>
      </w:r>
      <w:r>
        <w:t xml:space="preserve">from </w:t>
      </w:r>
      <w:r w:rsidR="00B87108" w:rsidRPr="00B87108">
        <w:rPr>
          <w:rStyle w:val="Hyperlink"/>
        </w:rPr>
        <w:t>http://meteor.aihw.gov.au/content/index.phtml/itemId/654429</w:t>
      </w:r>
    </w:p>
    <w:p w:rsidR="00811552" w:rsidRDefault="00811552" w:rsidP="00811552">
      <w:pPr>
        <w:pStyle w:val="ListParagraph"/>
        <w:numPr>
          <w:ilvl w:val="0"/>
          <w:numId w:val="31"/>
        </w:numPr>
        <w:spacing w:before="0" w:after="200" w:line="276" w:lineRule="auto"/>
      </w:pPr>
      <w:r>
        <w:t>Australian Institute of Health and Welfare. (2018). Episode of care - m</w:t>
      </w:r>
      <w:r w:rsidRPr="00B87108">
        <w:t>ental health phase of care</w:t>
      </w:r>
      <w:r>
        <w:t>, code N. Retrieved</w:t>
      </w:r>
      <w:r>
        <w:br/>
        <w:t xml:space="preserve">24 May 2018 from </w:t>
      </w:r>
      <w:hyperlink r:id="rId26" w:history="1">
        <w:r w:rsidR="00AE2959" w:rsidRPr="00D5355C">
          <w:rPr>
            <w:rStyle w:val="Hyperlink"/>
          </w:rPr>
          <w:t>http://meteor.aihw.gov.au/content/index.phtml/itemId/681789</w:t>
        </w:r>
      </w:hyperlink>
    </w:p>
    <w:p w:rsidR="00154D81" w:rsidRPr="0008061D" w:rsidRDefault="00154D81" w:rsidP="00154D81">
      <w:pPr>
        <w:pStyle w:val="ListParagraph"/>
        <w:numPr>
          <w:ilvl w:val="0"/>
          <w:numId w:val="31"/>
        </w:numPr>
        <w:spacing w:before="0" w:after="200" w:line="276" w:lineRule="auto"/>
        <w:ind w:left="357" w:hanging="357"/>
      </w:pPr>
      <w:r w:rsidRPr="0008061D">
        <w:t>Wing J, Curtis R, Beevor A</w:t>
      </w:r>
      <w:r>
        <w:t>.</w:t>
      </w:r>
      <w:r w:rsidRPr="0008061D">
        <w:t xml:space="preserve"> (1999)</w:t>
      </w:r>
      <w:r>
        <w:t>.</w:t>
      </w:r>
      <w:r w:rsidRPr="0008061D">
        <w:t xml:space="preserve"> Health of the Nation Outcome Scales (HoNOS): Glossary for HoNOS score sheet. </w:t>
      </w:r>
      <w:r w:rsidRPr="00294CC0">
        <w:rPr>
          <w:i/>
        </w:rPr>
        <w:t>British Journal of Psychiatry</w:t>
      </w:r>
      <w:r w:rsidRPr="0008061D">
        <w:t xml:space="preserve">, </w:t>
      </w:r>
      <w:r w:rsidRPr="00294CC0">
        <w:rPr>
          <w:i/>
        </w:rPr>
        <w:t>174</w:t>
      </w:r>
      <w:r w:rsidRPr="0008061D">
        <w:t>, 432–434.</w:t>
      </w:r>
    </w:p>
    <w:p w:rsidR="00154D81" w:rsidRPr="0008061D" w:rsidRDefault="00154D81" w:rsidP="00154D81">
      <w:pPr>
        <w:pStyle w:val="ListParagraph"/>
        <w:numPr>
          <w:ilvl w:val="0"/>
          <w:numId w:val="31"/>
        </w:numPr>
        <w:spacing w:before="0" w:after="200" w:line="276" w:lineRule="auto"/>
        <w:ind w:left="357" w:hanging="357"/>
      </w:pPr>
      <w:r w:rsidRPr="0008061D">
        <w:t>Wing J, Beevor A, Curtis R, Park S, Hadden S, Burns A</w:t>
      </w:r>
      <w:r>
        <w:t>.</w:t>
      </w:r>
      <w:r w:rsidRPr="0008061D">
        <w:t xml:space="preserve"> (1998)</w:t>
      </w:r>
      <w:r>
        <w:t>.</w:t>
      </w:r>
      <w:r w:rsidRPr="0008061D">
        <w:t xml:space="preserve"> Health of the Nation Outcome Scales (HoNOS). Research and development. </w:t>
      </w:r>
      <w:r w:rsidRPr="00294CC0">
        <w:rPr>
          <w:i/>
        </w:rPr>
        <w:t>British Journal of Psychiatry</w:t>
      </w:r>
      <w:r w:rsidRPr="0008061D">
        <w:t xml:space="preserve">, </w:t>
      </w:r>
      <w:r w:rsidRPr="00294CC0">
        <w:rPr>
          <w:i/>
        </w:rPr>
        <w:t>172</w:t>
      </w:r>
      <w:r w:rsidRPr="0008061D">
        <w:t>, 11-18.</w:t>
      </w:r>
    </w:p>
    <w:p w:rsidR="00154D81" w:rsidRPr="0008061D" w:rsidRDefault="00154D81" w:rsidP="00154D81">
      <w:pPr>
        <w:pStyle w:val="ListParagraph"/>
        <w:numPr>
          <w:ilvl w:val="0"/>
          <w:numId w:val="31"/>
        </w:numPr>
        <w:spacing w:before="0" w:after="200" w:line="276" w:lineRule="auto"/>
        <w:ind w:left="357" w:hanging="357"/>
      </w:pPr>
      <w:r w:rsidRPr="0008061D">
        <w:t xml:space="preserve">Gowers S, Harrington R, Whitton A, Lelliott P, Beevor A, Wing J, Jezzard R (1999) Brief scale for measuring the outcomes of emotional and behavioural disorders in children: Health of the Nation Outcome Scales for Children and Adolescents (HoNOSCA). </w:t>
      </w:r>
      <w:r w:rsidRPr="00294CC0">
        <w:rPr>
          <w:i/>
        </w:rPr>
        <w:t>British Journal of Psychiatry</w:t>
      </w:r>
      <w:r w:rsidRPr="0008061D">
        <w:t xml:space="preserve">, </w:t>
      </w:r>
      <w:r w:rsidRPr="00294CC0">
        <w:rPr>
          <w:i/>
        </w:rPr>
        <w:t>174</w:t>
      </w:r>
      <w:r w:rsidRPr="0008061D">
        <w:t>, 413-416.</w:t>
      </w:r>
    </w:p>
    <w:p w:rsidR="00154D81" w:rsidRPr="0008061D" w:rsidRDefault="00154D81" w:rsidP="00154D81">
      <w:pPr>
        <w:pStyle w:val="ListParagraph"/>
        <w:numPr>
          <w:ilvl w:val="0"/>
          <w:numId w:val="31"/>
        </w:numPr>
        <w:spacing w:before="0" w:after="200" w:line="276" w:lineRule="auto"/>
        <w:ind w:left="357" w:hanging="357"/>
      </w:pPr>
      <w:r w:rsidRPr="0008061D">
        <w:t>Gowers S, Harrington R, Whitton A, Beevor A, Lelliott P, Jezzard R, Wing J</w:t>
      </w:r>
      <w:r>
        <w:t>.</w:t>
      </w:r>
      <w:r w:rsidRPr="0008061D">
        <w:t xml:space="preserve"> (1999)</w:t>
      </w:r>
      <w:r>
        <w:t>.</w:t>
      </w:r>
      <w:r w:rsidRPr="0008061D">
        <w:t xml:space="preserve"> Health of the Nation Outcome Scales for Children and Adolescents (HoNOSCA): Glossary for HoNOSCA score sheet. </w:t>
      </w:r>
      <w:r w:rsidRPr="00294CC0">
        <w:rPr>
          <w:i/>
        </w:rPr>
        <w:t>British Journal of Psychiatry</w:t>
      </w:r>
      <w:r w:rsidRPr="0008061D">
        <w:t xml:space="preserve">, </w:t>
      </w:r>
      <w:r w:rsidRPr="00294CC0">
        <w:rPr>
          <w:i/>
        </w:rPr>
        <w:t>174</w:t>
      </w:r>
      <w:r w:rsidRPr="0008061D">
        <w:t>, 428-433.</w:t>
      </w:r>
    </w:p>
    <w:p w:rsidR="00154D81" w:rsidRDefault="00154D81" w:rsidP="00154D81">
      <w:pPr>
        <w:pStyle w:val="ListParagraph"/>
        <w:numPr>
          <w:ilvl w:val="0"/>
          <w:numId w:val="31"/>
        </w:numPr>
        <w:spacing w:before="0" w:after="200" w:line="276" w:lineRule="auto"/>
        <w:ind w:left="357" w:hanging="357"/>
      </w:pPr>
      <w:r>
        <w:t xml:space="preserve">Burns A, Beevor A, Lelliott P, Wing J, Blakey A, Orrell M, Mulinga J, Hadden S. (1999). Health of the Nation Outcome Scales for Elderly People (HoNOS 65+). </w:t>
      </w:r>
      <w:r w:rsidRPr="00773220">
        <w:rPr>
          <w:i/>
        </w:rPr>
        <w:t>British Journal of Psychiatry, 174</w:t>
      </w:r>
      <w:r>
        <w:t>, 424-427.</w:t>
      </w:r>
    </w:p>
    <w:p w:rsidR="00154D81" w:rsidRDefault="00154D81" w:rsidP="00154D81">
      <w:pPr>
        <w:pStyle w:val="ListParagraph"/>
        <w:numPr>
          <w:ilvl w:val="0"/>
          <w:numId w:val="31"/>
        </w:numPr>
        <w:spacing w:before="0" w:after="200" w:line="276" w:lineRule="auto"/>
        <w:ind w:left="357" w:hanging="357"/>
      </w:pPr>
      <w:r>
        <w:lastRenderedPageBreak/>
        <w:t xml:space="preserve">Burns A, Beevor A, Lelliott P, Wing J, Blakey A, Orrell M, Mulinga J, Hadden S. (1999). Health of the Nation Outcome Scales for Elderly People (HoNOS 65+): Glossary for HoNOS 65+ score sheet. </w:t>
      </w:r>
      <w:r w:rsidRPr="00773220">
        <w:rPr>
          <w:i/>
        </w:rPr>
        <w:t>British Journal of Psychiatry, 174</w:t>
      </w:r>
      <w:r>
        <w:t>, 435-438.</w:t>
      </w:r>
    </w:p>
    <w:p w:rsidR="00154D81" w:rsidRDefault="00154D81" w:rsidP="00154D81">
      <w:pPr>
        <w:pStyle w:val="ListParagraph"/>
        <w:numPr>
          <w:ilvl w:val="0"/>
          <w:numId w:val="31"/>
        </w:numPr>
        <w:spacing w:before="0" w:after="200" w:line="276" w:lineRule="auto"/>
        <w:ind w:left="357" w:hanging="357"/>
      </w:pPr>
      <w:r>
        <w:t xml:space="preserve">Rosen A, Hadzi-Pavlovic D, Parker G. (1989). The Life Skills Profile: A measure assessing function and disability in schizophrenia. </w:t>
      </w:r>
      <w:r w:rsidRPr="00773220">
        <w:rPr>
          <w:i/>
        </w:rPr>
        <w:t>Schizophrenia Bulletin, 1989</w:t>
      </w:r>
      <w:r>
        <w:t>, 325-337.</w:t>
      </w:r>
    </w:p>
    <w:p w:rsidR="00154D81" w:rsidRPr="00154D81" w:rsidRDefault="00154D81" w:rsidP="007A6D20">
      <w:pPr>
        <w:pStyle w:val="ListParagraph"/>
        <w:numPr>
          <w:ilvl w:val="0"/>
          <w:numId w:val="31"/>
        </w:numPr>
        <w:spacing w:before="0" w:after="200" w:line="276" w:lineRule="auto"/>
        <w:ind w:left="357" w:hanging="357"/>
      </w:pPr>
      <w:r>
        <w:t xml:space="preserve">Buckingham W, Burgess P, Solomon S, Pirkis J &amp; Eagar K (1998) </w:t>
      </w:r>
      <w:r w:rsidRPr="00417702">
        <w:rPr>
          <w:i/>
        </w:rPr>
        <w:t>Developing a Casemix Classification for Mental Health Services. Volume 1: Main Report</w:t>
      </w:r>
      <w:r>
        <w:t>. Commonwealth Department of Health and Family Services: Canberra.</w:t>
      </w:r>
      <w:r>
        <w:br w:type="page"/>
      </w:r>
    </w:p>
    <w:p w:rsidR="00154D81" w:rsidRPr="00FD5EB7" w:rsidRDefault="00154D81" w:rsidP="00154D81">
      <w:pPr>
        <w:pStyle w:val="Heading1"/>
        <w:spacing w:after="360"/>
        <w:rPr>
          <w:caps/>
          <w:sz w:val="52"/>
          <w:szCs w:val="52"/>
        </w:rPr>
      </w:pPr>
      <w:bookmarkStart w:id="173" w:name="_Toc433900366"/>
      <w:bookmarkStart w:id="174" w:name="_Toc454793264"/>
      <w:bookmarkStart w:id="175" w:name="_Toc483478618"/>
      <w:bookmarkStart w:id="176" w:name="_Toc514924148"/>
      <w:r w:rsidRPr="00FD5EB7">
        <w:rPr>
          <w:sz w:val="52"/>
          <w:szCs w:val="52"/>
        </w:rPr>
        <w:lastRenderedPageBreak/>
        <w:t xml:space="preserve">Appendix 1: AMHCC Version 1.0 </w:t>
      </w:r>
      <w:r w:rsidR="008C299E">
        <w:rPr>
          <w:sz w:val="52"/>
          <w:szCs w:val="52"/>
        </w:rPr>
        <w:t xml:space="preserve">end </w:t>
      </w:r>
      <w:r w:rsidRPr="00FD5EB7">
        <w:rPr>
          <w:sz w:val="52"/>
          <w:szCs w:val="52"/>
        </w:rPr>
        <w:t>class list</w:t>
      </w:r>
      <w:bookmarkEnd w:id="173"/>
      <w:bookmarkEnd w:id="174"/>
      <w:bookmarkEnd w:id="175"/>
      <w:bookmarkEnd w:id="17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endix 1"/>
        <w:tblDescription w:val="AMHCC end class list"/>
      </w:tblPr>
      <w:tblGrid>
        <w:gridCol w:w="1276"/>
        <w:gridCol w:w="1276"/>
        <w:gridCol w:w="6946"/>
      </w:tblGrid>
      <w:tr w:rsidR="00154D81" w:rsidTr="00154D81">
        <w:trPr>
          <w:cantSplit/>
          <w:trHeight w:val="227"/>
          <w:tblHeader/>
        </w:trPr>
        <w:tc>
          <w:tcPr>
            <w:tcW w:w="1276" w:type="dxa"/>
            <w:tcBorders>
              <w:bottom w:val="single" w:sz="4" w:space="0" w:color="auto"/>
            </w:tcBorders>
            <w:shd w:val="clear" w:color="auto" w:fill="006D00" w:themeFill="accent1" w:themeFillTint="E6"/>
            <w:vAlign w:val="center"/>
          </w:tcPr>
          <w:p w:rsidR="00154D81" w:rsidRPr="00496EDE" w:rsidRDefault="00154D81" w:rsidP="00154D81">
            <w:pPr>
              <w:keepNext/>
              <w:keepLines/>
              <w:spacing w:before="40" w:after="40" w:line="240" w:lineRule="auto"/>
              <w:rPr>
                <w:rFonts w:asciiTheme="majorHAnsi" w:hAnsiTheme="majorHAnsi"/>
                <w:b/>
                <w:color w:val="FFFFFF" w:themeColor="background1"/>
                <w:sz w:val="20"/>
              </w:rPr>
            </w:pPr>
            <w:r w:rsidRPr="00496EDE">
              <w:rPr>
                <w:rFonts w:asciiTheme="majorHAnsi" w:hAnsiTheme="majorHAnsi"/>
                <w:b/>
                <w:color w:val="FFFFFF" w:themeColor="background1"/>
                <w:sz w:val="20"/>
              </w:rPr>
              <w:t>Setting</w:t>
            </w:r>
          </w:p>
        </w:tc>
        <w:tc>
          <w:tcPr>
            <w:tcW w:w="1276" w:type="dxa"/>
            <w:tcBorders>
              <w:bottom w:val="single" w:sz="4" w:space="0" w:color="auto"/>
            </w:tcBorders>
            <w:shd w:val="clear" w:color="auto" w:fill="006D00" w:themeFill="accent1" w:themeFillTint="E6"/>
            <w:vAlign w:val="center"/>
          </w:tcPr>
          <w:p w:rsidR="00154D81" w:rsidRPr="00496EDE" w:rsidRDefault="00154D81" w:rsidP="00154D81">
            <w:pPr>
              <w:keepNext/>
              <w:keepLines/>
              <w:spacing w:before="40" w:after="40" w:line="240" w:lineRule="auto"/>
              <w:rPr>
                <w:rFonts w:asciiTheme="majorHAnsi" w:hAnsiTheme="majorHAnsi"/>
                <w:b/>
                <w:color w:val="FFFFFF" w:themeColor="background1"/>
                <w:sz w:val="20"/>
              </w:rPr>
            </w:pPr>
            <w:r w:rsidRPr="00496EDE">
              <w:rPr>
                <w:rFonts w:asciiTheme="majorHAnsi" w:hAnsiTheme="majorHAnsi" w:cstheme="majorHAnsi"/>
                <w:b/>
                <w:color w:val="FFFFFF" w:themeColor="background1"/>
                <w:sz w:val="20"/>
                <w:szCs w:val="20"/>
              </w:rPr>
              <w:t>AMHCC V1</w:t>
            </w:r>
            <w:r>
              <w:rPr>
                <w:rFonts w:asciiTheme="majorHAnsi" w:hAnsiTheme="majorHAnsi" w:cstheme="majorHAnsi"/>
                <w:b/>
                <w:color w:val="FFFFFF" w:themeColor="background1"/>
                <w:sz w:val="20"/>
                <w:szCs w:val="20"/>
              </w:rPr>
              <w:t>.0</w:t>
            </w:r>
            <w:r w:rsidRPr="00496EDE">
              <w:rPr>
                <w:rFonts w:asciiTheme="majorHAnsi" w:hAnsiTheme="majorHAnsi" w:cstheme="majorHAnsi"/>
                <w:b/>
                <w:color w:val="FFFFFF" w:themeColor="background1"/>
                <w:sz w:val="20"/>
                <w:szCs w:val="20"/>
              </w:rPr>
              <w:t xml:space="preserve"> </w:t>
            </w:r>
            <w:r w:rsidR="008C299E">
              <w:rPr>
                <w:rFonts w:asciiTheme="majorHAnsi" w:hAnsiTheme="majorHAnsi" w:cstheme="majorHAnsi"/>
                <w:b/>
                <w:color w:val="FFFFFF" w:themeColor="background1"/>
                <w:sz w:val="20"/>
                <w:szCs w:val="20"/>
              </w:rPr>
              <w:t xml:space="preserve">end </w:t>
            </w:r>
            <w:r w:rsidRPr="00496EDE">
              <w:rPr>
                <w:rFonts w:asciiTheme="majorHAnsi" w:hAnsiTheme="majorHAnsi" w:cstheme="majorHAnsi"/>
                <w:b/>
                <w:color w:val="FFFFFF" w:themeColor="background1"/>
                <w:sz w:val="20"/>
                <w:szCs w:val="20"/>
              </w:rPr>
              <w:t>class</w:t>
            </w:r>
          </w:p>
        </w:tc>
        <w:tc>
          <w:tcPr>
            <w:tcW w:w="6946" w:type="dxa"/>
            <w:tcBorders>
              <w:bottom w:val="single" w:sz="4" w:space="0" w:color="auto"/>
            </w:tcBorders>
            <w:shd w:val="clear" w:color="auto" w:fill="006D00" w:themeFill="accent1" w:themeFillTint="E6"/>
            <w:vAlign w:val="center"/>
          </w:tcPr>
          <w:p w:rsidR="00154D81" w:rsidRPr="00496EDE" w:rsidRDefault="00154D81" w:rsidP="00154D81">
            <w:pPr>
              <w:keepNext/>
              <w:keepLines/>
              <w:spacing w:before="40" w:after="40" w:line="240" w:lineRule="auto"/>
              <w:rPr>
                <w:rFonts w:asciiTheme="majorHAnsi" w:hAnsiTheme="majorHAnsi"/>
                <w:b/>
                <w:color w:val="FFFFFF" w:themeColor="background1"/>
                <w:sz w:val="20"/>
              </w:rPr>
            </w:pPr>
            <w:r w:rsidRPr="00496EDE">
              <w:rPr>
                <w:rFonts w:asciiTheme="majorHAnsi" w:hAnsiTheme="majorHAnsi" w:cstheme="majorHAnsi"/>
                <w:b/>
                <w:color w:val="FFFFFF" w:themeColor="background1"/>
                <w:sz w:val="20"/>
                <w:szCs w:val="20"/>
              </w:rPr>
              <w:t>AMHCC V1</w:t>
            </w:r>
            <w:r>
              <w:rPr>
                <w:rFonts w:asciiTheme="majorHAnsi" w:hAnsiTheme="majorHAnsi" w:cstheme="majorHAnsi"/>
                <w:b/>
                <w:color w:val="FFFFFF" w:themeColor="background1"/>
                <w:sz w:val="20"/>
                <w:szCs w:val="20"/>
              </w:rPr>
              <w:t>.0</w:t>
            </w:r>
            <w:r w:rsidRPr="00496EDE">
              <w:rPr>
                <w:rFonts w:asciiTheme="majorHAnsi" w:hAnsiTheme="majorHAnsi" w:cstheme="majorHAnsi"/>
                <w:b/>
                <w:color w:val="FFFFFF" w:themeColor="background1"/>
                <w:sz w:val="20"/>
                <w:szCs w:val="20"/>
              </w:rPr>
              <w:t xml:space="preserve"> description</w:t>
            </w:r>
          </w:p>
        </w:tc>
      </w:tr>
      <w:tr w:rsidR="00154D81" w:rsidRPr="001032EB" w:rsidTr="00154D81">
        <w:trPr>
          <w:cantSplit/>
          <w:trHeight w:val="289"/>
        </w:trPr>
        <w:tc>
          <w:tcPr>
            <w:tcW w:w="1276" w:type="dxa"/>
            <w:vMerge w:val="restart"/>
            <w:tcBorders>
              <w:top w:val="single" w:sz="4" w:space="0" w:color="auto"/>
              <w:left w:val="single" w:sz="4" w:space="0" w:color="auto"/>
              <w:right w:val="single" w:sz="4" w:space="0" w:color="auto"/>
            </w:tcBorders>
            <w:shd w:val="clear" w:color="auto" w:fill="auto"/>
            <w:vAlign w:val="center"/>
          </w:tcPr>
          <w:p w:rsidR="00154D81" w:rsidRPr="001032EB" w:rsidRDefault="00154D81" w:rsidP="00154D81">
            <w:pPr>
              <w:rPr>
                <w:rFonts w:cstheme="minorHAnsi"/>
                <w:sz w:val="20"/>
                <w:szCs w:val="20"/>
              </w:rPr>
            </w:pPr>
            <w:r w:rsidRPr="001032EB">
              <w:rPr>
                <w:rFonts w:cstheme="minorHAnsi"/>
                <w:sz w:val="20"/>
                <w:szCs w:val="20"/>
              </w:rPr>
              <w:t>Admitted</w:t>
            </w:r>
          </w:p>
          <w:p w:rsidR="00154D81" w:rsidRPr="001032EB" w:rsidRDefault="00154D81" w:rsidP="00154D81">
            <w:pPr>
              <w:rPr>
                <w:rFonts w:cstheme="minorHAnsi"/>
                <w:sz w:val="20"/>
                <w:szCs w:val="20"/>
              </w:rPr>
            </w:pPr>
          </w:p>
          <w:p w:rsidR="00154D81" w:rsidRPr="001032EB" w:rsidRDefault="00154D81" w:rsidP="00154D81">
            <w:pPr>
              <w:spacing w:before="40" w:after="40" w:line="240" w:lineRule="auto"/>
              <w:rPr>
                <w:rFonts w:cstheme="minorHAnsi"/>
                <w:sz w:val="20"/>
                <w:szCs w:val="20"/>
              </w:rPr>
            </w:pPr>
          </w:p>
          <w:p w:rsidR="00154D81" w:rsidRPr="001032EB" w:rsidRDefault="00154D81" w:rsidP="00154D81">
            <w:pPr>
              <w:spacing w:before="40" w:after="40" w:line="240" w:lineRule="auto"/>
              <w:rPr>
                <w:rFonts w:cstheme="minorHAnsi"/>
                <w:sz w:val="20"/>
                <w:szCs w:val="20"/>
              </w:rPr>
            </w:pPr>
          </w:p>
          <w:p w:rsidR="00154D81" w:rsidRPr="001032EB" w:rsidRDefault="00154D81" w:rsidP="00154D81">
            <w:pPr>
              <w:spacing w:before="40" w:after="40" w:line="240" w:lineRule="auto"/>
              <w:rPr>
                <w:rFonts w:cstheme="minorHAnsi"/>
                <w:sz w:val="20"/>
                <w:szCs w:val="20"/>
              </w:rPr>
            </w:pPr>
          </w:p>
          <w:p w:rsidR="00154D81" w:rsidRPr="001032EB" w:rsidRDefault="00154D81" w:rsidP="00154D81">
            <w:pPr>
              <w:spacing w:before="40" w:after="40" w:line="240" w:lineRule="auto"/>
              <w:rPr>
                <w:rFonts w:cstheme="minorHAnsi"/>
                <w:sz w:val="20"/>
                <w:szCs w:val="20"/>
              </w:rPr>
            </w:pPr>
          </w:p>
          <w:p w:rsidR="00154D81" w:rsidRPr="001032EB" w:rsidRDefault="00154D81" w:rsidP="00154D81">
            <w:pPr>
              <w:spacing w:before="40" w:after="40" w:line="240" w:lineRule="auto"/>
              <w:rPr>
                <w:rFonts w:cstheme="minorHAnsi"/>
                <w:sz w:val="20"/>
                <w:szCs w:val="20"/>
              </w:rPr>
            </w:pPr>
          </w:p>
          <w:p w:rsidR="00154D81" w:rsidRPr="001032EB" w:rsidRDefault="00154D81" w:rsidP="00154D81">
            <w:pPr>
              <w:spacing w:before="40" w:after="40" w:line="240" w:lineRule="auto"/>
              <w:rPr>
                <w:rFonts w:cstheme="minorHAnsi"/>
                <w:sz w:val="20"/>
                <w:szCs w:val="20"/>
              </w:rPr>
            </w:pPr>
          </w:p>
          <w:p w:rsidR="00154D81" w:rsidRPr="001032EB" w:rsidRDefault="00154D81" w:rsidP="00154D81">
            <w:pPr>
              <w:spacing w:before="40" w:after="40" w:line="240" w:lineRule="auto"/>
              <w:rPr>
                <w:rFonts w:cstheme="minorHAnsi"/>
                <w:sz w:val="20"/>
                <w:szCs w:val="20"/>
              </w:rPr>
            </w:pPr>
          </w:p>
          <w:p w:rsidR="00154D81" w:rsidRPr="001032EB" w:rsidRDefault="00154D81" w:rsidP="00154D81">
            <w:pPr>
              <w:spacing w:before="40" w:after="40" w:line="240" w:lineRule="auto"/>
              <w:rPr>
                <w:rFonts w:cstheme="minorHAnsi"/>
                <w:sz w:val="20"/>
                <w:szCs w:val="20"/>
              </w:rPr>
            </w:pPr>
          </w:p>
          <w:p w:rsidR="00154D81" w:rsidRPr="001032EB" w:rsidRDefault="00154D81" w:rsidP="00154D81">
            <w:pPr>
              <w:spacing w:before="40" w:after="40" w:line="240" w:lineRule="auto"/>
              <w:rPr>
                <w:rFonts w:cstheme="minorHAnsi"/>
                <w:sz w:val="20"/>
                <w:szCs w:val="20"/>
              </w:rPr>
            </w:pPr>
          </w:p>
          <w:p w:rsidR="00154D81" w:rsidRPr="001032EB" w:rsidRDefault="00154D81" w:rsidP="00154D81">
            <w:pPr>
              <w:spacing w:before="40" w:after="40" w:line="240" w:lineRule="auto"/>
              <w:rPr>
                <w:rFonts w:cstheme="minorHAnsi"/>
                <w:sz w:val="20"/>
                <w:szCs w:val="20"/>
              </w:rPr>
            </w:pPr>
          </w:p>
          <w:p w:rsidR="00154D81" w:rsidRPr="001032EB" w:rsidRDefault="00154D81" w:rsidP="00154D81">
            <w:pPr>
              <w:spacing w:before="40" w:after="40" w:line="240" w:lineRule="auto"/>
              <w:rPr>
                <w:rFonts w:cstheme="minorHAnsi"/>
                <w:sz w:val="20"/>
                <w:szCs w:val="20"/>
              </w:rPr>
            </w:pPr>
          </w:p>
          <w:p w:rsidR="00154D81" w:rsidRPr="001032EB" w:rsidRDefault="00154D81" w:rsidP="00154D81">
            <w:pPr>
              <w:spacing w:before="40" w:after="40" w:line="240" w:lineRule="auto"/>
              <w:rPr>
                <w:rFonts w:cstheme="minorHAnsi"/>
                <w:sz w:val="20"/>
                <w:szCs w:val="20"/>
              </w:rPr>
            </w:pPr>
          </w:p>
          <w:p w:rsidR="00154D81" w:rsidRPr="001032EB" w:rsidRDefault="00154D81" w:rsidP="00154D81">
            <w:pPr>
              <w:spacing w:before="40" w:after="40" w:line="240" w:lineRule="auto"/>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1032EB" w:rsidRDefault="00154D81" w:rsidP="00727848">
            <w:pPr>
              <w:spacing w:before="40" w:after="40" w:line="240" w:lineRule="auto"/>
              <w:rPr>
                <w:rFonts w:cstheme="minorHAnsi"/>
                <w:sz w:val="20"/>
                <w:szCs w:val="20"/>
              </w:rPr>
            </w:pPr>
            <w:r w:rsidRPr="001032EB">
              <w:rPr>
                <w:rFonts w:cstheme="minorHAnsi"/>
                <w:sz w:val="20"/>
                <w:szCs w:val="20"/>
              </w:rPr>
              <w:t>101Z</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54D81" w:rsidRPr="001032EB" w:rsidRDefault="00154D81" w:rsidP="00727848">
            <w:pPr>
              <w:spacing w:before="40" w:after="40" w:line="240" w:lineRule="auto"/>
              <w:rPr>
                <w:rFonts w:cstheme="minorHAnsi"/>
                <w:sz w:val="20"/>
                <w:szCs w:val="20"/>
              </w:rPr>
            </w:pPr>
            <w:r w:rsidRPr="001032EB">
              <w:rPr>
                <w:rFonts w:cstheme="minorHAnsi"/>
                <w:sz w:val="20"/>
                <w:szCs w:val="20"/>
              </w:rPr>
              <w:t xml:space="preserve">Admitted, </w:t>
            </w:r>
            <w:r>
              <w:rPr>
                <w:rFonts w:cstheme="minorHAnsi"/>
                <w:sz w:val="20"/>
                <w:szCs w:val="20"/>
              </w:rPr>
              <w:t>Assessment only</w:t>
            </w:r>
            <w:r w:rsidRPr="001032EB">
              <w:rPr>
                <w:rFonts w:cstheme="minorHAnsi"/>
                <w:sz w:val="20"/>
                <w:szCs w:val="20"/>
              </w:rPr>
              <w:t>, 0-17 years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102Z</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 xml:space="preserve">Admitted, </w:t>
            </w:r>
            <w:r>
              <w:rPr>
                <w:rFonts w:cstheme="minorHAnsi"/>
                <w:color w:val="000000"/>
                <w:sz w:val="20"/>
                <w:szCs w:val="20"/>
              </w:rPr>
              <w:t>Assessment only</w:t>
            </w:r>
            <w:r w:rsidRPr="001032EB">
              <w:rPr>
                <w:rFonts w:cstheme="minorHAnsi"/>
                <w:color w:val="000000"/>
                <w:sz w:val="20"/>
                <w:szCs w:val="20"/>
              </w:rPr>
              <w:t>, 18-64 years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103Z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 xml:space="preserve">Admitted, </w:t>
            </w:r>
            <w:r>
              <w:rPr>
                <w:rFonts w:cstheme="minorHAnsi"/>
                <w:color w:val="000000"/>
                <w:sz w:val="20"/>
                <w:szCs w:val="20"/>
              </w:rPr>
              <w:t>Assessment only</w:t>
            </w:r>
            <w:r w:rsidRPr="001032EB">
              <w:rPr>
                <w:rFonts w:cstheme="minorHAnsi"/>
                <w:color w:val="000000"/>
                <w:sz w:val="20"/>
                <w:szCs w:val="20"/>
              </w:rPr>
              <w:t>, 65+ years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111A</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Acute, 0-17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111B</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Acute, 0-17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111Z</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Acute, 0-17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1121A</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Acute, 18-64 years, Involuntary,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1121B</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Acute, 18-64 years, Involuntary,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1121Z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Acute, 18-64 years, Involuntary,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1122A</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Acute, 18-64 years, Voluntary,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1122B</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Acute, 18-64 years, Voluntary,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1122Z</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Acute, 18-64 years, Voluntary,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113A</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Acute, 65+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113B</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Acute, 65+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113Z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Acute, 65+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121A</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Functional gain, 0-17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121B</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Functional gain, 0-17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121Z</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Functional gain, 0-17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122A</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Functional gain, 18-64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122B</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Functional gain, 18-64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122Z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Functional gain, 18-64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123A</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Functional gain, 65+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123B</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Functional gain, 65+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123Z</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Functional gain, 65+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131A</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Intensive extended, 0-17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131B</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Intensive extended, 0-17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131Z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Intensive extended, 0-17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132A</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Intensive extended, 18-64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132B</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Intensive extended, 18-64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132Z</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Intensive extended, 18-64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133A</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Intensive extended, 65+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133B</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Intensive extended, 65+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133Z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Intensive extended, 65+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141A</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Consolidating gain, 0-17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141B</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Consolidating gain, 0-17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141Z</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Consolidating gain, 0-17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142A</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Consolidating gain, 18-64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142B</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Consolidating gain, 18-64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142Z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Consolidating gain, 18-64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143A</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Consolidating gain, 65+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143B</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Consolidating gain, 65+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143Z</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Consolidating gain, 65+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191Z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Unknown phase, 0-17 years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192Z</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Unknown phase, 18-64 years</w:t>
            </w:r>
          </w:p>
        </w:tc>
      </w:tr>
      <w:tr w:rsidR="00154D81" w:rsidTr="00154D81">
        <w:trPr>
          <w:cantSplit/>
          <w:trHeight w:val="227"/>
        </w:trPr>
        <w:tc>
          <w:tcPr>
            <w:tcW w:w="1276" w:type="dxa"/>
            <w:vMerge/>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193Z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Admitted, Unknown phase, 65+ years</w:t>
            </w:r>
          </w:p>
        </w:tc>
      </w:tr>
      <w:tr w:rsidR="00154D81" w:rsidTr="00154D81">
        <w:trPr>
          <w:cantSplit/>
          <w:trHeight w:val="227"/>
        </w:trPr>
        <w:tc>
          <w:tcPr>
            <w:tcW w:w="1276" w:type="dxa"/>
            <w:vMerge w:val="restart"/>
            <w:tcBorders>
              <w:left w:val="single" w:sz="4" w:space="0" w:color="auto"/>
              <w:right w:val="single" w:sz="4" w:space="0" w:color="auto"/>
            </w:tcBorders>
            <w:shd w:val="clear" w:color="auto" w:fill="auto"/>
            <w:vAlign w:val="center"/>
          </w:tcPr>
          <w:p w:rsidR="00154D81" w:rsidRPr="00727848" w:rsidRDefault="00154D81" w:rsidP="00154D81">
            <w:pPr>
              <w:spacing w:before="40" w:after="40" w:line="240" w:lineRule="auto"/>
            </w:pPr>
            <w:r w:rsidRPr="001032EB">
              <w:rPr>
                <w:rFonts w:cstheme="minorHAnsi"/>
                <w:bCs/>
                <w:sz w:val="20"/>
                <w:szCs w:val="20"/>
              </w:rPr>
              <w:t>Community</w:t>
            </w:r>
          </w:p>
          <w:p w:rsidR="00154D81" w:rsidRPr="001032EB" w:rsidRDefault="00154D81" w:rsidP="00154D81">
            <w:pPr>
              <w:spacing w:before="40" w:after="40" w:line="240" w:lineRule="auto"/>
              <w:rPr>
                <w:rStyle w:val="IntenseReference"/>
                <w:rFonts w:cstheme="minorHAnsi"/>
                <w:b w:val="0"/>
                <w:i w:val="0"/>
                <w:smallCaps w:val="0"/>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201Z</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 xml:space="preserve">Community, </w:t>
            </w:r>
            <w:r>
              <w:rPr>
                <w:rFonts w:cstheme="minorHAnsi"/>
                <w:color w:val="000000"/>
                <w:sz w:val="20"/>
                <w:szCs w:val="20"/>
              </w:rPr>
              <w:t>Assessment only</w:t>
            </w:r>
            <w:r w:rsidRPr="001032EB">
              <w:rPr>
                <w:rFonts w:cstheme="minorHAnsi"/>
                <w:color w:val="000000"/>
                <w:sz w:val="20"/>
                <w:szCs w:val="20"/>
              </w:rPr>
              <w:t>, 0-17 years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202Z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 xml:space="preserve">Community, </w:t>
            </w:r>
            <w:r>
              <w:rPr>
                <w:rFonts w:cstheme="minorHAnsi"/>
                <w:color w:val="000000"/>
                <w:sz w:val="20"/>
                <w:szCs w:val="20"/>
              </w:rPr>
              <w:t>Assessment only</w:t>
            </w:r>
            <w:r w:rsidRPr="001032EB">
              <w:rPr>
                <w:rFonts w:cstheme="minorHAnsi"/>
                <w:color w:val="000000"/>
                <w:sz w:val="20"/>
                <w:szCs w:val="20"/>
              </w:rPr>
              <w:t>, 18-64 years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203Z</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 xml:space="preserve">Community, </w:t>
            </w:r>
            <w:r>
              <w:rPr>
                <w:rFonts w:cstheme="minorHAnsi"/>
                <w:color w:val="000000"/>
                <w:sz w:val="20"/>
                <w:szCs w:val="20"/>
              </w:rPr>
              <w:t>Assessment only</w:t>
            </w:r>
            <w:r w:rsidRPr="001032EB">
              <w:rPr>
                <w:rFonts w:cstheme="minorHAnsi"/>
                <w:color w:val="000000"/>
                <w:sz w:val="20"/>
                <w:szCs w:val="20"/>
              </w:rPr>
              <w:t>, 65+ years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211A</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Acute, 0-17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211B</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Acute, 0-17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211Z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Acute, 0-17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212A</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Acute, 18-64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212B1</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Acute, 18-64 years, Moderate HoNOS complexity with High LSP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212B2</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Acute, 18-64 years, Moderate HoNOS complexity with Moderate LSP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212Z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Acute, 18-64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213A</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Acute, 65+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213B</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Acute, 65+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213Z</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Acute, 65+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221A</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Functional gain, 0-17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221B</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Functional gain, 0-17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221Z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Functional gain, 0-17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222A</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Functional gain, 18-64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222B1</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Functional gain, 18-64 years, Moderate HoNOS complexity with High LSP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222B2</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Functional gain, 18-64 years, Moderate HoNOS complexity with Moderate LSP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222Z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Functional gain, 18-64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223A</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Functional gain, 65+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223B</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Functional gain, 65+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223Z</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Functional gain, 65+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231A</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Intensive extended, 0-17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231B</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Intensive extended, 0-17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231Z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Intensive extended, 0-17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232A</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Intensive extended, 18-64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232B1</w:t>
            </w:r>
          </w:p>
        </w:tc>
        <w:tc>
          <w:tcPr>
            <w:tcW w:w="6946" w:type="dxa"/>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Intensive extended, 18-64 years, Moderate HoNOS complexity with High LSP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232B2</w:t>
            </w:r>
          </w:p>
        </w:tc>
        <w:tc>
          <w:tcPr>
            <w:tcW w:w="6946" w:type="dxa"/>
            <w:tcBorders>
              <w:left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Intensive extended, 18-64 years, Moderate HoNOS complexity with Moderate LSP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232Z</w:t>
            </w:r>
          </w:p>
        </w:tc>
        <w:tc>
          <w:tcPr>
            <w:tcW w:w="6946" w:type="dxa"/>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Intensive extended, 18-64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233A</w:t>
            </w:r>
          </w:p>
        </w:tc>
        <w:tc>
          <w:tcPr>
            <w:tcW w:w="6946" w:type="dxa"/>
            <w:tcBorders>
              <w:left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Intensive extended, 65+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233B</w:t>
            </w:r>
          </w:p>
        </w:tc>
        <w:tc>
          <w:tcPr>
            <w:tcW w:w="6946" w:type="dxa"/>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Intensive extended, 65+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233Z</w:t>
            </w:r>
          </w:p>
        </w:tc>
        <w:tc>
          <w:tcPr>
            <w:tcW w:w="6946" w:type="dxa"/>
            <w:tcBorders>
              <w:left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Intensive extended, 65+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241A</w:t>
            </w:r>
          </w:p>
        </w:tc>
        <w:tc>
          <w:tcPr>
            <w:tcW w:w="6946" w:type="dxa"/>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Consolidating gain, 0-17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241B</w:t>
            </w:r>
          </w:p>
        </w:tc>
        <w:tc>
          <w:tcPr>
            <w:tcW w:w="6946" w:type="dxa"/>
            <w:tcBorders>
              <w:left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Consolidating gain, 0-17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241Z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Consolidating gain, 0-17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242A</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Consolidating gain, 18-64 years, High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242B1</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Consolidating gain, 18-64 years, Moderate HoNOS complexity with High LSP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242B2</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Consolidating gain, 18-64 years, Moderate HoNOS complexity with Moderate LSP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242Z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Consolidating gain, 18-64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sz w:val="20"/>
                <w:szCs w:val="20"/>
              </w:rPr>
            </w:pPr>
            <w:r>
              <w:rPr>
                <w:rFonts w:cstheme="minorHAnsi"/>
                <w:sz w:val="20"/>
                <w:szCs w:val="20"/>
              </w:rPr>
              <w:t>243A</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Consolid</w:t>
            </w:r>
            <w:r>
              <w:rPr>
                <w:rFonts w:cstheme="minorHAnsi"/>
                <w:color w:val="000000"/>
                <w:sz w:val="20"/>
                <w:szCs w:val="20"/>
              </w:rPr>
              <w:t xml:space="preserve">ating gain, </w:t>
            </w:r>
            <w:r w:rsidRPr="001032EB">
              <w:rPr>
                <w:rFonts w:cstheme="minorHAnsi"/>
                <w:color w:val="000000"/>
                <w:sz w:val="20"/>
                <w:szCs w:val="20"/>
              </w:rPr>
              <w:t xml:space="preserve">65+ years, </w:t>
            </w:r>
            <w:r>
              <w:rPr>
                <w:rFonts w:cstheme="minorHAnsi"/>
                <w:color w:val="000000"/>
                <w:sz w:val="20"/>
                <w:szCs w:val="20"/>
              </w:rPr>
              <w:t>High</w:t>
            </w:r>
            <w:r w:rsidRPr="001032EB">
              <w:rPr>
                <w:rFonts w:cstheme="minorHAnsi"/>
                <w:color w:val="000000"/>
                <w:sz w:val="20"/>
                <w:szCs w:val="20"/>
              </w:rPr>
              <w:t xml:space="preserv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243B</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Consolidating gain, 65+ years, Moderate HoNOS complexity</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243Z</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Consolidating gain, 65+ years, Unknown HoNOS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291Z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Unknown phase, 0-17 years</w:t>
            </w:r>
          </w:p>
        </w:tc>
      </w:tr>
      <w:tr w:rsidR="00154D81" w:rsidTr="00154D81">
        <w:trPr>
          <w:cantSplit/>
          <w:trHeight w:val="227"/>
        </w:trPr>
        <w:tc>
          <w:tcPr>
            <w:tcW w:w="1276" w:type="dxa"/>
            <w:vMerge/>
            <w:tcBorders>
              <w:left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292Z</w:t>
            </w:r>
          </w:p>
        </w:tc>
        <w:tc>
          <w:tcPr>
            <w:tcW w:w="6946" w:type="dxa"/>
            <w:tcBorders>
              <w:left w:val="single" w:sz="4" w:space="0" w:color="auto"/>
              <w:bottom w:val="single" w:sz="4" w:space="0" w:color="auto"/>
              <w:right w:val="single" w:sz="4" w:space="0" w:color="auto"/>
            </w:tcBorders>
            <w:shd w:val="clear" w:color="auto" w:fill="D9D9D9" w:themeFill="background1" w:themeFillShade="D9"/>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Unknown phase, 18-64 years</w:t>
            </w:r>
          </w:p>
        </w:tc>
      </w:tr>
      <w:tr w:rsidR="00154D81" w:rsidTr="00154D81">
        <w:trPr>
          <w:cantSplit/>
          <w:trHeight w:val="227"/>
        </w:trPr>
        <w:tc>
          <w:tcPr>
            <w:tcW w:w="1276" w:type="dxa"/>
            <w:vMerge/>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sz w:val="20"/>
                <w:szCs w:val="20"/>
              </w:rPr>
              <w:t>293Z</w:t>
            </w:r>
          </w:p>
        </w:tc>
        <w:tc>
          <w:tcPr>
            <w:tcW w:w="6946" w:type="dxa"/>
            <w:tcBorders>
              <w:left w:val="single" w:sz="4" w:space="0" w:color="auto"/>
              <w:bottom w:val="single" w:sz="4" w:space="0" w:color="auto"/>
              <w:right w:val="single" w:sz="4" w:space="0" w:color="auto"/>
            </w:tcBorders>
            <w:shd w:val="clear" w:color="auto" w:fill="auto"/>
            <w:vAlign w:val="center"/>
          </w:tcPr>
          <w:p w:rsidR="00154D81" w:rsidRPr="001032EB" w:rsidRDefault="00154D81" w:rsidP="00154D81">
            <w:pPr>
              <w:spacing w:before="40" w:after="40" w:line="240" w:lineRule="auto"/>
              <w:rPr>
                <w:rFonts w:cstheme="minorHAnsi"/>
                <w:color w:val="000000"/>
                <w:sz w:val="20"/>
                <w:szCs w:val="20"/>
              </w:rPr>
            </w:pPr>
            <w:r w:rsidRPr="001032EB">
              <w:rPr>
                <w:rFonts w:cstheme="minorHAnsi"/>
                <w:color w:val="000000"/>
                <w:sz w:val="20"/>
                <w:szCs w:val="20"/>
              </w:rPr>
              <w:t>Community, Unknown phase, 65+ years</w:t>
            </w:r>
          </w:p>
        </w:tc>
      </w:tr>
    </w:tbl>
    <w:p w:rsidR="00154D81" w:rsidRDefault="00154D81">
      <w:pPr>
        <w:spacing w:before="0" w:after="0" w:line="240" w:lineRule="auto"/>
      </w:pPr>
      <w:r>
        <w:rPr>
          <w:b/>
          <w:bCs/>
        </w:rPr>
        <w:br w:type="page"/>
      </w:r>
    </w:p>
    <w:p w:rsidR="00154D81" w:rsidRPr="00FD5EB7" w:rsidRDefault="00154D81" w:rsidP="00154D81">
      <w:pPr>
        <w:pStyle w:val="Heading1"/>
        <w:spacing w:after="360"/>
        <w:rPr>
          <w:caps/>
          <w:sz w:val="52"/>
          <w:szCs w:val="52"/>
        </w:rPr>
      </w:pPr>
      <w:bookmarkStart w:id="177" w:name="_Toc433900367"/>
      <w:bookmarkStart w:id="178" w:name="_Toc454793265"/>
      <w:bookmarkStart w:id="179" w:name="_Toc483478619"/>
      <w:bookmarkStart w:id="180" w:name="_Toc514924149"/>
      <w:r w:rsidRPr="00FD5EB7">
        <w:rPr>
          <w:sz w:val="52"/>
          <w:szCs w:val="52"/>
        </w:rPr>
        <w:lastRenderedPageBreak/>
        <w:t>Appendix 2: Clinical assessment tool items</w:t>
      </w:r>
      <w:bookmarkEnd w:id="177"/>
      <w:bookmarkEnd w:id="178"/>
      <w:bookmarkEnd w:id="179"/>
      <w:bookmarkEnd w:id="180"/>
    </w:p>
    <w:p w:rsidR="00154D81" w:rsidRPr="00727848" w:rsidRDefault="00154D81" w:rsidP="00632B30">
      <w:pPr>
        <w:pStyle w:val="Heading2"/>
        <w:rPr>
          <w:caps/>
        </w:rPr>
      </w:pPr>
      <w:bookmarkStart w:id="181" w:name="_Toc454986442"/>
      <w:bookmarkStart w:id="182" w:name="_Toc483478620"/>
      <w:bookmarkStart w:id="183" w:name="_Toc514924150"/>
      <w:bookmarkStart w:id="184" w:name="_Toc433900368"/>
      <w:bookmarkStart w:id="185" w:name="_Toc454793266"/>
      <w:r w:rsidRPr="00727848">
        <w:t>HoNOSCA items</w:t>
      </w:r>
      <w:bookmarkEnd w:id="181"/>
      <w:bookmarkEnd w:id="182"/>
      <w:bookmarkEnd w:id="183"/>
    </w:p>
    <w:p w:rsidR="00154D81" w:rsidRDefault="00154D81" w:rsidP="00BD5CF6">
      <w:pPr>
        <w:pStyle w:val="ListParagraph"/>
        <w:numPr>
          <w:ilvl w:val="0"/>
          <w:numId w:val="32"/>
        </w:numPr>
        <w:spacing w:before="0" w:after="240" w:line="276" w:lineRule="auto"/>
        <w:ind w:left="714" w:hanging="357"/>
      </w:pPr>
      <w:r>
        <w:t>Problems with disruptive, antisocial or aggressive behaviour</w:t>
      </w:r>
    </w:p>
    <w:p w:rsidR="00154D81" w:rsidRDefault="00154D81" w:rsidP="00BD5CF6">
      <w:pPr>
        <w:pStyle w:val="ListParagraph"/>
        <w:numPr>
          <w:ilvl w:val="0"/>
          <w:numId w:val="32"/>
        </w:numPr>
        <w:spacing w:before="0" w:after="240" w:line="276" w:lineRule="auto"/>
        <w:ind w:left="714" w:hanging="357"/>
      </w:pPr>
      <w:r>
        <w:t>Problems with overactivity, attention or concentration</w:t>
      </w:r>
    </w:p>
    <w:p w:rsidR="00154D81" w:rsidRDefault="00154D81" w:rsidP="00BD5CF6">
      <w:pPr>
        <w:pStyle w:val="ListParagraph"/>
        <w:numPr>
          <w:ilvl w:val="0"/>
          <w:numId w:val="32"/>
        </w:numPr>
        <w:spacing w:before="0" w:after="240" w:line="276" w:lineRule="auto"/>
        <w:ind w:left="714" w:hanging="357"/>
      </w:pPr>
      <w:r>
        <w:t>Non-accidental self-injury</w:t>
      </w:r>
    </w:p>
    <w:p w:rsidR="00154D81" w:rsidRDefault="00154D81" w:rsidP="00BD5CF6">
      <w:pPr>
        <w:pStyle w:val="ListParagraph"/>
        <w:numPr>
          <w:ilvl w:val="0"/>
          <w:numId w:val="32"/>
        </w:numPr>
        <w:spacing w:before="0" w:after="240" w:line="276" w:lineRule="auto"/>
        <w:ind w:left="714" w:hanging="357"/>
      </w:pPr>
      <w:r>
        <w:t>Problems with alcohol, substance/solvent misuse</w:t>
      </w:r>
    </w:p>
    <w:p w:rsidR="00154D81" w:rsidRDefault="00154D81" w:rsidP="00BD5CF6">
      <w:pPr>
        <w:pStyle w:val="ListParagraph"/>
        <w:numPr>
          <w:ilvl w:val="0"/>
          <w:numId w:val="32"/>
        </w:numPr>
        <w:spacing w:before="0" w:after="240" w:line="276" w:lineRule="auto"/>
        <w:ind w:left="714" w:hanging="357"/>
      </w:pPr>
      <w:r>
        <w:t>Problems with scholastic or language skills</w:t>
      </w:r>
    </w:p>
    <w:p w:rsidR="00154D81" w:rsidRDefault="00154D81" w:rsidP="00BD5CF6">
      <w:pPr>
        <w:pStyle w:val="ListParagraph"/>
        <w:numPr>
          <w:ilvl w:val="0"/>
          <w:numId w:val="32"/>
        </w:numPr>
        <w:spacing w:before="0" w:after="240" w:line="276" w:lineRule="auto"/>
        <w:ind w:left="714" w:hanging="357"/>
      </w:pPr>
      <w:r>
        <w:t>Physical illness or disability problems</w:t>
      </w:r>
    </w:p>
    <w:p w:rsidR="00154D81" w:rsidRDefault="00154D81" w:rsidP="00BD5CF6">
      <w:pPr>
        <w:pStyle w:val="ListParagraph"/>
        <w:numPr>
          <w:ilvl w:val="0"/>
          <w:numId w:val="32"/>
        </w:numPr>
        <w:spacing w:before="0" w:after="240" w:line="276" w:lineRule="auto"/>
        <w:ind w:left="714" w:hanging="357"/>
      </w:pPr>
      <w:r>
        <w:t>Problems associated with hallucinations, delusions or abnormal perceptions</w:t>
      </w:r>
    </w:p>
    <w:p w:rsidR="00154D81" w:rsidRDefault="00154D81" w:rsidP="00BD5CF6">
      <w:pPr>
        <w:pStyle w:val="ListParagraph"/>
        <w:numPr>
          <w:ilvl w:val="0"/>
          <w:numId w:val="32"/>
        </w:numPr>
        <w:spacing w:before="0" w:after="240" w:line="276" w:lineRule="auto"/>
        <w:ind w:left="714" w:hanging="357"/>
      </w:pPr>
      <w:r>
        <w:t>Problems with non-organic somatic symptoms</w:t>
      </w:r>
    </w:p>
    <w:p w:rsidR="00154D81" w:rsidRDefault="00154D81" w:rsidP="00BD5CF6">
      <w:pPr>
        <w:pStyle w:val="ListParagraph"/>
        <w:numPr>
          <w:ilvl w:val="0"/>
          <w:numId w:val="32"/>
        </w:numPr>
        <w:spacing w:before="0" w:after="240" w:line="276" w:lineRule="auto"/>
        <w:ind w:left="714" w:hanging="357"/>
      </w:pPr>
      <w:r>
        <w:t>Problems with emotional and related symptoms</w:t>
      </w:r>
    </w:p>
    <w:p w:rsidR="00154D81" w:rsidRDefault="00154D81" w:rsidP="00BD5CF6">
      <w:pPr>
        <w:pStyle w:val="ListParagraph"/>
        <w:numPr>
          <w:ilvl w:val="0"/>
          <w:numId w:val="32"/>
        </w:numPr>
        <w:spacing w:before="0" w:after="240" w:line="276" w:lineRule="auto"/>
        <w:ind w:left="714" w:hanging="357"/>
      </w:pPr>
      <w:r>
        <w:t>Problems with peer relationships</w:t>
      </w:r>
    </w:p>
    <w:p w:rsidR="00154D81" w:rsidRDefault="00154D81" w:rsidP="00BD5CF6">
      <w:pPr>
        <w:pStyle w:val="ListParagraph"/>
        <w:numPr>
          <w:ilvl w:val="0"/>
          <w:numId w:val="32"/>
        </w:numPr>
        <w:spacing w:before="0" w:after="240" w:line="276" w:lineRule="auto"/>
        <w:ind w:left="714" w:hanging="357"/>
      </w:pPr>
      <w:r>
        <w:t>Problems with self-care and independence</w:t>
      </w:r>
    </w:p>
    <w:p w:rsidR="00154D81" w:rsidRDefault="00154D81" w:rsidP="00BD5CF6">
      <w:pPr>
        <w:pStyle w:val="ListParagraph"/>
        <w:numPr>
          <w:ilvl w:val="0"/>
          <w:numId w:val="32"/>
        </w:numPr>
        <w:spacing w:before="0" w:after="240" w:line="276" w:lineRule="auto"/>
        <w:ind w:left="714" w:hanging="357"/>
      </w:pPr>
      <w:r>
        <w:t>Problems with family life and relationships</w:t>
      </w:r>
    </w:p>
    <w:p w:rsidR="00154D81" w:rsidRDefault="00154D81" w:rsidP="00BD5CF6">
      <w:pPr>
        <w:pStyle w:val="ListParagraph"/>
        <w:numPr>
          <w:ilvl w:val="0"/>
          <w:numId w:val="32"/>
        </w:numPr>
        <w:spacing w:before="0" w:after="240" w:line="276" w:lineRule="auto"/>
        <w:ind w:left="714" w:hanging="357"/>
      </w:pPr>
      <w:r>
        <w:t>Poor school attendance</w:t>
      </w:r>
    </w:p>
    <w:p w:rsidR="00154D81" w:rsidRPr="00496EDE" w:rsidRDefault="00154D81" w:rsidP="00154D81">
      <w:pPr>
        <w:spacing w:line="480" w:lineRule="auto"/>
        <w:rPr>
          <w:b/>
          <w:i/>
        </w:rPr>
      </w:pPr>
      <w:r w:rsidRPr="00496EDE">
        <w:rPr>
          <w:b/>
          <w:i/>
        </w:rPr>
        <w:t>Please note that the following items 14 an</w:t>
      </w:r>
      <w:r>
        <w:rPr>
          <w:b/>
          <w:i/>
        </w:rPr>
        <w:t>d 15 are not used in the AMHCC V</w:t>
      </w:r>
      <w:r w:rsidRPr="00496EDE">
        <w:rPr>
          <w:b/>
          <w:i/>
        </w:rPr>
        <w:t>ersion 1.0:</w:t>
      </w:r>
    </w:p>
    <w:p w:rsidR="00154D81" w:rsidRDefault="00154D81" w:rsidP="00BD5CF6">
      <w:pPr>
        <w:pStyle w:val="ListParagraph"/>
        <w:numPr>
          <w:ilvl w:val="0"/>
          <w:numId w:val="32"/>
        </w:numPr>
        <w:spacing w:before="0" w:after="360" w:line="276" w:lineRule="auto"/>
        <w:ind w:left="714" w:hanging="357"/>
      </w:pPr>
      <w:r>
        <w:t xml:space="preserve">Problems with knowledge or understanding about the nature of the child's / adolescent's difficulties (in the previous two weeks) </w:t>
      </w:r>
    </w:p>
    <w:p w:rsidR="00154D81" w:rsidRDefault="00154D81" w:rsidP="00BD5CF6">
      <w:pPr>
        <w:pStyle w:val="ListParagraph"/>
        <w:numPr>
          <w:ilvl w:val="0"/>
          <w:numId w:val="32"/>
        </w:numPr>
        <w:spacing w:before="0" w:after="360" w:line="276" w:lineRule="auto"/>
        <w:ind w:left="714" w:hanging="357"/>
      </w:pPr>
      <w:r>
        <w:t>Problems with lack of information about services or management of the child's / adolescents difficulties</w:t>
      </w:r>
    </w:p>
    <w:p w:rsidR="00154D81" w:rsidRPr="00727848" w:rsidRDefault="00154D81" w:rsidP="00727848">
      <w:pPr>
        <w:pStyle w:val="ListParagraph"/>
        <w:numPr>
          <w:ilvl w:val="0"/>
          <w:numId w:val="32"/>
        </w:numPr>
        <w:spacing w:before="0" w:after="200" w:line="480" w:lineRule="auto"/>
        <w:ind w:left="714" w:hanging="357"/>
        <w:contextualSpacing/>
      </w:pPr>
      <w:bookmarkStart w:id="186" w:name="_Toc454986443"/>
      <w:r>
        <w:br w:type="page"/>
      </w:r>
    </w:p>
    <w:p w:rsidR="00154D81" w:rsidRPr="00727848" w:rsidRDefault="00154D81" w:rsidP="00632B30">
      <w:pPr>
        <w:pStyle w:val="Heading2"/>
      </w:pPr>
      <w:bookmarkStart w:id="187" w:name="_Toc483478621"/>
      <w:bookmarkStart w:id="188" w:name="_Toc514924151"/>
      <w:r w:rsidRPr="00727848">
        <w:lastRenderedPageBreak/>
        <w:t>HoNOS items</w:t>
      </w:r>
      <w:bookmarkEnd w:id="186"/>
      <w:bookmarkEnd w:id="187"/>
      <w:bookmarkEnd w:id="188"/>
    </w:p>
    <w:p w:rsidR="00154D81" w:rsidRDefault="00154D81" w:rsidP="00BD5CF6">
      <w:pPr>
        <w:pStyle w:val="ListParagraph"/>
        <w:numPr>
          <w:ilvl w:val="0"/>
          <w:numId w:val="33"/>
        </w:numPr>
        <w:spacing w:before="0" w:after="240" w:line="276" w:lineRule="auto"/>
        <w:ind w:left="714" w:hanging="357"/>
      </w:pPr>
      <w:r>
        <w:t>Behavioural disturbance (e.g. overactive, aggressive, disruptive or agitated behaviour)</w:t>
      </w:r>
    </w:p>
    <w:p w:rsidR="00154D81" w:rsidRDefault="00154D81" w:rsidP="00BD5CF6">
      <w:pPr>
        <w:pStyle w:val="ListParagraph"/>
        <w:numPr>
          <w:ilvl w:val="0"/>
          <w:numId w:val="33"/>
        </w:numPr>
        <w:spacing w:before="0" w:after="240" w:line="276" w:lineRule="auto"/>
        <w:ind w:left="714" w:hanging="357"/>
      </w:pPr>
      <w:r>
        <w:t>Non-accidental self-injury</w:t>
      </w:r>
    </w:p>
    <w:p w:rsidR="00154D81" w:rsidRDefault="00154D81" w:rsidP="00BD5CF6">
      <w:pPr>
        <w:pStyle w:val="ListParagraph"/>
        <w:numPr>
          <w:ilvl w:val="0"/>
          <w:numId w:val="33"/>
        </w:numPr>
        <w:spacing w:before="0" w:after="240" w:line="276" w:lineRule="auto"/>
        <w:ind w:left="714" w:hanging="357"/>
      </w:pPr>
      <w:r>
        <w:t>Problem drinking or drug-taking</w:t>
      </w:r>
    </w:p>
    <w:p w:rsidR="00154D81" w:rsidRDefault="00154D81" w:rsidP="00BD5CF6">
      <w:pPr>
        <w:pStyle w:val="ListParagraph"/>
        <w:numPr>
          <w:ilvl w:val="0"/>
          <w:numId w:val="33"/>
        </w:numPr>
        <w:spacing w:before="0" w:after="240" w:line="276" w:lineRule="auto"/>
        <w:ind w:left="714" w:hanging="357"/>
      </w:pPr>
      <w:r>
        <w:t>Cognitive problems</w:t>
      </w:r>
    </w:p>
    <w:p w:rsidR="00154D81" w:rsidRDefault="00154D81" w:rsidP="00BD5CF6">
      <w:pPr>
        <w:pStyle w:val="ListParagraph"/>
        <w:numPr>
          <w:ilvl w:val="0"/>
          <w:numId w:val="33"/>
        </w:numPr>
        <w:spacing w:before="0" w:after="240" w:line="276" w:lineRule="auto"/>
        <w:ind w:left="714" w:hanging="357"/>
      </w:pPr>
      <w:r>
        <w:t>Physical illness or disability problems</w:t>
      </w:r>
    </w:p>
    <w:p w:rsidR="00154D81" w:rsidRDefault="00154D81" w:rsidP="00BD5CF6">
      <w:pPr>
        <w:pStyle w:val="ListParagraph"/>
        <w:numPr>
          <w:ilvl w:val="0"/>
          <w:numId w:val="33"/>
        </w:numPr>
        <w:spacing w:before="0" w:after="240" w:line="276" w:lineRule="auto"/>
        <w:ind w:left="714" w:hanging="357"/>
      </w:pPr>
      <w:r>
        <w:t>Problems associated with hallucinations and delusions</w:t>
      </w:r>
    </w:p>
    <w:p w:rsidR="00154D81" w:rsidRDefault="00154D81" w:rsidP="00BD5CF6">
      <w:pPr>
        <w:pStyle w:val="ListParagraph"/>
        <w:numPr>
          <w:ilvl w:val="0"/>
          <w:numId w:val="33"/>
        </w:numPr>
        <w:spacing w:before="0" w:after="240" w:line="276" w:lineRule="auto"/>
        <w:ind w:left="714" w:hanging="357"/>
      </w:pPr>
      <w:r>
        <w:t>Problems with depressed mood</w:t>
      </w:r>
    </w:p>
    <w:p w:rsidR="00154D81" w:rsidRDefault="00154D81" w:rsidP="00BD5CF6">
      <w:pPr>
        <w:pStyle w:val="ListParagraph"/>
        <w:numPr>
          <w:ilvl w:val="0"/>
          <w:numId w:val="33"/>
        </w:numPr>
        <w:spacing w:before="0" w:after="240" w:line="276" w:lineRule="auto"/>
        <w:ind w:left="714" w:hanging="357"/>
      </w:pPr>
      <w:r>
        <w:t>Other mental and behavioural problems</w:t>
      </w:r>
    </w:p>
    <w:p w:rsidR="00154D81" w:rsidRDefault="00154D81" w:rsidP="00BD5CF6">
      <w:pPr>
        <w:pStyle w:val="ListParagraph"/>
        <w:numPr>
          <w:ilvl w:val="0"/>
          <w:numId w:val="33"/>
        </w:numPr>
        <w:spacing w:before="0" w:after="240" w:line="276" w:lineRule="auto"/>
        <w:ind w:left="714" w:hanging="357"/>
      </w:pPr>
      <w:r>
        <w:t>Problems with relationships</w:t>
      </w:r>
    </w:p>
    <w:p w:rsidR="00154D81" w:rsidRDefault="00154D81" w:rsidP="00BD5CF6">
      <w:pPr>
        <w:pStyle w:val="ListParagraph"/>
        <w:numPr>
          <w:ilvl w:val="0"/>
          <w:numId w:val="33"/>
        </w:numPr>
        <w:spacing w:before="0" w:after="240" w:line="276" w:lineRule="auto"/>
        <w:ind w:left="714" w:hanging="357"/>
      </w:pPr>
      <w:r>
        <w:t>Problems with activities of daily living</w:t>
      </w:r>
    </w:p>
    <w:p w:rsidR="00154D81" w:rsidRDefault="00154D81" w:rsidP="00BD5CF6">
      <w:pPr>
        <w:pStyle w:val="ListParagraph"/>
        <w:numPr>
          <w:ilvl w:val="0"/>
          <w:numId w:val="33"/>
        </w:numPr>
        <w:spacing w:before="0" w:after="240" w:line="276" w:lineRule="auto"/>
        <w:ind w:left="714" w:hanging="357"/>
      </w:pPr>
      <w:r>
        <w:t>Problems with living conditions</w:t>
      </w:r>
    </w:p>
    <w:p w:rsidR="00154D81" w:rsidRPr="00BE2642" w:rsidRDefault="00154D81" w:rsidP="00BD5CF6">
      <w:pPr>
        <w:pStyle w:val="ListParagraph"/>
        <w:numPr>
          <w:ilvl w:val="0"/>
          <w:numId w:val="33"/>
        </w:numPr>
        <w:spacing w:before="0" w:after="240" w:line="276" w:lineRule="auto"/>
        <w:ind w:left="714" w:hanging="357"/>
      </w:pPr>
      <w:r>
        <w:t>Problems with occupation and activities</w:t>
      </w:r>
    </w:p>
    <w:p w:rsidR="00154D81" w:rsidRPr="00727848" w:rsidRDefault="00154D81" w:rsidP="00632B30">
      <w:pPr>
        <w:pStyle w:val="Heading2"/>
      </w:pPr>
      <w:bookmarkStart w:id="189" w:name="_Toc454986444"/>
      <w:bookmarkStart w:id="190" w:name="_Toc483478622"/>
      <w:bookmarkStart w:id="191" w:name="_Toc514924152"/>
      <w:r w:rsidRPr="00727848">
        <w:t>HoNOS 65+ items</w:t>
      </w:r>
      <w:bookmarkEnd w:id="189"/>
      <w:bookmarkEnd w:id="190"/>
      <w:bookmarkEnd w:id="191"/>
    </w:p>
    <w:p w:rsidR="00154D81" w:rsidRDefault="00154D81" w:rsidP="00BD5CF6">
      <w:pPr>
        <w:pStyle w:val="ListParagraph"/>
        <w:numPr>
          <w:ilvl w:val="0"/>
          <w:numId w:val="35"/>
        </w:numPr>
        <w:spacing w:before="0" w:after="240" w:line="276" w:lineRule="auto"/>
        <w:ind w:left="714" w:hanging="357"/>
      </w:pPr>
      <w:r>
        <w:t>Behavioural disturbance (e.g. overactive, aggressive, disruptive or agitated behaviour, uncooperative or resistive behaviour)</w:t>
      </w:r>
    </w:p>
    <w:p w:rsidR="00154D81" w:rsidRDefault="00154D81" w:rsidP="00BD5CF6">
      <w:pPr>
        <w:pStyle w:val="ListParagraph"/>
        <w:numPr>
          <w:ilvl w:val="0"/>
          <w:numId w:val="35"/>
        </w:numPr>
        <w:spacing w:before="0" w:after="240" w:line="276" w:lineRule="auto"/>
        <w:ind w:left="714" w:hanging="357"/>
      </w:pPr>
      <w:r>
        <w:t>Non-accidental self-injury</w:t>
      </w:r>
    </w:p>
    <w:p w:rsidR="00154D81" w:rsidRDefault="00154D81" w:rsidP="00BD5CF6">
      <w:pPr>
        <w:pStyle w:val="ListParagraph"/>
        <w:numPr>
          <w:ilvl w:val="0"/>
          <w:numId w:val="35"/>
        </w:numPr>
        <w:spacing w:before="0" w:after="240" w:line="276" w:lineRule="auto"/>
        <w:ind w:left="714" w:hanging="357"/>
      </w:pPr>
      <w:r>
        <w:t>Problem drinking or drug-taking</w:t>
      </w:r>
    </w:p>
    <w:p w:rsidR="00154D81" w:rsidRDefault="00154D81" w:rsidP="00BD5CF6">
      <w:pPr>
        <w:pStyle w:val="ListParagraph"/>
        <w:numPr>
          <w:ilvl w:val="0"/>
          <w:numId w:val="35"/>
        </w:numPr>
        <w:spacing w:before="0" w:after="240" w:line="276" w:lineRule="auto"/>
        <w:ind w:left="714" w:hanging="357"/>
      </w:pPr>
      <w:r>
        <w:t>Cognitive problems</w:t>
      </w:r>
    </w:p>
    <w:p w:rsidR="00154D81" w:rsidRDefault="00154D81" w:rsidP="00BD5CF6">
      <w:pPr>
        <w:pStyle w:val="ListParagraph"/>
        <w:numPr>
          <w:ilvl w:val="0"/>
          <w:numId w:val="35"/>
        </w:numPr>
        <w:spacing w:before="0" w:after="240" w:line="276" w:lineRule="auto"/>
        <w:ind w:left="714" w:hanging="357"/>
      </w:pPr>
      <w:r>
        <w:t>Physical illness or disability problems</w:t>
      </w:r>
    </w:p>
    <w:p w:rsidR="00154D81" w:rsidRDefault="00154D81" w:rsidP="00BD5CF6">
      <w:pPr>
        <w:pStyle w:val="ListParagraph"/>
        <w:numPr>
          <w:ilvl w:val="0"/>
          <w:numId w:val="35"/>
        </w:numPr>
        <w:spacing w:before="0" w:after="240" w:line="276" w:lineRule="auto"/>
        <w:ind w:left="714" w:hanging="357"/>
      </w:pPr>
      <w:r>
        <w:t>Problems associated with hallucinations and delusions</w:t>
      </w:r>
    </w:p>
    <w:p w:rsidR="00154D81" w:rsidRDefault="00154D81" w:rsidP="00BD5CF6">
      <w:pPr>
        <w:pStyle w:val="ListParagraph"/>
        <w:numPr>
          <w:ilvl w:val="0"/>
          <w:numId w:val="35"/>
        </w:numPr>
        <w:spacing w:before="0" w:after="240" w:line="276" w:lineRule="auto"/>
        <w:ind w:left="714" w:hanging="357"/>
      </w:pPr>
      <w:r>
        <w:t>Problems with depressive symptoms</w:t>
      </w:r>
    </w:p>
    <w:p w:rsidR="00154D81" w:rsidRDefault="00154D81" w:rsidP="00BD5CF6">
      <w:pPr>
        <w:pStyle w:val="ListParagraph"/>
        <w:numPr>
          <w:ilvl w:val="0"/>
          <w:numId w:val="35"/>
        </w:numPr>
        <w:spacing w:before="0" w:after="240" w:line="276" w:lineRule="auto"/>
        <w:ind w:left="714" w:hanging="357"/>
      </w:pPr>
      <w:r>
        <w:t>Other mental and behavioural problems</w:t>
      </w:r>
    </w:p>
    <w:p w:rsidR="00154D81" w:rsidRDefault="00154D81" w:rsidP="00BD5CF6">
      <w:pPr>
        <w:pStyle w:val="ListParagraph"/>
        <w:numPr>
          <w:ilvl w:val="0"/>
          <w:numId w:val="35"/>
        </w:numPr>
        <w:spacing w:before="0" w:after="240" w:line="276" w:lineRule="auto"/>
        <w:ind w:left="714" w:hanging="357"/>
      </w:pPr>
      <w:r>
        <w:t>Problems with relationships</w:t>
      </w:r>
    </w:p>
    <w:p w:rsidR="00154D81" w:rsidRDefault="00154D81" w:rsidP="00BD5CF6">
      <w:pPr>
        <w:pStyle w:val="ListParagraph"/>
        <w:numPr>
          <w:ilvl w:val="0"/>
          <w:numId w:val="35"/>
        </w:numPr>
        <w:spacing w:before="0" w:after="240" w:line="276" w:lineRule="auto"/>
        <w:ind w:left="714" w:hanging="357"/>
      </w:pPr>
      <w:r>
        <w:t>Problems with activities of daily living</w:t>
      </w:r>
    </w:p>
    <w:p w:rsidR="00154D81" w:rsidRDefault="00154D81" w:rsidP="00BD5CF6">
      <w:pPr>
        <w:pStyle w:val="ListParagraph"/>
        <w:numPr>
          <w:ilvl w:val="0"/>
          <w:numId w:val="35"/>
        </w:numPr>
        <w:spacing w:before="0" w:after="240" w:line="276" w:lineRule="auto"/>
        <w:ind w:left="714" w:hanging="357"/>
      </w:pPr>
      <w:r>
        <w:t>Problems with living conditions</w:t>
      </w:r>
    </w:p>
    <w:p w:rsidR="00154D81" w:rsidRPr="00BE2642" w:rsidRDefault="00154D81" w:rsidP="00BD5CF6">
      <w:pPr>
        <w:pStyle w:val="ListParagraph"/>
        <w:numPr>
          <w:ilvl w:val="0"/>
          <w:numId w:val="35"/>
        </w:numPr>
        <w:spacing w:before="0" w:after="240" w:line="276" w:lineRule="auto"/>
        <w:ind w:left="714" w:hanging="357"/>
      </w:pPr>
      <w:r>
        <w:t>Problems with occupation and activities</w:t>
      </w:r>
    </w:p>
    <w:p w:rsidR="00154D81" w:rsidRPr="00727848" w:rsidRDefault="00154D81" w:rsidP="00632B30">
      <w:pPr>
        <w:pStyle w:val="Heading2"/>
      </w:pPr>
      <w:bookmarkStart w:id="192" w:name="_Toc454986445"/>
      <w:bookmarkStart w:id="193" w:name="_Toc483478623"/>
      <w:bookmarkStart w:id="194" w:name="_Toc514924153"/>
      <w:r w:rsidRPr="00727848">
        <w:lastRenderedPageBreak/>
        <w:t>LSP-16 items</w:t>
      </w:r>
      <w:bookmarkEnd w:id="192"/>
      <w:bookmarkEnd w:id="193"/>
      <w:bookmarkEnd w:id="194"/>
    </w:p>
    <w:p w:rsidR="00154D81" w:rsidRDefault="00154D81" w:rsidP="00BD5CF6">
      <w:pPr>
        <w:pStyle w:val="ListParagraph"/>
        <w:numPr>
          <w:ilvl w:val="0"/>
          <w:numId w:val="34"/>
        </w:numPr>
        <w:spacing w:before="0" w:after="240" w:line="276" w:lineRule="auto"/>
        <w:ind w:left="714" w:hanging="357"/>
      </w:pPr>
      <w:r w:rsidRPr="001366F0">
        <w:t>Does this person generally have any difficulty with initiating and responding to conversation?</w:t>
      </w:r>
    </w:p>
    <w:p w:rsidR="00154D81" w:rsidRDefault="00154D81" w:rsidP="00BD5CF6">
      <w:pPr>
        <w:pStyle w:val="ListParagraph"/>
        <w:numPr>
          <w:ilvl w:val="0"/>
          <w:numId w:val="34"/>
        </w:numPr>
        <w:spacing w:before="0" w:after="240" w:line="276" w:lineRule="auto"/>
        <w:ind w:left="714" w:hanging="357"/>
      </w:pPr>
      <w:r w:rsidRPr="001366F0">
        <w:t>Does this person generally withdraw from social contact?</w:t>
      </w:r>
    </w:p>
    <w:p w:rsidR="00154D81" w:rsidRDefault="00154D81" w:rsidP="00BD5CF6">
      <w:pPr>
        <w:pStyle w:val="ListParagraph"/>
        <w:numPr>
          <w:ilvl w:val="0"/>
          <w:numId w:val="34"/>
        </w:numPr>
        <w:spacing w:before="0" w:after="240" w:line="276" w:lineRule="auto"/>
        <w:ind w:left="714" w:hanging="357"/>
      </w:pPr>
      <w:r w:rsidRPr="001366F0">
        <w:t>Does this person generally show warmth to others?</w:t>
      </w:r>
    </w:p>
    <w:p w:rsidR="00154D81" w:rsidRDefault="00154D81" w:rsidP="00BD5CF6">
      <w:pPr>
        <w:pStyle w:val="ListParagraph"/>
        <w:numPr>
          <w:ilvl w:val="0"/>
          <w:numId w:val="34"/>
        </w:numPr>
        <w:spacing w:before="0" w:after="240" w:line="276" w:lineRule="auto"/>
        <w:ind w:left="714" w:hanging="357"/>
      </w:pPr>
      <w:r w:rsidRPr="001366F0">
        <w:t>Is this pe</w:t>
      </w:r>
      <w:r>
        <w:t>rson generally well groomed (e.g.</w:t>
      </w:r>
      <w:r w:rsidRPr="001366F0">
        <w:t xml:space="preserve"> neatly dressed, hair combed)?</w:t>
      </w:r>
    </w:p>
    <w:p w:rsidR="00154D81" w:rsidRDefault="00154D81" w:rsidP="00BD5CF6">
      <w:pPr>
        <w:pStyle w:val="ListParagraph"/>
        <w:numPr>
          <w:ilvl w:val="0"/>
          <w:numId w:val="34"/>
        </w:numPr>
        <w:spacing w:before="0" w:after="240" w:line="276" w:lineRule="auto"/>
        <w:ind w:left="714" w:hanging="357"/>
      </w:pPr>
      <w:r w:rsidRPr="001366F0">
        <w:t>Does this person wear clean clothes generally, or ensure that they are cleaned if dirty?</w:t>
      </w:r>
    </w:p>
    <w:p w:rsidR="00154D81" w:rsidRDefault="00154D81" w:rsidP="00BD5CF6">
      <w:pPr>
        <w:pStyle w:val="ListParagraph"/>
        <w:numPr>
          <w:ilvl w:val="0"/>
          <w:numId w:val="34"/>
        </w:numPr>
        <w:spacing w:before="0" w:after="240" w:line="276" w:lineRule="auto"/>
        <w:ind w:left="714" w:hanging="357"/>
      </w:pPr>
      <w:r w:rsidRPr="001366F0">
        <w:t>Does this person generally neglect her or his physical health?</w:t>
      </w:r>
    </w:p>
    <w:p w:rsidR="00154D81" w:rsidRDefault="00154D81" w:rsidP="00BD5CF6">
      <w:pPr>
        <w:pStyle w:val="ListParagraph"/>
        <w:numPr>
          <w:ilvl w:val="0"/>
          <w:numId w:val="34"/>
        </w:numPr>
        <w:spacing w:before="0" w:after="240" w:line="276" w:lineRule="auto"/>
        <w:ind w:left="714" w:hanging="357"/>
      </w:pPr>
      <w:r w:rsidRPr="001366F0">
        <w:t>Is this person violent to others?</w:t>
      </w:r>
    </w:p>
    <w:p w:rsidR="00154D81" w:rsidRDefault="00154D81" w:rsidP="00BD5CF6">
      <w:pPr>
        <w:pStyle w:val="ListParagraph"/>
        <w:numPr>
          <w:ilvl w:val="0"/>
          <w:numId w:val="34"/>
        </w:numPr>
        <w:spacing w:before="0" w:after="240" w:line="276" w:lineRule="auto"/>
        <w:ind w:left="714" w:hanging="357"/>
      </w:pPr>
      <w:r w:rsidRPr="001366F0">
        <w:t>Does this person generally make and/or keep up friendships?</w:t>
      </w:r>
    </w:p>
    <w:p w:rsidR="00154D81" w:rsidRDefault="00154D81" w:rsidP="00BD5CF6">
      <w:pPr>
        <w:pStyle w:val="ListParagraph"/>
        <w:numPr>
          <w:ilvl w:val="0"/>
          <w:numId w:val="34"/>
        </w:numPr>
        <w:spacing w:before="0" w:after="240" w:line="276" w:lineRule="auto"/>
        <w:ind w:left="714" w:hanging="357"/>
      </w:pPr>
      <w:r w:rsidRPr="001366F0">
        <w:t>Does this person generally maintain an adequate diet?</w:t>
      </w:r>
    </w:p>
    <w:p w:rsidR="00154D81" w:rsidRDefault="00154D81" w:rsidP="00BD5CF6">
      <w:pPr>
        <w:pStyle w:val="ListParagraph"/>
        <w:numPr>
          <w:ilvl w:val="0"/>
          <w:numId w:val="34"/>
        </w:numPr>
        <w:spacing w:before="0" w:after="240" w:line="276" w:lineRule="auto"/>
        <w:ind w:left="714" w:hanging="357"/>
      </w:pPr>
      <w:r w:rsidRPr="001366F0">
        <w:t>Does this person generally look after and take her or his own prescribed medication (or attend for prescribed injections on time) without reminding?</w:t>
      </w:r>
    </w:p>
    <w:p w:rsidR="00154D81" w:rsidRDefault="00154D81" w:rsidP="00BD5CF6">
      <w:pPr>
        <w:pStyle w:val="ListParagraph"/>
        <w:numPr>
          <w:ilvl w:val="0"/>
          <w:numId w:val="34"/>
        </w:numPr>
        <w:spacing w:before="0" w:after="240" w:line="276" w:lineRule="auto"/>
        <w:ind w:left="714" w:hanging="357"/>
      </w:pPr>
      <w:r w:rsidRPr="001366F0">
        <w:t>Is this person willing to take psychiatric medication when prescribed by a doctor?</w:t>
      </w:r>
    </w:p>
    <w:p w:rsidR="00154D81" w:rsidRDefault="00154D81" w:rsidP="00BD5CF6">
      <w:pPr>
        <w:pStyle w:val="ListParagraph"/>
        <w:numPr>
          <w:ilvl w:val="0"/>
          <w:numId w:val="34"/>
        </w:numPr>
        <w:spacing w:before="0" w:after="240" w:line="276" w:lineRule="auto"/>
        <w:ind w:left="714" w:hanging="357"/>
      </w:pPr>
      <w:r w:rsidRPr="001366F0">
        <w:t>Does this person co-operate with health services (e</w:t>
      </w:r>
      <w:r>
        <w:t>.</w:t>
      </w:r>
      <w:r w:rsidRPr="001366F0">
        <w:t>g., doctors and/or other health workers)?</w:t>
      </w:r>
    </w:p>
    <w:p w:rsidR="00154D81" w:rsidRDefault="00154D81" w:rsidP="00BD5CF6">
      <w:pPr>
        <w:pStyle w:val="ListParagraph"/>
        <w:numPr>
          <w:ilvl w:val="0"/>
          <w:numId w:val="34"/>
        </w:numPr>
        <w:spacing w:before="0" w:after="240" w:line="276" w:lineRule="auto"/>
        <w:ind w:left="714" w:hanging="357"/>
      </w:pPr>
      <w:r w:rsidRPr="001366F0">
        <w:t>Does this person generally have problems (e</w:t>
      </w:r>
      <w:r>
        <w:t>.</w:t>
      </w:r>
      <w:r w:rsidRPr="001366F0">
        <w:t>g., friction, avoidance) living with others in the household?</w:t>
      </w:r>
    </w:p>
    <w:p w:rsidR="00154D81" w:rsidRDefault="00154D81" w:rsidP="00BD5CF6">
      <w:pPr>
        <w:pStyle w:val="ListParagraph"/>
        <w:numPr>
          <w:ilvl w:val="0"/>
          <w:numId w:val="34"/>
        </w:numPr>
        <w:spacing w:before="0" w:after="240" w:line="276" w:lineRule="auto"/>
        <w:ind w:left="714" w:hanging="357"/>
      </w:pPr>
      <w:r w:rsidRPr="001366F0">
        <w:t>Does this person behave offensively (includes sexual behaviour)?</w:t>
      </w:r>
    </w:p>
    <w:p w:rsidR="00154D81" w:rsidRDefault="00154D81" w:rsidP="00BD5CF6">
      <w:pPr>
        <w:pStyle w:val="ListParagraph"/>
        <w:numPr>
          <w:ilvl w:val="0"/>
          <w:numId w:val="34"/>
        </w:numPr>
        <w:spacing w:before="0" w:after="240" w:line="276" w:lineRule="auto"/>
        <w:ind w:left="714" w:hanging="357"/>
      </w:pPr>
      <w:r w:rsidRPr="001366F0">
        <w:t>Does this person behave irresponsibly?</w:t>
      </w:r>
    </w:p>
    <w:p w:rsidR="00154D81" w:rsidRDefault="00154D81" w:rsidP="00BD5CF6">
      <w:pPr>
        <w:pStyle w:val="ListParagraph"/>
        <w:numPr>
          <w:ilvl w:val="0"/>
          <w:numId w:val="34"/>
        </w:numPr>
        <w:spacing w:before="0" w:after="240" w:line="276" w:lineRule="auto"/>
        <w:ind w:left="714" w:hanging="357"/>
      </w:pPr>
      <w:r w:rsidRPr="001366F0">
        <w:t>What sort of work is this person generally capable of (even if unemployed, retired or doing unpaid domestic duties)?</w:t>
      </w:r>
    </w:p>
    <w:bookmarkEnd w:id="184"/>
    <w:bookmarkEnd w:id="185"/>
    <w:p w:rsidR="00154D81" w:rsidRDefault="00154D81">
      <w:pPr>
        <w:spacing w:before="0" w:after="0" w:line="240" w:lineRule="auto"/>
      </w:pPr>
      <w:r>
        <w:rPr>
          <w:b/>
          <w:bCs/>
        </w:rPr>
        <w:br w:type="page"/>
      </w:r>
    </w:p>
    <w:p w:rsidR="00154D81" w:rsidRPr="00FD5EB7" w:rsidRDefault="00154D81" w:rsidP="00154D81">
      <w:pPr>
        <w:pStyle w:val="Heading1"/>
        <w:spacing w:after="360"/>
        <w:rPr>
          <w:rFonts w:cs="Arial"/>
          <w:sz w:val="52"/>
          <w:szCs w:val="52"/>
        </w:rPr>
      </w:pPr>
      <w:bookmarkStart w:id="195" w:name="_Toc454793270"/>
      <w:bookmarkStart w:id="196" w:name="_Toc483478624"/>
      <w:bookmarkStart w:id="197" w:name="_Toc514924154"/>
      <w:r w:rsidRPr="00FD5EB7">
        <w:rPr>
          <w:sz w:val="52"/>
          <w:szCs w:val="52"/>
        </w:rPr>
        <w:lastRenderedPageBreak/>
        <w:t>Appendix 3: Illustration outlining the process of classifying a mental health phase of care as moderate or high HoNOS complexity</w:t>
      </w:r>
      <w:bookmarkEnd w:id="195"/>
      <w:bookmarkEnd w:id="196"/>
      <w:bookmarkEnd w:id="197"/>
      <w:r w:rsidRPr="00FD5EB7">
        <w:rPr>
          <w:sz w:val="52"/>
          <w:szCs w:val="52"/>
        </w:rPr>
        <w:t xml:space="preserve"> </w:t>
      </w:r>
    </w:p>
    <w:p w:rsidR="00154D81" w:rsidRPr="00276C4B" w:rsidRDefault="00154D81" w:rsidP="00154D81">
      <w:r w:rsidRPr="00276C4B">
        <w:t>For the purposes of the AMHCC Version 1.0, HoNOS, HoNOSCA and HoNOS 65+ scores have been weighted as per Table 1</w:t>
      </w:r>
      <w:r>
        <w:t xml:space="preserve"> </w:t>
      </w:r>
      <w:r w:rsidR="00831DD6">
        <w:t>i</w:t>
      </w:r>
      <w:r>
        <w:t xml:space="preserve">n </w:t>
      </w:r>
      <w:r w:rsidR="00831DD6">
        <w:t>section 5</w:t>
      </w:r>
      <w:r>
        <w:t>.</w:t>
      </w:r>
    </w:p>
    <w:p w:rsidR="00154D81" w:rsidRDefault="00154D81" w:rsidP="00154D81">
      <w:pPr>
        <w:rPr>
          <w:rFonts w:cs="Arial"/>
          <w:i/>
          <w:iCs/>
        </w:rPr>
      </w:pPr>
      <w:r>
        <w:rPr>
          <w:rFonts w:cs="Arial"/>
        </w:rPr>
        <w:t xml:space="preserve">The following example </w:t>
      </w:r>
      <w:r w:rsidRPr="00BD15A1">
        <w:rPr>
          <w:rFonts w:cs="Arial"/>
        </w:rPr>
        <w:t xml:space="preserve">illustrates the process that is undertaken to assign level of complexity for </w:t>
      </w:r>
      <w:r>
        <w:rPr>
          <w:rFonts w:cs="Arial"/>
        </w:rPr>
        <w:t xml:space="preserve">the </w:t>
      </w:r>
      <w:r w:rsidRPr="00BD15A1">
        <w:rPr>
          <w:rFonts w:cs="Arial"/>
        </w:rPr>
        <w:t>AMHCC</w:t>
      </w:r>
      <w:r>
        <w:rPr>
          <w:rFonts w:cs="Arial"/>
        </w:rPr>
        <w:t xml:space="preserve"> Version 1.0</w:t>
      </w:r>
      <w:r w:rsidRPr="00BD15A1">
        <w:rPr>
          <w:rFonts w:cs="Arial"/>
        </w:rPr>
        <w:t xml:space="preserve"> with reference to item-specific weights applied to ratings, the rescaling factor applied to weighted totals</w:t>
      </w:r>
      <w:r>
        <w:rPr>
          <w:rFonts w:cs="Arial"/>
        </w:rPr>
        <w:t>,</w:t>
      </w:r>
      <w:r w:rsidRPr="00BD15A1">
        <w:rPr>
          <w:rFonts w:cs="Arial"/>
        </w:rPr>
        <w:t xml:space="preserve"> and the thresholds against which the resulting scores are compared.</w:t>
      </w:r>
      <w:r w:rsidRPr="00BD15A1">
        <w:t xml:space="preserve"> </w:t>
      </w:r>
      <w:r w:rsidRPr="00BD15A1">
        <w:rPr>
          <w:rFonts w:cs="Arial"/>
          <w:i/>
          <w:iCs/>
        </w:rPr>
        <w:t> </w:t>
      </w:r>
    </w:p>
    <w:p w:rsidR="00154D81" w:rsidRPr="00957A29" w:rsidRDefault="00154D81" w:rsidP="00154D81">
      <w:pPr>
        <w:rPr>
          <w:rFonts w:cs="Arial"/>
          <w:b/>
        </w:rPr>
      </w:pPr>
      <w:r w:rsidRPr="00957A29">
        <w:rPr>
          <w:rFonts w:cs="Arial"/>
          <w:b/>
        </w:rPr>
        <w:t>Example:</w:t>
      </w:r>
    </w:p>
    <w:p w:rsidR="00154D81" w:rsidRPr="00957A29" w:rsidRDefault="00154D81" w:rsidP="00154D81">
      <w:pPr>
        <w:rPr>
          <w:rFonts w:ascii="Calibri" w:hAnsi="Calibri"/>
          <w:b/>
          <w:i/>
        </w:rPr>
      </w:pPr>
      <w:r w:rsidRPr="00957A29">
        <w:rPr>
          <w:rFonts w:cs="Arial"/>
          <w:b/>
          <w:i/>
        </w:rPr>
        <w:t>Recorded information:</w:t>
      </w:r>
    </w:p>
    <w:p w:rsidR="00154D81" w:rsidRPr="00496EDE" w:rsidRDefault="00154D81" w:rsidP="00154D81">
      <w:pPr>
        <w:pStyle w:val="ListParagraph"/>
        <w:numPr>
          <w:ilvl w:val="0"/>
          <w:numId w:val="36"/>
        </w:numPr>
        <w:spacing w:before="0" w:after="200" w:line="276" w:lineRule="auto"/>
        <w:contextualSpacing/>
      </w:pPr>
      <w:r w:rsidRPr="00496EDE">
        <w:rPr>
          <w:rFonts w:cs="Arial"/>
        </w:rPr>
        <w:t>Admitted setting</w:t>
      </w:r>
    </w:p>
    <w:p w:rsidR="00154D81" w:rsidRPr="00496EDE" w:rsidRDefault="00154D81" w:rsidP="00154D81">
      <w:pPr>
        <w:pStyle w:val="ListParagraph"/>
        <w:numPr>
          <w:ilvl w:val="0"/>
          <w:numId w:val="36"/>
        </w:numPr>
        <w:spacing w:before="0" w:after="200" w:line="276" w:lineRule="auto"/>
        <w:contextualSpacing/>
      </w:pPr>
      <w:r w:rsidRPr="00496EDE">
        <w:rPr>
          <w:rFonts w:cs="Arial"/>
        </w:rPr>
        <w:t>Acute phase of care</w:t>
      </w:r>
    </w:p>
    <w:p w:rsidR="00154D81" w:rsidRPr="00496EDE" w:rsidRDefault="00154D81" w:rsidP="00154D81">
      <w:pPr>
        <w:pStyle w:val="ListParagraph"/>
        <w:numPr>
          <w:ilvl w:val="0"/>
          <w:numId w:val="36"/>
        </w:numPr>
        <w:spacing w:before="0" w:after="200" w:line="276" w:lineRule="auto"/>
        <w:contextualSpacing/>
      </w:pPr>
      <w:r w:rsidRPr="00496EDE">
        <w:rPr>
          <w:rFonts w:cs="Arial"/>
        </w:rPr>
        <w:t>Aged 31 years</w:t>
      </w:r>
    </w:p>
    <w:p w:rsidR="00154D81" w:rsidRPr="00496EDE" w:rsidRDefault="00154D81" w:rsidP="00154D81">
      <w:pPr>
        <w:pStyle w:val="ListParagraph"/>
        <w:numPr>
          <w:ilvl w:val="0"/>
          <w:numId w:val="36"/>
        </w:numPr>
        <w:spacing w:before="0" w:after="200" w:line="276" w:lineRule="auto"/>
        <w:contextualSpacing/>
      </w:pPr>
      <w:r w:rsidRPr="00496EDE">
        <w:rPr>
          <w:rFonts w:cs="Arial"/>
        </w:rPr>
        <w:t>HoNOS ratings for items 1 to 12: 1, 0, 1, 1, 3, 2, 1, 1, 1, 0, 0, 2</w:t>
      </w:r>
    </w:p>
    <w:p w:rsidR="00154D81" w:rsidRPr="00957A29" w:rsidRDefault="00154D81" w:rsidP="00154D81">
      <w:pPr>
        <w:rPr>
          <w:b/>
        </w:rPr>
      </w:pPr>
      <w:r w:rsidRPr="00957A29">
        <w:rPr>
          <w:rFonts w:cs="Arial"/>
          <w:b/>
        </w:rPr>
        <w:t xml:space="preserve">Relevant information from Table 1 and 2 from </w:t>
      </w:r>
      <w:r>
        <w:rPr>
          <w:rFonts w:cs="Arial"/>
          <w:b/>
          <w:i/>
        </w:rPr>
        <w:t>Technical aspects of the AMHCC V</w:t>
      </w:r>
      <w:r w:rsidRPr="00957A29">
        <w:rPr>
          <w:rFonts w:cs="Arial"/>
          <w:b/>
          <w:i/>
        </w:rPr>
        <w:t>ersion 1.0</w:t>
      </w:r>
      <w:r w:rsidRPr="00957A29">
        <w:rPr>
          <w:rFonts w:cs="Arial"/>
          <w:b/>
        </w:rPr>
        <w:t xml:space="preserve"> </w:t>
      </w:r>
      <w:r w:rsidR="00831DD6">
        <w:rPr>
          <w:rFonts w:cs="Arial"/>
          <w:b/>
        </w:rPr>
        <w:t xml:space="preserve">section 5 </w:t>
      </w:r>
      <w:r w:rsidRPr="00957A29">
        <w:rPr>
          <w:rFonts w:cs="Arial"/>
          <w:b/>
        </w:rPr>
        <w:t xml:space="preserve">of the </w:t>
      </w:r>
      <w:r w:rsidRPr="00957A29">
        <w:rPr>
          <w:rFonts w:cs="Arial"/>
          <w:b/>
          <w:i/>
        </w:rPr>
        <w:t xml:space="preserve">AMHCC </w:t>
      </w:r>
      <w:r w:rsidR="00831DD6">
        <w:rPr>
          <w:rFonts w:cs="Arial"/>
          <w:b/>
          <w:i/>
        </w:rPr>
        <w:t xml:space="preserve">v1.0 </w:t>
      </w:r>
      <w:r w:rsidRPr="00957A29">
        <w:rPr>
          <w:rFonts w:cs="Arial"/>
          <w:b/>
          <w:i/>
        </w:rPr>
        <w:t>User Manual</w:t>
      </w:r>
      <w:r w:rsidRPr="00957A29">
        <w:rPr>
          <w:rFonts w:cs="Arial"/>
          <w:b/>
        </w:rPr>
        <w:t>:</w:t>
      </w:r>
    </w:p>
    <w:p w:rsidR="00154D81" w:rsidRDefault="00154D81" w:rsidP="00154D81">
      <w:r w:rsidRPr="00496EDE">
        <w:rPr>
          <w:rFonts w:cs="Arial"/>
        </w:rPr>
        <w:t>HoNOS item weights, rescaling factor and threshold for Admitted setting, Acute phase of care, 18-64 years age group:</w:t>
      </w:r>
    </w:p>
    <w:p w:rsidR="00154D81" w:rsidRDefault="00154D81" w:rsidP="00154D81">
      <w:pPr>
        <w:pStyle w:val="ListParagraph"/>
        <w:numPr>
          <w:ilvl w:val="0"/>
          <w:numId w:val="37"/>
        </w:numPr>
        <w:spacing w:before="0" w:after="200" w:line="276" w:lineRule="auto"/>
        <w:contextualSpacing/>
      </w:pPr>
      <w:r w:rsidRPr="00957A29">
        <w:rPr>
          <w:rFonts w:cs="Arial"/>
        </w:rPr>
        <w:t>Item weights: 1.6, 0.6, 0.6, 0.8, 0.8, 1.6, 0.4, 0.4, 0.6, 0.6, 0.6, 0.6</w:t>
      </w:r>
    </w:p>
    <w:p w:rsidR="00154D81" w:rsidRPr="00496EDE" w:rsidRDefault="00154D81" w:rsidP="00154D81">
      <w:pPr>
        <w:pStyle w:val="ListParagraph"/>
        <w:numPr>
          <w:ilvl w:val="0"/>
          <w:numId w:val="37"/>
        </w:numPr>
        <w:spacing w:before="0" w:after="200" w:line="276" w:lineRule="auto"/>
        <w:contextualSpacing/>
      </w:pPr>
      <w:r w:rsidRPr="00957A29">
        <w:rPr>
          <w:rFonts w:cs="Arial"/>
        </w:rPr>
        <w:t>Rescaling factor: 1.3043</w:t>
      </w:r>
    </w:p>
    <w:p w:rsidR="00154D81" w:rsidRDefault="00154D81" w:rsidP="00154D81">
      <w:pPr>
        <w:pStyle w:val="ListParagraph"/>
        <w:numPr>
          <w:ilvl w:val="0"/>
          <w:numId w:val="37"/>
        </w:numPr>
        <w:spacing w:before="0" w:after="200" w:line="276" w:lineRule="auto"/>
        <w:contextualSpacing/>
      </w:pPr>
      <w:r w:rsidRPr="00957A29">
        <w:rPr>
          <w:rFonts w:cs="Arial"/>
        </w:rPr>
        <w:t>Threshold: 14</w:t>
      </w:r>
    </w:p>
    <w:p w:rsidR="00154D81" w:rsidRPr="00957A29" w:rsidRDefault="00154D81" w:rsidP="00154D81">
      <w:pPr>
        <w:rPr>
          <w:b/>
          <w:i/>
        </w:rPr>
      </w:pPr>
      <w:r w:rsidRPr="00957A29">
        <w:rPr>
          <w:rFonts w:cs="Arial"/>
          <w:b/>
          <w:i/>
        </w:rPr>
        <w:t>Steps undertaken to determine HoNOS complexity:</w:t>
      </w:r>
    </w:p>
    <w:p w:rsidR="00154D81" w:rsidRPr="00496EDE" w:rsidRDefault="00154D81" w:rsidP="00154D81">
      <w:pPr>
        <w:pStyle w:val="ListParagraph"/>
        <w:ind w:left="360" w:hanging="360"/>
      </w:pPr>
      <w:r w:rsidRPr="00957A29">
        <w:rPr>
          <w:rFonts w:cs="Arial"/>
          <w:i/>
        </w:rPr>
        <w:t>Step 1:</w:t>
      </w:r>
      <w:r w:rsidRPr="00496EDE">
        <w:rPr>
          <w:rFonts w:cs="Arial"/>
        </w:rPr>
        <w:t xml:space="preserve"> Scale ratings by item weights:</w:t>
      </w:r>
    </w:p>
    <w:p w:rsidR="00154D81" w:rsidRPr="00957A29" w:rsidRDefault="00154D81" w:rsidP="00154D81">
      <w:pPr>
        <w:pStyle w:val="ListParagraph"/>
        <w:ind w:left="1080" w:hanging="360"/>
        <w:rPr>
          <w:rFonts w:cs="Arial"/>
        </w:rPr>
      </w:pPr>
      <w:r w:rsidRPr="00957A29">
        <w:rPr>
          <w:rFonts w:cs="Arial"/>
        </w:rPr>
        <w:t xml:space="preserve">1.6 = 1 x 1.6, 0 = 0 x 0.6, 0.6 = 1 x 0.6, 0.8 = 1 x 0.8, 2.4 = 3 x 0.8, 3.2 = 2 x 1.6, </w:t>
      </w:r>
    </w:p>
    <w:p w:rsidR="00154D81" w:rsidRPr="00957A29" w:rsidRDefault="00154D81" w:rsidP="00154D81">
      <w:pPr>
        <w:pStyle w:val="ListParagraph"/>
        <w:ind w:left="1080" w:hanging="360"/>
        <w:rPr>
          <w:rFonts w:cs="Arial"/>
        </w:rPr>
      </w:pPr>
      <w:r w:rsidRPr="00957A29">
        <w:rPr>
          <w:rFonts w:cs="Arial"/>
        </w:rPr>
        <w:t>0.4 = 1 x 0.4, 0.4 = 1 x 0.4, 0.6 = 1 x 0.6, 0 = 0 x 0.6, 0 = 0 x 0.6, 1.2 = 2 x 0.6</w:t>
      </w:r>
    </w:p>
    <w:p w:rsidR="00154D81" w:rsidRPr="00496EDE" w:rsidRDefault="00154D81" w:rsidP="00154D81">
      <w:pPr>
        <w:pStyle w:val="ListParagraph"/>
        <w:ind w:left="360" w:hanging="360"/>
      </w:pPr>
      <w:r w:rsidRPr="00957A29">
        <w:rPr>
          <w:rFonts w:cs="Arial"/>
          <w:i/>
        </w:rPr>
        <w:t>Step 2:</w:t>
      </w:r>
      <w:r w:rsidRPr="00496EDE">
        <w:rPr>
          <w:rFonts w:cs="Arial"/>
        </w:rPr>
        <w:t xml:space="preserve"> Total the weighted ratings:</w:t>
      </w:r>
    </w:p>
    <w:p w:rsidR="00154D81" w:rsidRPr="00496EDE" w:rsidRDefault="00154D81" w:rsidP="00154D81">
      <w:pPr>
        <w:pStyle w:val="ListParagraph"/>
        <w:ind w:left="1080" w:hanging="360"/>
      </w:pPr>
      <w:r w:rsidRPr="00496EDE">
        <w:rPr>
          <w:rFonts w:cs="Arial"/>
        </w:rPr>
        <w:t>11.2 = 1.6 + 0 + 0.6 + 0.8 + 2.4 + 3.2 + 0.4 + 0.4 + 0.6 + 0 + 0 + 1.2</w:t>
      </w:r>
    </w:p>
    <w:p w:rsidR="00154D81" w:rsidRPr="00496EDE" w:rsidRDefault="00154D81" w:rsidP="00154D81">
      <w:pPr>
        <w:pStyle w:val="ListParagraph"/>
        <w:ind w:left="360" w:hanging="360"/>
      </w:pPr>
      <w:r w:rsidRPr="00957A29">
        <w:rPr>
          <w:rFonts w:cs="Arial"/>
          <w:i/>
        </w:rPr>
        <w:t>Step 3:</w:t>
      </w:r>
      <w:r w:rsidRPr="00496EDE">
        <w:rPr>
          <w:rFonts w:cs="Arial"/>
        </w:rPr>
        <w:t xml:space="preserve"> Rescale the weighted total:</w:t>
      </w:r>
    </w:p>
    <w:p w:rsidR="00154D81" w:rsidRPr="00957A29" w:rsidRDefault="00154D81" w:rsidP="00154D81">
      <w:pPr>
        <w:pStyle w:val="ListParagraph"/>
        <w:ind w:left="1080" w:hanging="360"/>
        <w:rPr>
          <w:rFonts w:cs="Arial"/>
        </w:rPr>
      </w:pPr>
      <w:r w:rsidRPr="00496EDE">
        <w:rPr>
          <w:rFonts w:cs="Arial"/>
        </w:rPr>
        <w:t>14.60816 = 11.2 x 1.3043</w:t>
      </w:r>
    </w:p>
    <w:p w:rsidR="00154D81" w:rsidRPr="00496EDE" w:rsidRDefault="00154D81" w:rsidP="00154D81">
      <w:pPr>
        <w:pStyle w:val="ListParagraph"/>
        <w:ind w:left="803" w:hanging="803"/>
        <w:rPr>
          <w:rFonts w:cs="Arial"/>
        </w:rPr>
      </w:pPr>
      <w:r w:rsidRPr="00957A29">
        <w:rPr>
          <w:rFonts w:cs="Arial"/>
          <w:i/>
        </w:rPr>
        <w:t>Step 4:</w:t>
      </w:r>
      <w:r w:rsidRPr="00496EDE">
        <w:rPr>
          <w:rFonts w:cs="Arial"/>
        </w:rPr>
        <w:t xml:space="preserve"> Compare resulting score (weighted HoNOS) again</w:t>
      </w:r>
      <w:r>
        <w:rPr>
          <w:rFonts w:cs="Arial"/>
        </w:rPr>
        <w:t xml:space="preserve">st threshold and conclude </w:t>
      </w:r>
      <w:r w:rsidRPr="00496EDE">
        <w:rPr>
          <w:rFonts w:cs="Arial"/>
        </w:rPr>
        <w:t xml:space="preserve">HoNOS </w:t>
      </w:r>
      <w:r>
        <w:rPr>
          <w:rFonts w:cs="Arial"/>
        </w:rPr>
        <w:t xml:space="preserve">complexity </w:t>
      </w:r>
      <w:r w:rsidRPr="00496EDE">
        <w:rPr>
          <w:rFonts w:cs="Arial"/>
        </w:rPr>
        <w:t>14.60816 ≥ 14</w:t>
      </w:r>
    </w:p>
    <w:p w:rsidR="00154D81" w:rsidRPr="003B4DA4" w:rsidRDefault="00154D81" w:rsidP="00154D81">
      <w:pPr>
        <w:rPr>
          <w:rFonts w:cs="Arial"/>
          <w:i/>
          <w:iCs/>
        </w:rPr>
      </w:pPr>
      <w:r w:rsidRPr="00B1279B">
        <w:rPr>
          <w:rFonts w:cs="Arial"/>
          <w:b/>
        </w:rPr>
        <w:t>Therefore, high HoNOS complexity is assigned.</w:t>
      </w:r>
    </w:p>
    <w:p w:rsidR="00600F10" w:rsidRPr="00154D81" w:rsidRDefault="00600F10" w:rsidP="00600F10">
      <w:pPr>
        <w:pStyle w:val="TOCHeading"/>
        <w:rPr>
          <w:rFonts w:ascii="Arial" w:eastAsia="Times New Roman" w:hAnsi="Arial" w:cs="Times New Roman"/>
          <w:b w:val="0"/>
          <w:bCs w:val="0"/>
          <w:sz w:val="22"/>
          <w:szCs w:val="24"/>
        </w:rPr>
      </w:pPr>
    </w:p>
    <w:p w:rsidR="0047601C" w:rsidRDefault="0047601C">
      <w:pPr>
        <w:spacing w:before="0" w:after="0" w:line="240" w:lineRule="auto"/>
        <w:sectPr w:rsidR="0047601C" w:rsidSect="00727848">
          <w:headerReference w:type="default" r:id="rId27"/>
          <w:pgSz w:w="11906" w:h="16838" w:code="9"/>
          <w:pgMar w:top="2041" w:right="1416" w:bottom="1021" w:left="1021" w:header="680" w:footer="510" w:gutter="0"/>
          <w:cols w:space="708"/>
          <w:docGrid w:linePitch="360"/>
        </w:sectPr>
      </w:pPr>
    </w:p>
    <w:p w:rsidR="00E15D40" w:rsidRDefault="00E15D40">
      <w:pPr>
        <w:spacing w:before="0" w:after="0" w:line="240" w:lineRule="auto"/>
      </w:pPr>
    </w:p>
    <w:p w:rsidR="000902F7" w:rsidRDefault="000902F7">
      <w:pPr>
        <w:spacing w:before="0" w:after="0" w:line="240" w:lineRule="auto"/>
      </w:pPr>
    </w:p>
    <w:p w:rsidR="00E15D40" w:rsidRDefault="00E15D40">
      <w:pPr>
        <w:spacing w:before="0" w:after="0" w:line="240" w:lineRule="auto"/>
      </w:pPr>
    </w:p>
    <w:p w:rsidR="0059283C" w:rsidRPr="00350852" w:rsidRDefault="008A433B" w:rsidP="00C97D83">
      <w:pPr>
        <w:spacing w:before="0" w:after="0" w:line="240" w:lineRule="auto"/>
      </w:pPr>
      <w:r>
        <w:rPr>
          <w:noProof/>
        </w:rPr>
        <mc:AlternateContent>
          <mc:Choice Requires="wps">
            <w:drawing>
              <wp:anchor distT="0" distB="0" distL="114300" distR="114300" simplePos="0" relativeHeight="251666432" behindDoc="0" locked="0" layoutInCell="1" allowOverlap="1" wp14:anchorId="50BC9D97" wp14:editId="6EF696CC">
                <wp:simplePos x="0" y="0"/>
                <wp:positionH relativeFrom="column">
                  <wp:align>left</wp:align>
                </wp:positionH>
                <wp:positionV relativeFrom="margin">
                  <wp:align>bottom</wp:align>
                </wp:positionV>
                <wp:extent cx="1943280" cy="1257480"/>
                <wp:effectExtent l="0" t="0" r="1270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86AAD" w:rsidRPr="00641A95" w:rsidRDefault="00C86AAD" w:rsidP="008A433B">
                            <w:pPr>
                              <w:pStyle w:val="Address"/>
                              <w:rPr>
                                <w:color w:val="auto"/>
                              </w:rPr>
                            </w:pPr>
                            <w:r w:rsidRPr="00641A95">
                              <w:rPr>
                                <w:color w:val="auto"/>
                              </w:rPr>
                              <w:t>Independent Hospital Pricing Authority</w:t>
                            </w:r>
                          </w:p>
                          <w:p w:rsidR="00C86AAD" w:rsidRPr="00C303D7" w:rsidRDefault="00C86AAD" w:rsidP="008A433B">
                            <w:pPr>
                              <w:pStyle w:val="Address"/>
                            </w:pPr>
                            <w:r w:rsidRPr="00C303D7">
                              <w:t> </w:t>
                            </w:r>
                          </w:p>
                          <w:p w:rsidR="00C86AAD" w:rsidRPr="00641A95" w:rsidRDefault="00C86AAD" w:rsidP="008A433B">
                            <w:pPr>
                              <w:pStyle w:val="Address"/>
                              <w:rPr>
                                <w:color w:val="008A00" w:themeColor="accent2"/>
                              </w:rPr>
                            </w:pPr>
                            <w:r w:rsidRPr="00641A95">
                              <w:rPr>
                                <w:color w:val="008A00" w:themeColor="accent2"/>
                              </w:rPr>
                              <w:t>Level 6, 1 Oxford Street</w:t>
                            </w:r>
                          </w:p>
                          <w:p w:rsidR="00C86AAD" w:rsidRPr="00641A95" w:rsidRDefault="00C86AAD" w:rsidP="008A433B">
                            <w:pPr>
                              <w:pStyle w:val="Address"/>
                              <w:rPr>
                                <w:color w:val="008A00" w:themeColor="accent2"/>
                              </w:rPr>
                            </w:pPr>
                            <w:r w:rsidRPr="00641A95">
                              <w:rPr>
                                <w:color w:val="008A00" w:themeColor="accent2"/>
                              </w:rPr>
                              <w:t>Sydney NSW 2000</w:t>
                            </w:r>
                          </w:p>
                          <w:p w:rsidR="00C86AAD" w:rsidRPr="00C303D7" w:rsidRDefault="00C86AAD" w:rsidP="008A433B">
                            <w:pPr>
                              <w:pStyle w:val="Address"/>
                            </w:pPr>
                          </w:p>
                          <w:p w:rsidR="00C86AAD" w:rsidRPr="00641A95" w:rsidRDefault="00C86AAD" w:rsidP="008A433B">
                            <w:pPr>
                              <w:pStyle w:val="Address"/>
                              <w:rPr>
                                <w:color w:val="008A00" w:themeColor="accent2"/>
                              </w:rPr>
                            </w:pPr>
                            <w:r w:rsidRPr="00641A95">
                              <w:rPr>
                                <w:color w:val="auto"/>
                              </w:rPr>
                              <w:t xml:space="preserve">Phone </w:t>
                            </w:r>
                            <w:r w:rsidRPr="00641A95">
                              <w:rPr>
                                <w:color w:val="008A00" w:themeColor="accent2"/>
                              </w:rPr>
                              <w:t>02 8215 1100</w:t>
                            </w:r>
                          </w:p>
                          <w:p w:rsidR="00C86AAD" w:rsidRPr="00641A95" w:rsidRDefault="00C86AAD" w:rsidP="008A433B">
                            <w:pPr>
                              <w:pStyle w:val="Address"/>
                              <w:rPr>
                                <w:color w:val="008A00" w:themeColor="accent2"/>
                              </w:rPr>
                            </w:pPr>
                            <w:r w:rsidRPr="00641A95">
                              <w:rPr>
                                <w:color w:val="auto"/>
                              </w:rPr>
                              <w:t xml:space="preserve">Email </w:t>
                            </w:r>
                            <w:r w:rsidRPr="00641A95">
                              <w:rPr>
                                <w:color w:val="008A00" w:themeColor="accent2"/>
                              </w:rPr>
                              <w:t>enquiries.ihpa@ihpa.gov.au</w:t>
                            </w:r>
                          </w:p>
                          <w:p w:rsidR="00C86AAD" w:rsidRPr="00641A95" w:rsidRDefault="00C86AAD" w:rsidP="008A433B">
                            <w:pPr>
                              <w:pStyle w:val="Address"/>
                              <w:rPr>
                                <w:color w:val="008A00" w:themeColor="accent2"/>
                              </w:rPr>
                            </w:pPr>
                            <w:r w:rsidRPr="00641A95">
                              <w:rPr>
                                <w:color w:val="auto"/>
                              </w:rPr>
                              <w:t xml:space="preserve">Twitter </w:t>
                            </w:r>
                            <w:r w:rsidRPr="00641A95">
                              <w:rPr>
                                <w:color w:val="008A00" w:themeColor="accent2"/>
                              </w:rPr>
                              <w:t>@IHPAnews</w:t>
                            </w:r>
                          </w:p>
                          <w:p w:rsidR="00C86AAD" w:rsidRPr="00641A95" w:rsidRDefault="00C86AAD" w:rsidP="008A433B">
                            <w:pPr>
                              <w:pStyle w:val="Address"/>
                              <w:rPr>
                                <w:color w:val="auto"/>
                              </w:rPr>
                            </w:pPr>
                          </w:p>
                          <w:p w:rsidR="00C86AAD" w:rsidRPr="00641A95" w:rsidRDefault="00C86AAD" w:rsidP="008A433B">
                            <w:pPr>
                              <w:pStyle w:val="Address"/>
                              <w:rPr>
                                <w:color w:val="auto"/>
                              </w:rPr>
                            </w:pPr>
                            <w:r w:rsidRPr="00641A95">
                              <w:rPr>
                                <w:color w:val="auto"/>
                              </w:rPr>
                              <w:t>www.ihpa.gov.au</w:t>
                            </w:r>
                          </w:p>
                          <w:p w:rsidR="00C86AAD" w:rsidRPr="00C303D7" w:rsidRDefault="00C86AAD" w:rsidP="008A433B">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0;margin-top:0;width:153pt;height:99pt;z-index:251666432;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1lbwIAAFM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" filled="f" stroked="f">
                <v:textbox inset="0,0,0,0">
                  <w:txbxContent>
                    <w:p w:rsidR="00C86AAD" w:rsidRPr="00641A95" w:rsidRDefault="00C86AAD" w:rsidP="008A433B">
                      <w:pPr>
                        <w:pStyle w:val="Address"/>
                        <w:rPr>
                          <w:color w:val="auto"/>
                        </w:rPr>
                      </w:pPr>
                      <w:r w:rsidRPr="00641A95">
                        <w:rPr>
                          <w:color w:val="auto"/>
                        </w:rPr>
                        <w:t>Independent Hospital Pricing Authority</w:t>
                      </w:r>
                    </w:p>
                    <w:p w:rsidR="00C86AAD" w:rsidRPr="00C303D7" w:rsidRDefault="00C86AAD" w:rsidP="008A433B">
                      <w:pPr>
                        <w:pStyle w:val="Address"/>
                      </w:pPr>
                      <w:r w:rsidRPr="00C303D7">
                        <w:t> </w:t>
                      </w:r>
                    </w:p>
                    <w:p w:rsidR="00C86AAD" w:rsidRPr="00641A95" w:rsidRDefault="00C86AAD" w:rsidP="008A433B">
                      <w:pPr>
                        <w:pStyle w:val="Address"/>
                        <w:rPr>
                          <w:color w:val="008A00" w:themeColor="accent2"/>
                        </w:rPr>
                      </w:pPr>
                      <w:r w:rsidRPr="00641A95">
                        <w:rPr>
                          <w:color w:val="008A00" w:themeColor="accent2"/>
                        </w:rPr>
                        <w:t>Level 6, 1 Oxford Street</w:t>
                      </w:r>
                    </w:p>
                    <w:p w:rsidR="00C86AAD" w:rsidRPr="00641A95" w:rsidRDefault="00C86AAD" w:rsidP="008A433B">
                      <w:pPr>
                        <w:pStyle w:val="Address"/>
                        <w:rPr>
                          <w:color w:val="008A00" w:themeColor="accent2"/>
                        </w:rPr>
                      </w:pPr>
                      <w:r w:rsidRPr="00641A95">
                        <w:rPr>
                          <w:color w:val="008A00" w:themeColor="accent2"/>
                        </w:rPr>
                        <w:t>Sydney NSW 2000</w:t>
                      </w:r>
                    </w:p>
                    <w:p w:rsidR="00C86AAD" w:rsidRPr="00C303D7" w:rsidRDefault="00C86AAD" w:rsidP="008A433B">
                      <w:pPr>
                        <w:pStyle w:val="Address"/>
                      </w:pPr>
                    </w:p>
                    <w:p w:rsidR="00C86AAD" w:rsidRPr="00641A95" w:rsidRDefault="00C86AAD" w:rsidP="008A433B">
                      <w:pPr>
                        <w:pStyle w:val="Address"/>
                        <w:rPr>
                          <w:color w:val="008A00" w:themeColor="accent2"/>
                        </w:rPr>
                      </w:pPr>
                      <w:r w:rsidRPr="00641A95">
                        <w:rPr>
                          <w:color w:val="auto"/>
                        </w:rPr>
                        <w:t xml:space="preserve">Phone </w:t>
                      </w:r>
                      <w:r w:rsidRPr="00641A95">
                        <w:rPr>
                          <w:color w:val="008A00" w:themeColor="accent2"/>
                        </w:rPr>
                        <w:t>02 8215 1100</w:t>
                      </w:r>
                    </w:p>
                    <w:p w:rsidR="00C86AAD" w:rsidRPr="00641A95" w:rsidRDefault="00C86AAD" w:rsidP="008A433B">
                      <w:pPr>
                        <w:pStyle w:val="Address"/>
                        <w:rPr>
                          <w:color w:val="008A00" w:themeColor="accent2"/>
                        </w:rPr>
                      </w:pPr>
                      <w:r w:rsidRPr="00641A95">
                        <w:rPr>
                          <w:color w:val="auto"/>
                        </w:rPr>
                        <w:t xml:space="preserve">Email </w:t>
                      </w:r>
                      <w:r w:rsidRPr="00641A95">
                        <w:rPr>
                          <w:color w:val="008A00" w:themeColor="accent2"/>
                        </w:rPr>
                        <w:t>enquiries.ihpa@ihpa.gov.au</w:t>
                      </w:r>
                    </w:p>
                    <w:p w:rsidR="00C86AAD" w:rsidRPr="00641A95" w:rsidRDefault="00C86AAD" w:rsidP="008A433B">
                      <w:pPr>
                        <w:pStyle w:val="Address"/>
                        <w:rPr>
                          <w:color w:val="008A00" w:themeColor="accent2"/>
                        </w:rPr>
                      </w:pPr>
                      <w:r w:rsidRPr="00641A95">
                        <w:rPr>
                          <w:color w:val="auto"/>
                        </w:rPr>
                        <w:t xml:space="preserve">Twitter </w:t>
                      </w:r>
                      <w:r w:rsidRPr="00641A95">
                        <w:rPr>
                          <w:color w:val="008A00" w:themeColor="accent2"/>
                        </w:rPr>
                        <w:t>@</w:t>
                      </w:r>
                      <w:proofErr w:type="spellStart"/>
                      <w:r w:rsidRPr="00641A95">
                        <w:rPr>
                          <w:color w:val="008A00" w:themeColor="accent2"/>
                        </w:rPr>
                        <w:t>IHPAnews</w:t>
                      </w:r>
                      <w:proofErr w:type="spellEnd"/>
                    </w:p>
                    <w:p w:rsidR="00C86AAD" w:rsidRPr="00641A95" w:rsidRDefault="00C86AAD" w:rsidP="008A433B">
                      <w:pPr>
                        <w:pStyle w:val="Address"/>
                        <w:rPr>
                          <w:color w:val="auto"/>
                        </w:rPr>
                      </w:pPr>
                    </w:p>
                    <w:p w:rsidR="00C86AAD" w:rsidRPr="00641A95" w:rsidRDefault="00C86AAD" w:rsidP="008A433B">
                      <w:pPr>
                        <w:pStyle w:val="Address"/>
                        <w:rPr>
                          <w:color w:val="auto"/>
                        </w:rPr>
                      </w:pPr>
                      <w:r w:rsidRPr="00641A95">
                        <w:rPr>
                          <w:color w:val="auto"/>
                        </w:rPr>
                        <w:t>www.ihpa.gov.au</w:t>
                      </w:r>
                    </w:p>
                    <w:p w:rsidR="00C86AAD" w:rsidRPr="00C303D7" w:rsidRDefault="00C86AAD" w:rsidP="008A433B">
                      <w:pPr>
                        <w:pStyle w:val="Address"/>
                      </w:pPr>
                    </w:p>
                  </w:txbxContent>
                </v:textbox>
                <w10:wrap type="square" anchory="margin"/>
              </v:shape>
            </w:pict>
          </mc:Fallback>
        </mc:AlternateContent>
      </w:r>
      <w:r w:rsidR="00641A95">
        <w:rPr>
          <w:noProof/>
        </w:rPr>
        <w:drawing>
          <wp:anchor distT="0" distB="0" distL="114300" distR="114300" simplePos="0" relativeHeight="251671552" behindDoc="1" locked="1" layoutInCell="0" allowOverlap="1" wp14:anchorId="6964703D" wp14:editId="4D32B232">
            <wp:simplePos x="0" y="0"/>
            <wp:positionH relativeFrom="page">
              <wp:posOffset>-7620</wp:posOffset>
            </wp:positionH>
            <wp:positionV relativeFrom="page">
              <wp:posOffset>12065</wp:posOffset>
            </wp:positionV>
            <wp:extent cx="7592060" cy="10738485"/>
            <wp:effectExtent l="0" t="0" r="8890" b="5715"/>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C303D7">
        <w:rPr>
          <w:noProof/>
        </w:rPr>
        <mc:AlternateContent>
          <mc:Choice Requires="wps">
            <w:drawing>
              <wp:anchor distT="0" distB="0" distL="114300" distR="114300" simplePos="0" relativeHeight="251661312" behindDoc="0" locked="0" layoutInCell="1" allowOverlap="1" wp14:anchorId="3077A944" wp14:editId="79A57216">
                <wp:simplePos x="0" y="0"/>
                <wp:positionH relativeFrom="column">
                  <wp:align>left</wp:align>
                </wp:positionH>
                <wp:positionV relativeFrom="margin">
                  <wp:align>bottom</wp:align>
                </wp:positionV>
                <wp:extent cx="1943280" cy="125748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86AAD" w:rsidRPr="00906A0B" w:rsidRDefault="00C86AAD" w:rsidP="00C303D7">
                            <w:pPr>
                              <w:pStyle w:val="Address"/>
                            </w:pPr>
                            <w:r w:rsidRPr="00906A0B">
                              <w:t>Independent Hospital Pricing Authority</w:t>
                            </w:r>
                          </w:p>
                          <w:p w:rsidR="00C86AAD" w:rsidRPr="00906A0B" w:rsidRDefault="00C86AAD" w:rsidP="00C303D7">
                            <w:pPr>
                              <w:pStyle w:val="Address"/>
                            </w:pPr>
                            <w:r w:rsidRPr="00906A0B">
                              <w:t> </w:t>
                            </w:r>
                          </w:p>
                          <w:p w:rsidR="00C86AAD" w:rsidRPr="00906A0B" w:rsidRDefault="00C86AAD" w:rsidP="00C303D7">
                            <w:pPr>
                              <w:pStyle w:val="Address"/>
                            </w:pPr>
                            <w:r w:rsidRPr="00906A0B">
                              <w:t>Level 6, 1 Oxford Street</w:t>
                            </w:r>
                          </w:p>
                          <w:p w:rsidR="00C86AAD" w:rsidRPr="00906A0B" w:rsidRDefault="00C86AAD" w:rsidP="00C303D7">
                            <w:pPr>
                              <w:pStyle w:val="Address"/>
                            </w:pPr>
                            <w:r w:rsidRPr="00906A0B">
                              <w:t>Sydney NSW 2000</w:t>
                            </w:r>
                          </w:p>
                          <w:p w:rsidR="00C86AAD" w:rsidRPr="00906A0B" w:rsidRDefault="00C86AAD" w:rsidP="00C303D7">
                            <w:pPr>
                              <w:pStyle w:val="Address"/>
                            </w:pPr>
                          </w:p>
                          <w:p w:rsidR="00C86AAD" w:rsidRPr="00906A0B" w:rsidRDefault="00C86AAD" w:rsidP="00C303D7">
                            <w:pPr>
                              <w:pStyle w:val="Address"/>
                            </w:pPr>
                            <w:r w:rsidRPr="00906A0B">
                              <w:t>Phone 02 8215 1100</w:t>
                            </w:r>
                          </w:p>
                          <w:p w:rsidR="00C86AAD" w:rsidRPr="00906A0B" w:rsidRDefault="00C86AAD" w:rsidP="00C303D7">
                            <w:pPr>
                              <w:pStyle w:val="Address"/>
                            </w:pPr>
                            <w:r w:rsidRPr="00906A0B">
                              <w:t>Email enquiries.ihpa@ihpa.gov.au</w:t>
                            </w:r>
                          </w:p>
                          <w:p w:rsidR="00C86AAD" w:rsidRPr="00906A0B" w:rsidRDefault="00C86AAD" w:rsidP="00C303D7">
                            <w:pPr>
                              <w:pStyle w:val="Address"/>
                            </w:pPr>
                            <w:r w:rsidRPr="00906A0B">
                              <w:t>Twitter @IHPAnews</w:t>
                            </w:r>
                          </w:p>
                          <w:p w:rsidR="00C86AAD" w:rsidRPr="00906A0B" w:rsidRDefault="00C86AAD" w:rsidP="00C303D7">
                            <w:pPr>
                              <w:pStyle w:val="Address"/>
                            </w:pPr>
                          </w:p>
                          <w:p w:rsidR="00C86AAD" w:rsidRPr="00906A0B" w:rsidRDefault="00C86AAD" w:rsidP="00C303D7">
                            <w:pPr>
                              <w:pStyle w:val="Address"/>
                            </w:pPr>
                            <w:r w:rsidRPr="00906A0B">
                              <w:t>www.ihpa.gov.au</w:t>
                            </w:r>
                          </w:p>
                          <w:p w:rsidR="00C86AAD" w:rsidRPr="00906A0B" w:rsidRDefault="00C86AAD" w:rsidP="00C303D7">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0;margin-top:0;width:153pt;height:99pt;z-index:251661312;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" filled="f" stroked="f">
                <v:textbox inset="0,0,0,0">
                  <w:txbxContent>
                    <w:p w:rsidR="00C86AAD" w:rsidRPr="00906A0B" w:rsidRDefault="00C86AAD" w:rsidP="00C303D7">
                      <w:pPr>
                        <w:pStyle w:val="Address"/>
                      </w:pPr>
                      <w:r w:rsidRPr="00906A0B">
                        <w:t>Independent Hospital Pricing Authority</w:t>
                      </w:r>
                    </w:p>
                    <w:p w:rsidR="00C86AAD" w:rsidRPr="00906A0B" w:rsidRDefault="00C86AAD" w:rsidP="00C303D7">
                      <w:pPr>
                        <w:pStyle w:val="Address"/>
                      </w:pPr>
                      <w:r w:rsidRPr="00906A0B">
                        <w:t> </w:t>
                      </w:r>
                    </w:p>
                    <w:p w:rsidR="00C86AAD" w:rsidRPr="00906A0B" w:rsidRDefault="00C86AAD" w:rsidP="00C303D7">
                      <w:pPr>
                        <w:pStyle w:val="Address"/>
                      </w:pPr>
                      <w:r w:rsidRPr="00906A0B">
                        <w:t>Level 6, 1 Oxford Street</w:t>
                      </w:r>
                    </w:p>
                    <w:p w:rsidR="00C86AAD" w:rsidRPr="00906A0B" w:rsidRDefault="00C86AAD" w:rsidP="00C303D7">
                      <w:pPr>
                        <w:pStyle w:val="Address"/>
                      </w:pPr>
                      <w:r w:rsidRPr="00906A0B">
                        <w:t>Sydney NSW 2000</w:t>
                      </w:r>
                    </w:p>
                    <w:p w:rsidR="00C86AAD" w:rsidRPr="00906A0B" w:rsidRDefault="00C86AAD" w:rsidP="00C303D7">
                      <w:pPr>
                        <w:pStyle w:val="Address"/>
                      </w:pPr>
                    </w:p>
                    <w:p w:rsidR="00C86AAD" w:rsidRPr="00906A0B" w:rsidRDefault="00C86AAD" w:rsidP="00C303D7">
                      <w:pPr>
                        <w:pStyle w:val="Address"/>
                      </w:pPr>
                      <w:r w:rsidRPr="00906A0B">
                        <w:t>Phone 02 8215 1100</w:t>
                      </w:r>
                    </w:p>
                    <w:p w:rsidR="00C86AAD" w:rsidRPr="00906A0B" w:rsidRDefault="00C86AAD" w:rsidP="00C303D7">
                      <w:pPr>
                        <w:pStyle w:val="Address"/>
                      </w:pPr>
                      <w:r w:rsidRPr="00906A0B">
                        <w:t>Email enquiries.ihpa@ihpa.gov.au</w:t>
                      </w:r>
                    </w:p>
                    <w:p w:rsidR="00C86AAD" w:rsidRPr="00906A0B" w:rsidRDefault="00C86AAD" w:rsidP="00C303D7">
                      <w:pPr>
                        <w:pStyle w:val="Address"/>
                      </w:pPr>
                      <w:r w:rsidRPr="00906A0B">
                        <w:t>Twitter @</w:t>
                      </w:r>
                      <w:proofErr w:type="spellStart"/>
                      <w:r w:rsidRPr="00906A0B">
                        <w:t>IHPAnews</w:t>
                      </w:r>
                      <w:proofErr w:type="spellEnd"/>
                    </w:p>
                    <w:p w:rsidR="00C86AAD" w:rsidRPr="00906A0B" w:rsidRDefault="00C86AAD" w:rsidP="00C303D7">
                      <w:pPr>
                        <w:pStyle w:val="Address"/>
                      </w:pPr>
                    </w:p>
                    <w:p w:rsidR="00C86AAD" w:rsidRPr="00906A0B" w:rsidRDefault="00C86AAD" w:rsidP="00C303D7">
                      <w:pPr>
                        <w:pStyle w:val="Address"/>
                      </w:pPr>
                      <w:r w:rsidRPr="00906A0B">
                        <w:t>www.ihpa.gov.au</w:t>
                      </w:r>
                    </w:p>
                    <w:p w:rsidR="00C86AAD" w:rsidRPr="00906A0B" w:rsidRDefault="00C86AAD" w:rsidP="00C303D7">
                      <w:pPr>
                        <w:pStyle w:val="Address"/>
                      </w:pPr>
                    </w:p>
                  </w:txbxContent>
                </v:textbox>
                <w10:wrap type="square" anchory="margin"/>
              </v:shape>
            </w:pict>
          </mc:Fallback>
        </mc:AlternateContent>
      </w:r>
    </w:p>
    <w:sectPr w:rsidR="0059283C" w:rsidRPr="00350852" w:rsidSect="0047601C">
      <w:pgSz w:w="11906" w:h="16838" w:code="9"/>
      <w:pgMar w:top="2041" w:right="1440" w:bottom="1021" w:left="1021" w:header="680" w:footer="51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AAD" w:rsidRDefault="00C86AAD">
      <w:r>
        <w:separator/>
      </w:r>
    </w:p>
  </w:endnote>
  <w:endnote w:type="continuationSeparator" w:id="0">
    <w:p w:rsidR="00C86AAD" w:rsidRDefault="00C8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AAD" w:rsidRDefault="00C86AAD">
      <w:r>
        <w:separator/>
      </w:r>
    </w:p>
  </w:footnote>
  <w:footnote w:type="continuationSeparator" w:id="0">
    <w:p w:rsidR="00C86AAD" w:rsidRDefault="00C86AAD">
      <w:r>
        <w:continuationSeparator/>
      </w:r>
    </w:p>
  </w:footnote>
  <w:footnote w:id="1">
    <w:p w:rsidR="00C86AAD" w:rsidRDefault="00C86AAD" w:rsidP="00154D81">
      <w:pPr>
        <w:pStyle w:val="FootnoteText"/>
      </w:pPr>
      <w:r>
        <w:rPr>
          <w:rStyle w:val="FootnoteReference"/>
        </w:rPr>
        <w:footnoteRef/>
      </w:r>
      <w:r>
        <w:t xml:space="preserve"> In the mental health sector patients are generally referred to as consumers of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AD" w:rsidRDefault="00C86AAD" w:rsidP="00E63129">
    <w:pPr>
      <w:pStyle w:val="Header"/>
      <w:tabs>
        <w:tab w:val="clear" w:pos="10319"/>
        <w:tab w:val="right" w:pos="9923"/>
      </w:tabs>
      <w:rPr>
        <w:noProof/>
        <w:color w:val="008A00" w:themeColor="accent2"/>
      </w:rPr>
    </w:pPr>
    <w:r>
      <w:rPr>
        <w:color w:val="FFFFFF" w:themeColor="background1"/>
      </w:rPr>
      <w:fldChar w:fldCharType="begin"/>
    </w:r>
    <w:r>
      <w:rPr>
        <w:color w:val="FFFFFF" w:themeColor="background1"/>
      </w:rPr>
      <w:instrText xml:space="preserve"> STYLEREF  Title  \* MERGEFORMAT </w:instrText>
    </w:r>
    <w:r>
      <w:rPr>
        <w:color w:val="FFFFFF" w:themeColor="background1"/>
      </w:rPr>
      <w:fldChar w:fldCharType="separate"/>
    </w:r>
    <w:r w:rsidR="00943CBE" w:rsidRPr="00943CBE">
      <w:rPr>
        <w:b w:val="0"/>
        <w:bCs/>
        <w:noProof/>
        <w:color w:val="FFFFFF" w:themeColor="background1"/>
        <w:lang w:val="en-US"/>
      </w:rPr>
      <w:t>Australian Mental Health Care Classification v1.0</w:t>
    </w:r>
    <w:r>
      <w:rPr>
        <w:color w:val="FFFFFF" w:themeColor="background1"/>
      </w:rPr>
      <w:fldChar w:fldCharType="end"/>
    </w:r>
    <w:r>
      <w:rPr>
        <w:noProof/>
        <w:color w:val="FFFFFF" w:themeColor="background1"/>
      </w:rPr>
      <w:drawing>
        <wp:anchor distT="0" distB="0" distL="114300" distR="114300" simplePos="0" relativeHeight="251659264" behindDoc="1" locked="0" layoutInCell="0" allowOverlap="1" wp14:anchorId="3A6D7DAE" wp14:editId="157B4CFD">
          <wp:simplePos x="0" y="0"/>
          <wp:positionH relativeFrom="page">
            <wp:align>left</wp:align>
          </wp:positionH>
          <wp:positionV relativeFrom="page">
            <wp:align>top</wp:align>
          </wp:positionV>
          <wp:extent cx="60804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943CBE">
      <w:rPr>
        <w:noProof/>
        <w:color w:val="008A00" w:themeColor="accent2"/>
      </w:rPr>
      <w:t>1</w:t>
    </w:r>
    <w:r w:rsidRPr="005F219D">
      <w:rPr>
        <w:noProof/>
        <w:color w:val="008A00" w:themeColor="accent2"/>
      </w:rPr>
      <w:fldChar w:fldCharType="end"/>
    </w:r>
  </w:p>
  <w:p w:rsidR="003C5F02" w:rsidRPr="00D314C0" w:rsidRDefault="003C5F02" w:rsidP="00E63129">
    <w:pPr>
      <w:pStyle w:val="Header"/>
      <w:tabs>
        <w:tab w:val="clear" w:pos="10319"/>
        <w:tab w:val="right" w:pos="9923"/>
      </w:tabs>
      <w:rPr>
        <w:b w:val="0"/>
        <w:color w:val="FFFFFF" w:themeColor="background1"/>
      </w:rPr>
    </w:pPr>
    <w:r w:rsidRPr="00D314C0">
      <w:rPr>
        <w:b w:val="0"/>
        <w:noProof/>
        <w:color w:val="FFFFFF" w:themeColor="background1"/>
      </w:rPr>
      <w:t>User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AD" w:rsidRDefault="00C86AAD" w:rsidP="00E63129">
    <w:pPr>
      <w:pStyle w:val="Header"/>
      <w:tabs>
        <w:tab w:val="clear" w:pos="10319"/>
        <w:tab w:val="left" w:pos="7322"/>
        <w:tab w:val="left" w:pos="9781"/>
        <w:tab w:val="right" w:pos="14459"/>
      </w:tabs>
      <w:rPr>
        <w:noProof/>
        <w:color w:val="008A00" w:themeColor="accent2"/>
      </w:rPr>
    </w:pPr>
    <w:r>
      <w:rPr>
        <w:color w:val="FFFFFF" w:themeColor="background1"/>
      </w:rPr>
      <w:fldChar w:fldCharType="begin"/>
    </w:r>
    <w:r>
      <w:rPr>
        <w:color w:val="FFFFFF" w:themeColor="background1"/>
      </w:rPr>
      <w:instrText xml:space="preserve"> STYLEREF  Title  \* MERGEFORMAT </w:instrText>
    </w:r>
    <w:r>
      <w:rPr>
        <w:color w:val="FFFFFF" w:themeColor="background1"/>
      </w:rPr>
      <w:fldChar w:fldCharType="separate"/>
    </w:r>
    <w:r w:rsidR="00943CBE" w:rsidRPr="00943CBE">
      <w:rPr>
        <w:b w:val="0"/>
        <w:bCs/>
        <w:noProof/>
        <w:color w:val="FFFFFF" w:themeColor="background1"/>
        <w:lang w:val="en-US"/>
      </w:rPr>
      <w:t>Australian Mental Health Care Classification v1.0</w:t>
    </w:r>
    <w:r>
      <w:rPr>
        <w:color w:val="FFFFFF" w:themeColor="background1"/>
      </w:rPr>
      <w:fldChar w:fldCharType="end"/>
    </w:r>
    <w:r>
      <w:rPr>
        <w:noProof/>
        <w:color w:val="FFFFFF" w:themeColor="background1"/>
      </w:rPr>
      <w:drawing>
        <wp:anchor distT="0" distB="0" distL="114300" distR="114300" simplePos="0" relativeHeight="251665408" behindDoc="1" locked="0" layoutInCell="0" allowOverlap="1" wp14:anchorId="16752952" wp14:editId="27BEFEAA">
          <wp:simplePos x="0" y="0"/>
          <wp:positionH relativeFrom="page">
            <wp:align>left</wp:align>
          </wp:positionH>
          <wp:positionV relativeFrom="page">
            <wp:align>top</wp:align>
          </wp:positionV>
          <wp:extent cx="6080400" cy="1011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ab/>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943CBE">
      <w:rPr>
        <w:noProof/>
        <w:color w:val="008A00" w:themeColor="accent2"/>
      </w:rPr>
      <w:t>22</w:t>
    </w:r>
    <w:r w:rsidRPr="005F219D">
      <w:rPr>
        <w:noProof/>
        <w:color w:val="008A00" w:themeColor="accent2"/>
      </w:rPr>
      <w:fldChar w:fldCharType="end"/>
    </w:r>
  </w:p>
  <w:p w:rsidR="003C5F02" w:rsidRPr="00D314C0" w:rsidRDefault="003C5F02" w:rsidP="00E63129">
    <w:pPr>
      <w:pStyle w:val="Header"/>
      <w:tabs>
        <w:tab w:val="clear" w:pos="10319"/>
        <w:tab w:val="left" w:pos="7322"/>
        <w:tab w:val="left" w:pos="9781"/>
        <w:tab w:val="right" w:pos="14459"/>
      </w:tabs>
      <w:rPr>
        <w:b w:val="0"/>
        <w:color w:val="FFFFFF" w:themeColor="background1"/>
      </w:rPr>
    </w:pPr>
    <w:r w:rsidRPr="00D314C0">
      <w:rPr>
        <w:b w:val="0"/>
        <w:noProof/>
        <w:color w:val="FFFFFF" w:themeColor="background1"/>
      </w:rPr>
      <w:t>User Manual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AD" w:rsidRDefault="00C86AAD" w:rsidP="00E63129">
    <w:pPr>
      <w:pStyle w:val="Header"/>
      <w:tabs>
        <w:tab w:val="clear" w:pos="10319"/>
        <w:tab w:val="right" w:pos="9923"/>
        <w:tab w:val="right" w:pos="14175"/>
      </w:tabs>
      <w:ind w:right="373"/>
      <w:rPr>
        <w:noProof/>
        <w:color w:val="008A00" w:themeColor="accent2"/>
      </w:rPr>
    </w:pPr>
    <w:r>
      <w:rPr>
        <w:color w:val="FFFFFF" w:themeColor="background1"/>
      </w:rPr>
      <w:fldChar w:fldCharType="begin"/>
    </w:r>
    <w:r>
      <w:rPr>
        <w:color w:val="FFFFFF" w:themeColor="background1"/>
      </w:rPr>
      <w:instrText xml:space="preserve"> STYLEREF  Title  \* MERGEFORMAT </w:instrText>
    </w:r>
    <w:r>
      <w:rPr>
        <w:color w:val="FFFFFF" w:themeColor="background1"/>
      </w:rPr>
      <w:fldChar w:fldCharType="separate"/>
    </w:r>
    <w:r w:rsidR="00943CBE" w:rsidRPr="00943CBE">
      <w:rPr>
        <w:b w:val="0"/>
        <w:bCs/>
        <w:noProof/>
        <w:color w:val="FFFFFF" w:themeColor="background1"/>
        <w:lang w:val="en-US"/>
      </w:rPr>
      <w:t>Australian Mental Health Care Classification v1.0</w:t>
    </w:r>
    <w:r>
      <w:rPr>
        <w:color w:val="FFFFFF" w:themeColor="background1"/>
      </w:rPr>
      <w:fldChar w:fldCharType="end"/>
    </w:r>
    <w:r>
      <w:rPr>
        <w:noProof/>
        <w:color w:val="FFFFFF" w:themeColor="background1"/>
      </w:rPr>
      <w:drawing>
        <wp:anchor distT="0" distB="0" distL="114300" distR="114300" simplePos="0" relativeHeight="251667456" behindDoc="1" locked="0" layoutInCell="0" allowOverlap="1" wp14:anchorId="4DB383C7" wp14:editId="7AD33D0F">
          <wp:simplePos x="0" y="0"/>
          <wp:positionH relativeFrom="page">
            <wp:align>left</wp:align>
          </wp:positionH>
          <wp:positionV relativeFrom="page">
            <wp:align>top</wp:align>
          </wp:positionV>
          <wp:extent cx="6080400" cy="1011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943CBE">
      <w:rPr>
        <w:noProof/>
        <w:color w:val="008A00" w:themeColor="accent2"/>
      </w:rPr>
      <w:t>26</w:t>
    </w:r>
    <w:r w:rsidRPr="005F219D">
      <w:rPr>
        <w:noProof/>
        <w:color w:val="008A00" w:themeColor="accent2"/>
      </w:rPr>
      <w:fldChar w:fldCharType="end"/>
    </w:r>
  </w:p>
  <w:p w:rsidR="003C5F02" w:rsidRPr="00D314C0" w:rsidRDefault="003C5F02" w:rsidP="00E63129">
    <w:pPr>
      <w:pStyle w:val="Header"/>
      <w:tabs>
        <w:tab w:val="clear" w:pos="10319"/>
        <w:tab w:val="right" w:pos="9923"/>
        <w:tab w:val="right" w:pos="14175"/>
      </w:tabs>
      <w:ind w:right="373"/>
      <w:rPr>
        <w:b w:val="0"/>
        <w:color w:val="FFFFFF" w:themeColor="background1"/>
      </w:rPr>
    </w:pPr>
    <w:r w:rsidRPr="00D314C0">
      <w:rPr>
        <w:b w:val="0"/>
        <w:noProof/>
        <w:color w:val="FFFFFF" w:themeColor="background1"/>
      </w:rPr>
      <w:t>User Manual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AD" w:rsidRDefault="00C86AAD" w:rsidP="00E63129">
    <w:pPr>
      <w:pStyle w:val="Header"/>
      <w:tabs>
        <w:tab w:val="clear" w:pos="10319"/>
        <w:tab w:val="right" w:pos="14459"/>
      </w:tabs>
      <w:rPr>
        <w:noProof/>
        <w:color w:val="008A00" w:themeColor="accent2"/>
      </w:rPr>
    </w:pPr>
    <w:r>
      <w:rPr>
        <w:color w:val="FFFFFF" w:themeColor="background1"/>
      </w:rPr>
      <w:fldChar w:fldCharType="begin"/>
    </w:r>
    <w:r>
      <w:rPr>
        <w:color w:val="FFFFFF" w:themeColor="background1"/>
      </w:rPr>
      <w:instrText xml:space="preserve"> STYLEREF  Title  \* MERGEFORMAT </w:instrText>
    </w:r>
    <w:r>
      <w:rPr>
        <w:color w:val="FFFFFF" w:themeColor="background1"/>
      </w:rPr>
      <w:fldChar w:fldCharType="separate"/>
    </w:r>
    <w:r w:rsidR="00943CBE" w:rsidRPr="00943CBE">
      <w:rPr>
        <w:b w:val="0"/>
        <w:bCs/>
        <w:noProof/>
        <w:color w:val="FFFFFF" w:themeColor="background1"/>
        <w:lang w:val="en-US"/>
      </w:rPr>
      <w:t>Australian Mental Health Care Classification v1.0</w:t>
    </w:r>
    <w:r>
      <w:rPr>
        <w:color w:val="FFFFFF" w:themeColor="background1"/>
      </w:rPr>
      <w:fldChar w:fldCharType="end"/>
    </w:r>
    <w:r>
      <w:rPr>
        <w:noProof/>
        <w:color w:val="FFFFFF" w:themeColor="background1"/>
      </w:rPr>
      <w:drawing>
        <wp:anchor distT="0" distB="0" distL="114300" distR="114300" simplePos="0" relativeHeight="251661312" behindDoc="1" locked="0" layoutInCell="0" allowOverlap="1" wp14:anchorId="2A6CB955" wp14:editId="280EB757">
          <wp:simplePos x="0" y="0"/>
          <wp:positionH relativeFrom="page">
            <wp:align>left</wp:align>
          </wp:positionH>
          <wp:positionV relativeFrom="page">
            <wp:align>top</wp:align>
          </wp:positionV>
          <wp:extent cx="6080400" cy="1011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943CBE">
      <w:rPr>
        <w:noProof/>
        <w:color w:val="008A00" w:themeColor="accent2"/>
      </w:rPr>
      <w:t>35</w:t>
    </w:r>
    <w:r w:rsidRPr="005F219D">
      <w:rPr>
        <w:noProof/>
        <w:color w:val="008A00" w:themeColor="accent2"/>
      </w:rPr>
      <w:fldChar w:fldCharType="end"/>
    </w:r>
  </w:p>
  <w:p w:rsidR="003C5F02" w:rsidRPr="00D314C0" w:rsidRDefault="003C5F02" w:rsidP="00E63129">
    <w:pPr>
      <w:pStyle w:val="Header"/>
      <w:tabs>
        <w:tab w:val="clear" w:pos="10319"/>
        <w:tab w:val="right" w:pos="14459"/>
      </w:tabs>
      <w:rPr>
        <w:b w:val="0"/>
        <w:noProof/>
        <w:color w:val="FFFFFF" w:themeColor="background1"/>
      </w:rPr>
    </w:pPr>
    <w:r w:rsidRPr="00D314C0">
      <w:rPr>
        <w:b w:val="0"/>
        <w:noProof/>
        <w:color w:val="FFFFFF" w:themeColor="background1"/>
      </w:rPr>
      <w:t>User Manual</w:t>
    </w:r>
  </w:p>
  <w:p w:rsidR="00C86AAD" w:rsidRDefault="00C86AAD" w:rsidP="00A85487">
    <w:pPr>
      <w:pStyle w:val="Header"/>
      <w:tabs>
        <w:tab w:val="clear" w:pos="10319"/>
        <w:tab w:val="left" w:pos="9814"/>
        <w:tab w:val="right" w:pos="9923"/>
      </w:tabs>
      <w:rPr>
        <w:noProof/>
        <w:color w:val="008A00" w:themeColor="accent2"/>
      </w:rPr>
    </w:pPr>
  </w:p>
  <w:p w:rsidR="00C86AAD" w:rsidRDefault="00C86AAD" w:rsidP="00A85487">
    <w:pPr>
      <w:pStyle w:val="Header"/>
      <w:tabs>
        <w:tab w:val="clear" w:pos="10319"/>
        <w:tab w:val="left" w:pos="9814"/>
        <w:tab w:val="right" w:pos="9923"/>
      </w:tabs>
      <w:rPr>
        <w:noProof/>
        <w:color w:val="008A00" w:themeColor="accent2"/>
      </w:rPr>
    </w:pPr>
  </w:p>
  <w:p w:rsidR="00C86AAD" w:rsidRDefault="00C86AAD" w:rsidP="00A85487">
    <w:pPr>
      <w:pStyle w:val="Header"/>
      <w:tabs>
        <w:tab w:val="clear" w:pos="10319"/>
        <w:tab w:val="left" w:pos="9814"/>
        <w:tab w:val="right" w:pos="9923"/>
      </w:tabs>
      <w:rPr>
        <w:color w:val="008A00" w:themeColor="accent2"/>
      </w:rPr>
    </w:pPr>
  </w:p>
  <w:p w:rsidR="00C86AAD" w:rsidRPr="005F219D" w:rsidRDefault="00C86AAD" w:rsidP="00A85487">
    <w:pPr>
      <w:pStyle w:val="Header"/>
      <w:tabs>
        <w:tab w:val="clear" w:pos="10319"/>
        <w:tab w:val="left" w:pos="9814"/>
        <w:tab w:val="right" w:pos="9923"/>
      </w:tabs>
      <w:rPr>
        <w:color w:val="008A00" w:themeColor="accent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AD" w:rsidRDefault="00C86AAD" w:rsidP="00727848">
    <w:pPr>
      <w:pStyle w:val="Header"/>
      <w:tabs>
        <w:tab w:val="clear" w:pos="10319"/>
        <w:tab w:val="right" w:pos="9923"/>
        <w:tab w:val="right" w:pos="13750"/>
      </w:tabs>
      <w:rPr>
        <w:noProof/>
        <w:color w:val="008A00" w:themeColor="accent2"/>
      </w:rPr>
    </w:pPr>
    <w:r>
      <w:rPr>
        <w:color w:val="FFFFFF" w:themeColor="background1"/>
      </w:rPr>
      <w:fldChar w:fldCharType="begin"/>
    </w:r>
    <w:r>
      <w:rPr>
        <w:color w:val="FFFFFF" w:themeColor="background1"/>
      </w:rPr>
      <w:instrText xml:space="preserve"> STYLEREF  Title  \* MERGEFORMAT </w:instrText>
    </w:r>
    <w:r>
      <w:rPr>
        <w:color w:val="FFFFFF" w:themeColor="background1"/>
      </w:rPr>
      <w:fldChar w:fldCharType="separate"/>
    </w:r>
    <w:r w:rsidR="00943CBE" w:rsidRPr="00943CBE">
      <w:rPr>
        <w:b w:val="0"/>
        <w:bCs/>
        <w:noProof/>
        <w:color w:val="FFFFFF" w:themeColor="background1"/>
        <w:lang w:val="en-US"/>
      </w:rPr>
      <w:t>Australian Mental Health Care Classification v1.0</w:t>
    </w:r>
    <w:r>
      <w:rPr>
        <w:color w:val="FFFFFF" w:themeColor="background1"/>
      </w:rPr>
      <w:fldChar w:fldCharType="end"/>
    </w:r>
    <w:r>
      <w:rPr>
        <w:noProof/>
        <w:color w:val="FFFFFF" w:themeColor="background1"/>
      </w:rPr>
      <w:drawing>
        <wp:anchor distT="0" distB="0" distL="114300" distR="114300" simplePos="0" relativeHeight="251663360" behindDoc="1" locked="0" layoutInCell="0" allowOverlap="1" wp14:anchorId="475CF06A" wp14:editId="537FFA22">
          <wp:simplePos x="0" y="0"/>
          <wp:positionH relativeFrom="page">
            <wp:align>left</wp:align>
          </wp:positionH>
          <wp:positionV relativeFrom="page">
            <wp:align>top</wp:align>
          </wp:positionV>
          <wp:extent cx="6080400" cy="10116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943CBE">
      <w:rPr>
        <w:noProof/>
        <w:color w:val="008A00" w:themeColor="accent2"/>
      </w:rPr>
      <w:t>0</w:t>
    </w:r>
    <w:r w:rsidRPr="005F219D">
      <w:rPr>
        <w:noProof/>
        <w:color w:val="008A00" w:themeColor="accent2"/>
      </w:rPr>
      <w:fldChar w:fldCharType="end"/>
    </w:r>
  </w:p>
  <w:p w:rsidR="003C5F02" w:rsidRPr="00D314C0" w:rsidRDefault="003C5F02" w:rsidP="00727848">
    <w:pPr>
      <w:pStyle w:val="Header"/>
      <w:tabs>
        <w:tab w:val="clear" w:pos="10319"/>
        <w:tab w:val="right" w:pos="9923"/>
        <w:tab w:val="right" w:pos="13750"/>
      </w:tabs>
      <w:rPr>
        <w:b w:val="0"/>
        <w:noProof/>
        <w:color w:val="FFFFFF" w:themeColor="background1"/>
      </w:rPr>
    </w:pPr>
    <w:r w:rsidRPr="00D314C0">
      <w:rPr>
        <w:b w:val="0"/>
        <w:noProof/>
        <w:color w:val="FFFFFF" w:themeColor="background1"/>
      </w:rPr>
      <w:t>User Manual</w:t>
    </w:r>
  </w:p>
  <w:p w:rsidR="00C86AAD" w:rsidRDefault="00C86AAD" w:rsidP="00A85487">
    <w:pPr>
      <w:pStyle w:val="Header"/>
      <w:tabs>
        <w:tab w:val="clear" w:pos="10319"/>
        <w:tab w:val="left" w:pos="9814"/>
        <w:tab w:val="right" w:pos="9923"/>
      </w:tabs>
      <w:rPr>
        <w:noProof/>
        <w:color w:val="008A00" w:themeColor="accent2"/>
      </w:rPr>
    </w:pPr>
  </w:p>
  <w:p w:rsidR="00C86AAD" w:rsidRDefault="00C86AAD" w:rsidP="00A85487">
    <w:pPr>
      <w:pStyle w:val="Header"/>
      <w:tabs>
        <w:tab w:val="clear" w:pos="10319"/>
        <w:tab w:val="left" w:pos="9814"/>
        <w:tab w:val="right" w:pos="9923"/>
      </w:tabs>
      <w:rPr>
        <w:noProof/>
        <w:color w:val="008A00" w:themeColor="accent2"/>
      </w:rPr>
    </w:pPr>
  </w:p>
  <w:p w:rsidR="00C86AAD" w:rsidRDefault="00C86AAD" w:rsidP="00A85487">
    <w:pPr>
      <w:pStyle w:val="Header"/>
      <w:tabs>
        <w:tab w:val="clear" w:pos="10319"/>
        <w:tab w:val="left" w:pos="9814"/>
        <w:tab w:val="right" w:pos="9923"/>
      </w:tabs>
      <w:rPr>
        <w:color w:val="008A00" w:themeColor="accent2"/>
      </w:rPr>
    </w:pPr>
  </w:p>
  <w:p w:rsidR="00C86AAD" w:rsidRPr="005F219D" w:rsidRDefault="00C86AAD" w:rsidP="00A85487">
    <w:pPr>
      <w:pStyle w:val="Header"/>
      <w:tabs>
        <w:tab w:val="clear" w:pos="10319"/>
        <w:tab w:val="left" w:pos="9814"/>
        <w:tab w:val="right" w:pos="9923"/>
      </w:tabs>
      <w:rPr>
        <w:color w:val="008A00" w:themeColor="accent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00E95A"/>
    <w:lvl w:ilvl="0">
      <w:start w:val="1"/>
      <w:numFmt w:val="decimal"/>
      <w:lvlText w:val="%1."/>
      <w:lvlJc w:val="left"/>
      <w:pPr>
        <w:tabs>
          <w:tab w:val="num" w:pos="1492"/>
        </w:tabs>
        <w:ind w:left="1492" w:hanging="360"/>
      </w:pPr>
    </w:lvl>
  </w:abstractNum>
  <w:abstractNum w:abstractNumId="1">
    <w:nsid w:val="FFFFFF7D"/>
    <w:multiLevelType w:val="singleLevel"/>
    <w:tmpl w:val="9904C200"/>
    <w:lvl w:ilvl="0">
      <w:start w:val="1"/>
      <w:numFmt w:val="decimal"/>
      <w:lvlText w:val="%1."/>
      <w:lvlJc w:val="left"/>
      <w:pPr>
        <w:tabs>
          <w:tab w:val="num" w:pos="1209"/>
        </w:tabs>
        <w:ind w:left="1209" w:hanging="360"/>
      </w:pPr>
    </w:lvl>
  </w:abstractNum>
  <w:abstractNum w:abstractNumId="2">
    <w:nsid w:val="FFFFFF7E"/>
    <w:multiLevelType w:val="singleLevel"/>
    <w:tmpl w:val="31BA3822"/>
    <w:lvl w:ilvl="0">
      <w:start w:val="1"/>
      <w:numFmt w:val="decimal"/>
      <w:lvlText w:val="%1."/>
      <w:lvlJc w:val="left"/>
      <w:pPr>
        <w:tabs>
          <w:tab w:val="num" w:pos="926"/>
        </w:tabs>
        <w:ind w:left="926" w:hanging="360"/>
      </w:pPr>
    </w:lvl>
  </w:abstractNum>
  <w:abstractNum w:abstractNumId="3">
    <w:nsid w:val="FFFFFF7F"/>
    <w:multiLevelType w:val="singleLevel"/>
    <w:tmpl w:val="93FC95F6"/>
    <w:lvl w:ilvl="0">
      <w:start w:val="1"/>
      <w:numFmt w:val="decimal"/>
      <w:lvlText w:val="%1."/>
      <w:lvlJc w:val="left"/>
      <w:pPr>
        <w:tabs>
          <w:tab w:val="num" w:pos="643"/>
        </w:tabs>
        <w:ind w:left="643" w:hanging="360"/>
      </w:pPr>
    </w:lvl>
  </w:abstractNum>
  <w:abstractNum w:abstractNumId="4">
    <w:nsid w:val="FFFFFF80"/>
    <w:multiLevelType w:val="singleLevel"/>
    <w:tmpl w:val="C7B4FF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C2A9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A497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AC85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323D82"/>
    <w:lvl w:ilvl="0">
      <w:start w:val="1"/>
      <w:numFmt w:val="decimal"/>
      <w:lvlText w:val="%1."/>
      <w:lvlJc w:val="left"/>
      <w:pPr>
        <w:tabs>
          <w:tab w:val="num" w:pos="360"/>
        </w:tabs>
        <w:ind w:left="360" w:hanging="360"/>
      </w:pPr>
    </w:lvl>
  </w:abstractNum>
  <w:abstractNum w:abstractNumId="9">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CC4E9F"/>
    <w:multiLevelType w:val="hybridMultilevel"/>
    <w:tmpl w:val="CB8433D8"/>
    <w:lvl w:ilvl="0" w:tplc="391445AC">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2A8698F"/>
    <w:multiLevelType w:val="hybridMultilevel"/>
    <w:tmpl w:val="C8A62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1152C2"/>
    <w:multiLevelType w:val="hybridMultilevel"/>
    <w:tmpl w:val="2C342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5A04C57"/>
    <w:multiLevelType w:val="hybridMultilevel"/>
    <w:tmpl w:val="B5CAB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0049B2"/>
    <w:multiLevelType w:val="hybridMultilevel"/>
    <w:tmpl w:val="E1204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F84A65"/>
    <w:multiLevelType w:val="hybridMultilevel"/>
    <w:tmpl w:val="7C16DE9C"/>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FBA417B"/>
    <w:multiLevelType w:val="hybridMultilevel"/>
    <w:tmpl w:val="A3A81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EA59B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4A675DD"/>
    <w:multiLevelType w:val="hybridMultilevel"/>
    <w:tmpl w:val="E078D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667EB4"/>
    <w:multiLevelType w:val="hybridMultilevel"/>
    <w:tmpl w:val="23443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C17DB5"/>
    <w:multiLevelType w:val="hybridMultilevel"/>
    <w:tmpl w:val="964A4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E87C9A"/>
    <w:multiLevelType w:val="hybridMultilevel"/>
    <w:tmpl w:val="45344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6016934"/>
    <w:multiLevelType w:val="hybridMultilevel"/>
    <w:tmpl w:val="A10AA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C1524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C397ACE"/>
    <w:multiLevelType w:val="hybridMultilevel"/>
    <w:tmpl w:val="F0404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A14860"/>
    <w:multiLevelType w:val="hybridMultilevel"/>
    <w:tmpl w:val="78BC4D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6E493E"/>
    <w:multiLevelType w:val="hybridMultilevel"/>
    <w:tmpl w:val="F752A17C"/>
    <w:lvl w:ilvl="0" w:tplc="B6DA4A4A">
      <w:start w:val="1"/>
      <w:numFmt w:val="decimal"/>
      <w:lvlText w:val="%1."/>
      <w:lvlJc w:val="left"/>
      <w:pPr>
        <w:ind w:left="360" w:hanging="360"/>
      </w:pPr>
      <w:rPr>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566C33A6"/>
    <w:multiLevelType w:val="hybridMultilevel"/>
    <w:tmpl w:val="4832F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7E6A07"/>
    <w:multiLevelType w:val="hybridMultilevel"/>
    <w:tmpl w:val="A26EE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672E53"/>
    <w:multiLevelType w:val="hybridMultilevel"/>
    <w:tmpl w:val="C5CEF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075071"/>
    <w:multiLevelType w:val="hybridMultilevel"/>
    <w:tmpl w:val="69820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A45858"/>
    <w:multiLevelType w:val="hybridMultilevel"/>
    <w:tmpl w:val="0114C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D6C0E1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0345306"/>
    <w:multiLevelType w:val="hybridMultilevel"/>
    <w:tmpl w:val="9A4AA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07E52B9"/>
    <w:multiLevelType w:val="hybridMultilevel"/>
    <w:tmpl w:val="8B165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B421AA"/>
    <w:multiLevelType w:val="hybridMultilevel"/>
    <w:tmpl w:val="7D742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33"/>
  </w:num>
  <w:num w:numId="14">
    <w:abstractNumId w:val="17"/>
  </w:num>
  <w:num w:numId="15">
    <w:abstractNumId w:val="35"/>
  </w:num>
  <w:num w:numId="16">
    <w:abstractNumId w:val="13"/>
  </w:num>
  <w:num w:numId="17">
    <w:abstractNumId w:val="11"/>
  </w:num>
  <w:num w:numId="18">
    <w:abstractNumId w:val="19"/>
  </w:num>
  <w:num w:numId="19">
    <w:abstractNumId w:val="30"/>
  </w:num>
  <w:num w:numId="20">
    <w:abstractNumId w:val="34"/>
  </w:num>
  <w:num w:numId="21">
    <w:abstractNumId w:val="31"/>
  </w:num>
  <w:num w:numId="22">
    <w:abstractNumId w:val="16"/>
  </w:num>
  <w:num w:numId="23">
    <w:abstractNumId w:val="14"/>
  </w:num>
  <w:num w:numId="24">
    <w:abstractNumId w:val="36"/>
  </w:num>
  <w:num w:numId="25">
    <w:abstractNumId w:val="28"/>
  </w:num>
  <w:num w:numId="26">
    <w:abstractNumId w:val="32"/>
  </w:num>
  <w:num w:numId="27">
    <w:abstractNumId w:val="20"/>
  </w:num>
  <w:num w:numId="28">
    <w:abstractNumId w:val="23"/>
  </w:num>
  <w:num w:numId="29">
    <w:abstractNumId w:val="18"/>
  </w:num>
  <w:num w:numId="30">
    <w:abstractNumId w:val="12"/>
  </w:num>
  <w:num w:numId="31">
    <w:abstractNumId w:val="27"/>
  </w:num>
  <w:num w:numId="32">
    <w:abstractNumId w:val="26"/>
  </w:num>
  <w:num w:numId="33">
    <w:abstractNumId w:val="15"/>
  </w:num>
  <w:num w:numId="34">
    <w:abstractNumId w:val="29"/>
  </w:num>
  <w:num w:numId="35">
    <w:abstractNumId w:val="10"/>
  </w:num>
  <w:num w:numId="36">
    <w:abstractNumId w:val="25"/>
  </w:num>
  <w:num w:numId="3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37"/>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36"/>
    <w:rsid w:val="00003342"/>
    <w:rsid w:val="00005785"/>
    <w:rsid w:val="00006876"/>
    <w:rsid w:val="000079AD"/>
    <w:rsid w:val="00007D1F"/>
    <w:rsid w:val="00010D84"/>
    <w:rsid w:val="00010F15"/>
    <w:rsid w:val="00011CE3"/>
    <w:rsid w:val="00022E9C"/>
    <w:rsid w:val="00024EF0"/>
    <w:rsid w:val="00025631"/>
    <w:rsid w:val="00027B26"/>
    <w:rsid w:val="00030705"/>
    <w:rsid w:val="00032861"/>
    <w:rsid w:val="00032B77"/>
    <w:rsid w:val="00042285"/>
    <w:rsid w:val="0004325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80A09"/>
    <w:rsid w:val="00081CEB"/>
    <w:rsid w:val="00083082"/>
    <w:rsid w:val="00087B2C"/>
    <w:rsid w:val="00087DBD"/>
    <w:rsid w:val="000902F7"/>
    <w:rsid w:val="00090718"/>
    <w:rsid w:val="00091B4E"/>
    <w:rsid w:val="00091CD7"/>
    <w:rsid w:val="00093DD5"/>
    <w:rsid w:val="000A03DD"/>
    <w:rsid w:val="000A1A09"/>
    <w:rsid w:val="000A47A8"/>
    <w:rsid w:val="000A73FB"/>
    <w:rsid w:val="000B218A"/>
    <w:rsid w:val="000B6AE8"/>
    <w:rsid w:val="000C014D"/>
    <w:rsid w:val="000C29B4"/>
    <w:rsid w:val="000C5CD8"/>
    <w:rsid w:val="000C7A69"/>
    <w:rsid w:val="000D1158"/>
    <w:rsid w:val="000D4703"/>
    <w:rsid w:val="000E12D4"/>
    <w:rsid w:val="000E39EF"/>
    <w:rsid w:val="000E620E"/>
    <w:rsid w:val="000F2063"/>
    <w:rsid w:val="000F3D28"/>
    <w:rsid w:val="000F63C4"/>
    <w:rsid w:val="00100200"/>
    <w:rsid w:val="0010263D"/>
    <w:rsid w:val="00102824"/>
    <w:rsid w:val="0010300A"/>
    <w:rsid w:val="001131F0"/>
    <w:rsid w:val="001139C7"/>
    <w:rsid w:val="00114EBC"/>
    <w:rsid w:val="0012427E"/>
    <w:rsid w:val="001247E0"/>
    <w:rsid w:val="00126750"/>
    <w:rsid w:val="001271A1"/>
    <w:rsid w:val="00131C0F"/>
    <w:rsid w:val="001325BF"/>
    <w:rsid w:val="00132F0D"/>
    <w:rsid w:val="00133713"/>
    <w:rsid w:val="00135B7E"/>
    <w:rsid w:val="00140FC9"/>
    <w:rsid w:val="001413C5"/>
    <w:rsid w:val="0014231B"/>
    <w:rsid w:val="00142956"/>
    <w:rsid w:val="00142D10"/>
    <w:rsid w:val="00144868"/>
    <w:rsid w:val="001452BC"/>
    <w:rsid w:val="00150D2A"/>
    <w:rsid w:val="00150E25"/>
    <w:rsid w:val="00150EA9"/>
    <w:rsid w:val="00151650"/>
    <w:rsid w:val="00152624"/>
    <w:rsid w:val="00154D81"/>
    <w:rsid w:val="00155B98"/>
    <w:rsid w:val="00157001"/>
    <w:rsid w:val="00157709"/>
    <w:rsid w:val="00160E91"/>
    <w:rsid w:val="00165626"/>
    <w:rsid w:val="00167CF4"/>
    <w:rsid w:val="0017147C"/>
    <w:rsid w:val="0017194E"/>
    <w:rsid w:val="0017249B"/>
    <w:rsid w:val="00177EC4"/>
    <w:rsid w:val="00181533"/>
    <w:rsid w:val="001824C8"/>
    <w:rsid w:val="00182698"/>
    <w:rsid w:val="001864FD"/>
    <w:rsid w:val="001868C2"/>
    <w:rsid w:val="001904F9"/>
    <w:rsid w:val="001943DD"/>
    <w:rsid w:val="00196BAC"/>
    <w:rsid w:val="001A13F6"/>
    <w:rsid w:val="001A2D6E"/>
    <w:rsid w:val="001A2D78"/>
    <w:rsid w:val="001A7249"/>
    <w:rsid w:val="001B385A"/>
    <w:rsid w:val="001B3904"/>
    <w:rsid w:val="001B3AEC"/>
    <w:rsid w:val="001B3E8D"/>
    <w:rsid w:val="001B5259"/>
    <w:rsid w:val="001B60D4"/>
    <w:rsid w:val="001B6F28"/>
    <w:rsid w:val="001C4F4F"/>
    <w:rsid w:val="001C6BA1"/>
    <w:rsid w:val="001D141C"/>
    <w:rsid w:val="001D2904"/>
    <w:rsid w:val="001D652D"/>
    <w:rsid w:val="001D693F"/>
    <w:rsid w:val="001D6F9E"/>
    <w:rsid w:val="001E38FB"/>
    <w:rsid w:val="001E52C2"/>
    <w:rsid w:val="001F0BE1"/>
    <w:rsid w:val="001F101A"/>
    <w:rsid w:val="001F24EF"/>
    <w:rsid w:val="001F56C7"/>
    <w:rsid w:val="00203039"/>
    <w:rsid w:val="00204B17"/>
    <w:rsid w:val="002069D2"/>
    <w:rsid w:val="00211DA2"/>
    <w:rsid w:val="002129C0"/>
    <w:rsid w:val="00213693"/>
    <w:rsid w:val="00215CCB"/>
    <w:rsid w:val="00216CF5"/>
    <w:rsid w:val="0022037B"/>
    <w:rsid w:val="00222C8D"/>
    <w:rsid w:val="002256A8"/>
    <w:rsid w:val="00230E6B"/>
    <w:rsid w:val="00232B97"/>
    <w:rsid w:val="0023523A"/>
    <w:rsid w:val="0023757C"/>
    <w:rsid w:val="00237C47"/>
    <w:rsid w:val="002402E4"/>
    <w:rsid w:val="002421A0"/>
    <w:rsid w:val="00242B98"/>
    <w:rsid w:val="002445A1"/>
    <w:rsid w:val="00246FE6"/>
    <w:rsid w:val="002470E3"/>
    <w:rsid w:val="0025207D"/>
    <w:rsid w:val="00254DE9"/>
    <w:rsid w:val="002615D3"/>
    <w:rsid w:val="002672F1"/>
    <w:rsid w:val="00271414"/>
    <w:rsid w:val="00271922"/>
    <w:rsid w:val="00273412"/>
    <w:rsid w:val="0027373F"/>
    <w:rsid w:val="00274ACF"/>
    <w:rsid w:val="00275407"/>
    <w:rsid w:val="0028159B"/>
    <w:rsid w:val="00282671"/>
    <w:rsid w:val="00282861"/>
    <w:rsid w:val="002843E2"/>
    <w:rsid w:val="00287BAA"/>
    <w:rsid w:val="00293489"/>
    <w:rsid w:val="00296F5E"/>
    <w:rsid w:val="002A30F0"/>
    <w:rsid w:val="002A4C1B"/>
    <w:rsid w:val="002A6DF5"/>
    <w:rsid w:val="002B6406"/>
    <w:rsid w:val="002B6809"/>
    <w:rsid w:val="002C4231"/>
    <w:rsid w:val="002C4955"/>
    <w:rsid w:val="002C7080"/>
    <w:rsid w:val="002D00B0"/>
    <w:rsid w:val="002D2364"/>
    <w:rsid w:val="002D2E16"/>
    <w:rsid w:val="002E45F0"/>
    <w:rsid w:val="002E7778"/>
    <w:rsid w:val="0030300D"/>
    <w:rsid w:val="00304B3E"/>
    <w:rsid w:val="00304D97"/>
    <w:rsid w:val="0031180A"/>
    <w:rsid w:val="00313127"/>
    <w:rsid w:val="00313304"/>
    <w:rsid w:val="003155F4"/>
    <w:rsid w:val="003157C9"/>
    <w:rsid w:val="00320309"/>
    <w:rsid w:val="00321D1E"/>
    <w:rsid w:val="0032530E"/>
    <w:rsid w:val="00325A61"/>
    <w:rsid w:val="00326976"/>
    <w:rsid w:val="003311D7"/>
    <w:rsid w:val="00332B8B"/>
    <w:rsid w:val="0033521E"/>
    <w:rsid w:val="00337CA2"/>
    <w:rsid w:val="003404A4"/>
    <w:rsid w:val="00347104"/>
    <w:rsid w:val="00350852"/>
    <w:rsid w:val="0035096E"/>
    <w:rsid w:val="0035219F"/>
    <w:rsid w:val="00355D01"/>
    <w:rsid w:val="00356C24"/>
    <w:rsid w:val="00360B81"/>
    <w:rsid w:val="00366283"/>
    <w:rsid w:val="0036708F"/>
    <w:rsid w:val="0036777E"/>
    <w:rsid w:val="003701FA"/>
    <w:rsid w:val="00371985"/>
    <w:rsid w:val="00372A26"/>
    <w:rsid w:val="0037484C"/>
    <w:rsid w:val="003749CD"/>
    <w:rsid w:val="00374A6C"/>
    <w:rsid w:val="00382718"/>
    <w:rsid w:val="00382B3B"/>
    <w:rsid w:val="00385ED2"/>
    <w:rsid w:val="00391F86"/>
    <w:rsid w:val="003923FB"/>
    <w:rsid w:val="00393F00"/>
    <w:rsid w:val="003945C0"/>
    <w:rsid w:val="003A25A7"/>
    <w:rsid w:val="003B465D"/>
    <w:rsid w:val="003B535C"/>
    <w:rsid w:val="003C032F"/>
    <w:rsid w:val="003C2120"/>
    <w:rsid w:val="003C487F"/>
    <w:rsid w:val="003C5F02"/>
    <w:rsid w:val="003D030E"/>
    <w:rsid w:val="003D040D"/>
    <w:rsid w:val="003D1F49"/>
    <w:rsid w:val="003D2061"/>
    <w:rsid w:val="003E1FE3"/>
    <w:rsid w:val="003E32A7"/>
    <w:rsid w:val="003F1A33"/>
    <w:rsid w:val="003F3072"/>
    <w:rsid w:val="004024E4"/>
    <w:rsid w:val="00406289"/>
    <w:rsid w:val="00406578"/>
    <w:rsid w:val="004074EF"/>
    <w:rsid w:val="004102C3"/>
    <w:rsid w:val="0041307C"/>
    <w:rsid w:val="00413699"/>
    <w:rsid w:val="004167B4"/>
    <w:rsid w:val="004167BC"/>
    <w:rsid w:val="0042032D"/>
    <w:rsid w:val="004225DC"/>
    <w:rsid w:val="00423A41"/>
    <w:rsid w:val="00425FBA"/>
    <w:rsid w:val="00430D7E"/>
    <w:rsid w:val="00432332"/>
    <w:rsid w:val="00432368"/>
    <w:rsid w:val="00433B04"/>
    <w:rsid w:val="0043784D"/>
    <w:rsid w:val="00440256"/>
    <w:rsid w:val="00440E22"/>
    <w:rsid w:val="0044547D"/>
    <w:rsid w:val="00446F93"/>
    <w:rsid w:val="00451A74"/>
    <w:rsid w:val="004552AB"/>
    <w:rsid w:val="0045622C"/>
    <w:rsid w:val="00464FB1"/>
    <w:rsid w:val="00467185"/>
    <w:rsid w:val="00467736"/>
    <w:rsid w:val="0047050C"/>
    <w:rsid w:val="00474280"/>
    <w:rsid w:val="004750DB"/>
    <w:rsid w:val="0047601C"/>
    <w:rsid w:val="00480F21"/>
    <w:rsid w:val="0048108E"/>
    <w:rsid w:val="0048537F"/>
    <w:rsid w:val="004874E5"/>
    <w:rsid w:val="00487885"/>
    <w:rsid w:val="00490A65"/>
    <w:rsid w:val="0049116C"/>
    <w:rsid w:val="004930C9"/>
    <w:rsid w:val="00493F62"/>
    <w:rsid w:val="00494832"/>
    <w:rsid w:val="004957C2"/>
    <w:rsid w:val="00495AF1"/>
    <w:rsid w:val="00497A89"/>
    <w:rsid w:val="004A4CED"/>
    <w:rsid w:val="004A6BE6"/>
    <w:rsid w:val="004B0828"/>
    <w:rsid w:val="004B3304"/>
    <w:rsid w:val="004B3DF1"/>
    <w:rsid w:val="004B4BC0"/>
    <w:rsid w:val="004B5555"/>
    <w:rsid w:val="004C0484"/>
    <w:rsid w:val="004C777E"/>
    <w:rsid w:val="004D16A4"/>
    <w:rsid w:val="004E6682"/>
    <w:rsid w:val="004E6D8A"/>
    <w:rsid w:val="004F15EF"/>
    <w:rsid w:val="004F22FE"/>
    <w:rsid w:val="004F774D"/>
    <w:rsid w:val="005013B0"/>
    <w:rsid w:val="005015E4"/>
    <w:rsid w:val="005017A6"/>
    <w:rsid w:val="0050291D"/>
    <w:rsid w:val="005064CD"/>
    <w:rsid w:val="00506C00"/>
    <w:rsid w:val="00511016"/>
    <w:rsid w:val="005159B3"/>
    <w:rsid w:val="00522C03"/>
    <w:rsid w:val="00525EA4"/>
    <w:rsid w:val="0052791F"/>
    <w:rsid w:val="00532CFF"/>
    <w:rsid w:val="00536880"/>
    <w:rsid w:val="00540AD0"/>
    <w:rsid w:val="00543A76"/>
    <w:rsid w:val="005523D1"/>
    <w:rsid w:val="0055532E"/>
    <w:rsid w:val="00555BC3"/>
    <w:rsid w:val="0055691C"/>
    <w:rsid w:val="00557C8E"/>
    <w:rsid w:val="00561B2B"/>
    <w:rsid w:val="0056357E"/>
    <w:rsid w:val="00564952"/>
    <w:rsid w:val="00571AB1"/>
    <w:rsid w:val="005731C7"/>
    <w:rsid w:val="00577E1C"/>
    <w:rsid w:val="00580DB1"/>
    <w:rsid w:val="005814AC"/>
    <w:rsid w:val="00584676"/>
    <w:rsid w:val="005854B7"/>
    <w:rsid w:val="00587AB1"/>
    <w:rsid w:val="0059070B"/>
    <w:rsid w:val="0059283C"/>
    <w:rsid w:val="005A0D95"/>
    <w:rsid w:val="005A224B"/>
    <w:rsid w:val="005B1225"/>
    <w:rsid w:val="005B17D8"/>
    <w:rsid w:val="005B1D82"/>
    <w:rsid w:val="005B4077"/>
    <w:rsid w:val="005C28B0"/>
    <w:rsid w:val="005C2F01"/>
    <w:rsid w:val="005C5F3C"/>
    <w:rsid w:val="005D01BE"/>
    <w:rsid w:val="005D1177"/>
    <w:rsid w:val="005D1D13"/>
    <w:rsid w:val="005D5460"/>
    <w:rsid w:val="005E08CD"/>
    <w:rsid w:val="005E37E8"/>
    <w:rsid w:val="005E74C5"/>
    <w:rsid w:val="005F219D"/>
    <w:rsid w:val="005F2437"/>
    <w:rsid w:val="005F318A"/>
    <w:rsid w:val="005F7710"/>
    <w:rsid w:val="006004F7"/>
    <w:rsid w:val="00600D4C"/>
    <w:rsid w:val="00600F10"/>
    <w:rsid w:val="00603261"/>
    <w:rsid w:val="00607597"/>
    <w:rsid w:val="00610F93"/>
    <w:rsid w:val="006127CC"/>
    <w:rsid w:val="006243C6"/>
    <w:rsid w:val="006273BC"/>
    <w:rsid w:val="00632009"/>
    <w:rsid w:val="00632B30"/>
    <w:rsid w:val="00633CF1"/>
    <w:rsid w:val="00635A6C"/>
    <w:rsid w:val="00637091"/>
    <w:rsid w:val="00641A95"/>
    <w:rsid w:val="00642839"/>
    <w:rsid w:val="006457F8"/>
    <w:rsid w:val="00645A17"/>
    <w:rsid w:val="00645CCB"/>
    <w:rsid w:val="0064700E"/>
    <w:rsid w:val="006478CB"/>
    <w:rsid w:val="00650B88"/>
    <w:rsid w:val="00652C58"/>
    <w:rsid w:val="006530EF"/>
    <w:rsid w:val="006554DD"/>
    <w:rsid w:val="00660951"/>
    <w:rsid w:val="006636E2"/>
    <w:rsid w:val="00666273"/>
    <w:rsid w:val="006664EF"/>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3340"/>
    <w:rsid w:val="006A04C7"/>
    <w:rsid w:val="006B05E3"/>
    <w:rsid w:val="006B09BC"/>
    <w:rsid w:val="006B6D5D"/>
    <w:rsid w:val="006B7B5A"/>
    <w:rsid w:val="006C0801"/>
    <w:rsid w:val="006C0C2C"/>
    <w:rsid w:val="006C1EAA"/>
    <w:rsid w:val="006C216F"/>
    <w:rsid w:val="006C45D4"/>
    <w:rsid w:val="006D2042"/>
    <w:rsid w:val="006D66E3"/>
    <w:rsid w:val="006D7855"/>
    <w:rsid w:val="006D7DE6"/>
    <w:rsid w:val="006E010C"/>
    <w:rsid w:val="006E1003"/>
    <w:rsid w:val="006E16BF"/>
    <w:rsid w:val="006E18F0"/>
    <w:rsid w:val="006E38AF"/>
    <w:rsid w:val="006E4F93"/>
    <w:rsid w:val="00700135"/>
    <w:rsid w:val="00705180"/>
    <w:rsid w:val="00711605"/>
    <w:rsid w:val="00711DF6"/>
    <w:rsid w:val="00715917"/>
    <w:rsid w:val="00716FBC"/>
    <w:rsid w:val="00717090"/>
    <w:rsid w:val="00720739"/>
    <w:rsid w:val="0072253E"/>
    <w:rsid w:val="00723E1F"/>
    <w:rsid w:val="0072443D"/>
    <w:rsid w:val="007247E5"/>
    <w:rsid w:val="007248B7"/>
    <w:rsid w:val="007254CA"/>
    <w:rsid w:val="00727848"/>
    <w:rsid w:val="00730CF8"/>
    <w:rsid w:val="00731A90"/>
    <w:rsid w:val="00732608"/>
    <w:rsid w:val="00733251"/>
    <w:rsid w:val="00736DCA"/>
    <w:rsid w:val="00745C47"/>
    <w:rsid w:val="00746DAD"/>
    <w:rsid w:val="0075003D"/>
    <w:rsid w:val="00751D97"/>
    <w:rsid w:val="00752C55"/>
    <w:rsid w:val="007562D4"/>
    <w:rsid w:val="007573FA"/>
    <w:rsid w:val="00761DBF"/>
    <w:rsid w:val="00761FCF"/>
    <w:rsid w:val="00765503"/>
    <w:rsid w:val="00767B7E"/>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4CA9"/>
    <w:rsid w:val="007A6D20"/>
    <w:rsid w:val="007A7D19"/>
    <w:rsid w:val="007A7EC2"/>
    <w:rsid w:val="007B042D"/>
    <w:rsid w:val="007B05BB"/>
    <w:rsid w:val="007B6E0A"/>
    <w:rsid w:val="007B764C"/>
    <w:rsid w:val="007C118A"/>
    <w:rsid w:val="007C636F"/>
    <w:rsid w:val="007D39EB"/>
    <w:rsid w:val="007E4B26"/>
    <w:rsid w:val="007E74E1"/>
    <w:rsid w:val="007E77A8"/>
    <w:rsid w:val="007F491C"/>
    <w:rsid w:val="007F7F25"/>
    <w:rsid w:val="00803BF8"/>
    <w:rsid w:val="008061C9"/>
    <w:rsid w:val="008066D8"/>
    <w:rsid w:val="00811552"/>
    <w:rsid w:val="00811A18"/>
    <w:rsid w:val="00813711"/>
    <w:rsid w:val="00821E64"/>
    <w:rsid w:val="008263C2"/>
    <w:rsid w:val="008307DB"/>
    <w:rsid w:val="00831DD6"/>
    <w:rsid w:val="00833398"/>
    <w:rsid w:val="00835D9D"/>
    <w:rsid w:val="00835FC9"/>
    <w:rsid w:val="008368F8"/>
    <w:rsid w:val="008370E3"/>
    <w:rsid w:val="00837198"/>
    <w:rsid w:val="008418FA"/>
    <w:rsid w:val="00842959"/>
    <w:rsid w:val="00843390"/>
    <w:rsid w:val="0085235A"/>
    <w:rsid w:val="00854138"/>
    <w:rsid w:val="00854410"/>
    <w:rsid w:val="008544DF"/>
    <w:rsid w:val="00860AAD"/>
    <w:rsid w:val="00861AA6"/>
    <w:rsid w:val="008708F3"/>
    <w:rsid w:val="00871354"/>
    <w:rsid w:val="00873611"/>
    <w:rsid w:val="00873C8F"/>
    <w:rsid w:val="00874FB3"/>
    <w:rsid w:val="00880BE3"/>
    <w:rsid w:val="00881359"/>
    <w:rsid w:val="00882093"/>
    <w:rsid w:val="00882588"/>
    <w:rsid w:val="00884ADE"/>
    <w:rsid w:val="008856CF"/>
    <w:rsid w:val="00885864"/>
    <w:rsid w:val="00885E5C"/>
    <w:rsid w:val="00890A1D"/>
    <w:rsid w:val="0089383B"/>
    <w:rsid w:val="0089534B"/>
    <w:rsid w:val="0089616F"/>
    <w:rsid w:val="008A0232"/>
    <w:rsid w:val="008A433B"/>
    <w:rsid w:val="008B0470"/>
    <w:rsid w:val="008B06C5"/>
    <w:rsid w:val="008B164E"/>
    <w:rsid w:val="008B502A"/>
    <w:rsid w:val="008B57D8"/>
    <w:rsid w:val="008B7A65"/>
    <w:rsid w:val="008C1219"/>
    <w:rsid w:val="008C123E"/>
    <w:rsid w:val="008C137D"/>
    <w:rsid w:val="008C22DD"/>
    <w:rsid w:val="008C299E"/>
    <w:rsid w:val="008C3ED0"/>
    <w:rsid w:val="008C5E94"/>
    <w:rsid w:val="008D196A"/>
    <w:rsid w:val="008D60AA"/>
    <w:rsid w:val="008E3EF2"/>
    <w:rsid w:val="008E51C9"/>
    <w:rsid w:val="008E5BEB"/>
    <w:rsid w:val="008E6306"/>
    <w:rsid w:val="008E65E1"/>
    <w:rsid w:val="008F68F7"/>
    <w:rsid w:val="009005A6"/>
    <w:rsid w:val="009006CF"/>
    <w:rsid w:val="00900C71"/>
    <w:rsid w:val="00902A1C"/>
    <w:rsid w:val="009037B6"/>
    <w:rsid w:val="0090446F"/>
    <w:rsid w:val="00906A0B"/>
    <w:rsid w:val="00906CBE"/>
    <w:rsid w:val="00910024"/>
    <w:rsid w:val="00910384"/>
    <w:rsid w:val="0091643D"/>
    <w:rsid w:val="00916E33"/>
    <w:rsid w:val="0092093B"/>
    <w:rsid w:val="00930669"/>
    <w:rsid w:val="00932C33"/>
    <w:rsid w:val="00935410"/>
    <w:rsid w:val="009427A1"/>
    <w:rsid w:val="00942FFE"/>
    <w:rsid w:val="00943CBE"/>
    <w:rsid w:val="009551E0"/>
    <w:rsid w:val="0095654E"/>
    <w:rsid w:val="00956F3C"/>
    <w:rsid w:val="00971C34"/>
    <w:rsid w:val="00972488"/>
    <w:rsid w:val="009726D0"/>
    <w:rsid w:val="0097421D"/>
    <w:rsid w:val="00976117"/>
    <w:rsid w:val="00976A23"/>
    <w:rsid w:val="009800BC"/>
    <w:rsid w:val="009816F6"/>
    <w:rsid w:val="00981F1E"/>
    <w:rsid w:val="009900F0"/>
    <w:rsid w:val="00990B9B"/>
    <w:rsid w:val="00991769"/>
    <w:rsid w:val="00993236"/>
    <w:rsid w:val="00993D8C"/>
    <w:rsid w:val="00994E3D"/>
    <w:rsid w:val="009A297E"/>
    <w:rsid w:val="009A6127"/>
    <w:rsid w:val="009B0CC1"/>
    <w:rsid w:val="009B713C"/>
    <w:rsid w:val="009C0F18"/>
    <w:rsid w:val="009C12C6"/>
    <w:rsid w:val="009C2555"/>
    <w:rsid w:val="009C7778"/>
    <w:rsid w:val="009D06AE"/>
    <w:rsid w:val="009D09E2"/>
    <w:rsid w:val="009D1E42"/>
    <w:rsid w:val="009D7148"/>
    <w:rsid w:val="009E02FD"/>
    <w:rsid w:val="009E4C74"/>
    <w:rsid w:val="009E62B6"/>
    <w:rsid w:val="009F35DA"/>
    <w:rsid w:val="009F43D0"/>
    <w:rsid w:val="009F72B5"/>
    <w:rsid w:val="00A00568"/>
    <w:rsid w:val="00A00884"/>
    <w:rsid w:val="00A02F62"/>
    <w:rsid w:val="00A02FA3"/>
    <w:rsid w:val="00A030C3"/>
    <w:rsid w:val="00A04729"/>
    <w:rsid w:val="00A04803"/>
    <w:rsid w:val="00A10147"/>
    <w:rsid w:val="00A11331"/>
    <w:rsid w:val="00A131E6"/>
    <w:rsid w:val="00A13843"/>
    <w:rsid w:val="00A146A5"/>
    <w:rsid w:val="00A16D26"/>
    <w:rsid w:val="00A17466"/>
    <w:rsid w:val="00A204B3"/>
    <w:rsid w:val="00A20576"/>
    <w:rsid w:val="00A21593"/>
    <w:rsid w:val="00A221F7"/>
    <w:rsid w:val="00A22C21"/>
    <w:rsid w:val="00A25A3D"/>
    <w:rsid w:val="00A2604E"/>
    <w:rsid w:val="00A31CCE"/>
    <w:rsid w:val="00A33C95"/>
    <w:rsid w:val="00A34FF3"/>
    <w:rsid w:val="00A35351"/>
    <w:rsid w:val="00A361C7"/>
    <w:rsid w:val="00A36723"/>
    <w:rsid w:val="00A46DF5"/>
    <w:rsid w:val="00A5149A"/>
    <w:rsid w:val="00A53650"/>
    <w:rsid w:val="00A53E51"/>
    <w:rsid w:val="00A57183"/>
    <w:rsid w:val="00A60693"/>
    <w:rsid w:val="00A6196D"/>
    <w:rsid w:val="00A619C0"/>
    <w:rsid w:val="00A61ADF"/>
    <w:rsid w:val="00A624CB"/>
    <w:rsid w:val="00A62AC0"/>
    <w:rsid w:val="00A76BD2"/>
    <w:rsid w:val="00A8267D"/>
    <w:rsid w:val="00A82E14"/>
    <w:rsid w:val="00A85487"/>
    <w:rsid w:val="00A8688E"/>
    <w:rsid w:val="00A8722B"/>
    <w:rsid w:val="00A901E9"/>
    <w:rsid w:val="00A917B6"/>
    <w:rsid w:val="00A91831"/>
    <w:rsid w:val="00A91B3B"/>
    <w:rsid w:val="00A93B4F"/>
    <w:rsid w:val="00A94C01"/>
    <w:rsid w:val="00A94F7A"/>
    <w:rsid w:val="00A95D3B"/>
    <w:rsid w:val="00A97341"/>
    <w:rsid w:val="00AA0081"/>
    <w:rsid w:val="00AA4E4D"/>
    <w:rsid w:val="00AB09ED"/>
    <w:rsid w:val="00AB3DC0"/>
    <w:rsid w:val="00AB4CBB"/>
    <w:rsid w:val="00AC125E"/>
    <w:rsid w:val="00AC45DF"/>
    <w:rsid w:val="00AC474D"/>
    <w:rsid w:val="00AC4DFD"/>
    <w:rsid w:val="00AC5663"/>
    <w:rsid w:val="00AC58FD"/>
    <w:rsid w:val="00AD0F6D"/>
    <w:rsid w:val="00AD1166"/>
    <w:rsid w:val="00AD19D2"/>
    <w:rsid w:val="00AD1A96"/>
    <w:rsid w:val="00AD3042"/>
    <w:rsid w:val="00AD418C"/>
    <w:rsid w:val="00AD793A"/>
    <w:rsid w:val="00AE0120"/>
    <w:rsid w:val="00AE2959"/>
    <w:rsid w:val="00AE3038"/>
    <w:rsid w:val="00AE3D4A"/>
    <w:rsid w:val="00AE5956"/>
    <w:rsid w:val="00AE619F"/>
    <w:rsid w:val="00AE7A88"/>
    <w:rsid w:val="00AF2A56"/>
    <w:rsid w:val="00AF63AB"/>
    <w:rsid w:val="00B01784"/>
    <w:rsid w:val="00B0388B"/>
    <w:rsid w:val="00B03BEE"/>
    <w:rsid w:val="00B0517E"/>
    <w:rsid w:val="00B11314"/>
    <w:rsid w:val="00B113E3"/>
    <w:rsid w:val="00B1156A"/>
    <w:rsid w:val="00B138E3"/>
    <w:rsid w:val="00B13FB5"/>
    <w:rsid w:val="00B178FA"/>
    <w:rsid w:val="00B17D8E"/>
    <w:rsid w:val="00B207C3"/>
    <w:rsid w:val="00B23267"/>
    <w:rsid w:val="00B23906"/>
    <w:rsid w:val="00B24125"/>
    <w:rsid w:val="00B257BF"/>
    <w:rsid w:val="00B27149"/>
    <w:rsid w:val="00B35B4D"/>
    <w:rsid w:val="00B362F0"/>
    <w:rsid w:val="00B36652"/>
    <w:rsid w:val="00B425AB"/>
    <w:rsid w:val="00B47090"/>
    <w:rsid w:val="00B532D1"/>
    <w:rsid w:val="00B61E3E"/>
    <w:rsid w:val="00B67A79"/>
    <w:rsid w:val="00B72D62"/>
    <w:rsid w:val="00B767AF"/>
    <w:rsid w:val="00B80511"/>
    <w:rsid w:val="00B80798"/>
    <w:rsid w:val="00B80876"/>
    <w:rsid w:val="00B82C3C"/>
    <w:rsid w:val="00B82DE6"/>
    <w:rsid w:val="00B831CD"/>
    <w:rsid w:val="00B85329"/>
    <w:rsid w:val="00B87108"/>
    <w:rsid w:val="00B91B9D"/>
    <w:rsid w:val="00BA5E20"/>
    <w:rsid w:val="00BA607C"/>
    <w:rsid w:val="00BA6734"/>
    <w:rsid w:val="00BB22C3"/>
    <w:rsid w:val="00BB3E2A"/>
    <w:rsid w:val="00BB7121"/>
    <w:rsid w:val="00BC0479"/>
    <w:rsid w:val="00BC1651"/>
    <w:rsid w:val="00BC16F5"/>
    <w:rsid w:val="00BC18FF"/>
    <w:rsid w:val="00BC287D"/>
    <w:rsid w:val="00BC2A38"/>
    <w:rsid w:val="00BC46EB"/>
    <w:rsid w:val="00BC643B"/>
    <w:rsid w:val="00BD32E5"/>
    <w:rsid w:val="00BD36C4"/>
    <w:rsid w:val="00BD5CF6"/>
    <w:rsid w:val="00BD758B"/>
    <w:rsid w:val="00BE1095"/>
    <w:rsid w:val="00BE150A"/>
    <w:rsid w:val="00BE6767"/>
    <w:rsid w:val="00BE78EC"/>
    <w:rsid w:val="00BF46EE"/>
    <w:rsid w:val="00C0613C"/>
    <w:rsid w:val="00C10D05"/>
    <w:rsid w:val="00C14FBA"/>
    <w:rsid w:val="00C15EA1"/>
    <w:rsid w:val="00C17A8E"/>
    <w:rsid w:val="00C24F70"/>
    <w:rsid w:val="00C25DC2"/>
    <w:rsid w:val="00C303D7"/>
    <w:rsid w:val="00C33479"/>
    <w:rsid w:val="00C40ED2"/>
    <w:rsid w:val="00C41F10"/>
    <w:rsid w:val="00C432DD"/>
    <w:rsid w:val="00C4423A"/>
    <w:rsid w:val="00C501FE"/>
    <w:rsid w:val="00C5784B"/>
    <w:rsid w:val="00C639FF"/>
    <w:rsid w:val="00C6442A"/>
    <w:rsid w:val="00C64D15"/>
    <w:rsid w:val="00C66088"/>
    <w:rsid w:val="00C67C4C"/>
    <w:rsid w:val="00C743BA"/>
    <w:rsid w:val="00C74B5D"/>
    <w:rsid w:val="00C74F74"/>
    <w:rsid w:val="00C7554B"/>
    <w:rsid w:val="00C80951"/>
    <w:rsid w:val="00C8205E"/>
    <w:rsid w:val="00C82EB5"/>
    <w:rsid w:val="00C84CDD"/>
    <w:rsid w:val="00C86AAD"/>
    <w:rsid w:val="00C87966"/>
    <w:rsid w:val="00C902DE"/>
    <w:rsid w:val="00C916AE"/>
    <w:rsid w:val="00C93AAA"/>
    <w:rsid w:val="00C95FCD"/>
    <w:rsid w:val="00C97188"/>
    <w:rsid w:val="00C97D83"/>
    <w:rsid w:val="00CA0639"/>
    <w:rsid w:val="00CA11D0"/>
    <w:rsid w:val="00CA2E02"/>
    <w:rsid w:val="00CA583A"/>
    <w:rsid w:val="00CA5EC6"/>
    <w:rsid w:val="00CB5744"/>
    <w:rsid w:val="00CB7022"/>
    <w:rsid w:val="00CB7BC5"/>
    <w:rsid w:val="00CC3EB7"/>
    <w:rsid w:val="00CC49A5"/>
    <w:rsid w:val="00CC586D"/>
    <w:rsid w:val="00CC7DBC"/>
    <w:rsid w:val="00CD1BA3"/>
    <w:rsid w:val="00CD1D23"/>
    <w:rsid w:val="00CD3612"/>
    <w:rsid w:val="00CD38B7"/>
    <w:rsid w:val="00CD3E69"/>
    <w:rsid w:val="00CD6B7D"/>
    <w:rsid w:val="00CD7D29"/>
    <w:rsid w:val="00CE0847"/>
    <w:rsid w:val="00CE0B6C"/>
    <w:rsid w:val="00CE11D0"/>
    <w:rsid w:val="00CE4708"/>
    <w:rsid w:val="00CE4C50"/>
    <w:rsid w:val="00CE6858"/>
    <w:rsid w:val="00CE7450"/>
    <w:rsid w:val="00CE770C"/>
    <w:rsid w:val="00CF50BE"/>
    <w:rsid w:val="00CF7625"/>
    <w:rsid w:val="00D00724"/>
    <w:rsid w:val="00D0506A"/>
    <w:rsid w:val="00D1289C"/>
    <w:rsid w:val="00D1666F"/>
    <w:rsid w:val="00D2071A"/>
    <w:rsid w:val="00D2710C"/>
    <w:rsid w:val="00D30F73"/>
    <w:rsid w:val="00D30F97"/>
    <w:rsid w:val="00D313A0"/>
    <w:rsid w:val="00D314C0"/>
    <w:rsid w:val="00D35CEF"/>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3DB1"/>
    <w:rsid w:val="00D64C48"/>
    <w:rsid w:val="00D6680B"/>
    <w:rsid w:val="00D72F4F"/>
    <w:rsid w:val="00D731C4"/>
    <w:rsid w:val="00D74EB4"/>
    <w:rsid w:val="00D801FC"/>
    <w:rsid w:val="00D85BE0"/>
    <w:rsid w:val="00D87FD7"/>
    <w:rsid w:val="00D91466"/>
    <w:rsid w:val="00D915ED"/>
    <w:rsid w:val="00D92300"/>
    <w:rsid w:val="00D94AFC"/>
    <w:rsid w:val="00D950E6"/>
    <w:rsid w:val="00D97047"/>
    <w:rsid w:val="00DA3619"/>
    <w:rsid w:val="00DB0B88"/>
    <w:rsid w:val="00DB1652"/>
    <w:rsid w:val="00DB58A6"/>
    <w:rsid w:val="00DB6B99"/>
    <w:rsid w:val="00DC001A"/>
    <w:rsid w:val="00DD4F44"/>
    <w:rsid w:val="00DD686C"/>
    <w:rsid w:val="00DE1DE8"/>
    <w:rsid w:val="00DE2AC3"/>
    <w:rsid w:val="00DE2E40"/>
    <w:rsid w:val="00DE3598"/>
    <w:rsid w:val="00DE3FBD"/>
    <w:rsid w:val="00DE43F5"/>
    <w:rsid w:val="00DE65FB"/>
    <w:rsid w:val="00DE6C75"/>
    <w:rsid w:val="00DF420A"/>
    <w:rsid w:val="00E02472"/>
    <w:rsid w:val="00E041F0"/>
    <w:rsid w:val="00E128D8"/>
    <w:rsid w:val="00E130C3"/>
    <w:rsid w:val="00E15D40"/>
    <w:rsid w:val="00E17EDF"/>
    <w:rsid w:val="00E2082D"/>
    <w:rsid w:val="00E221E2"/>
    <w:rsid w:val="00E24303"/>
    <w:rsid w:val="00E27A16"/>
    <w:rsid w:val="00E366AC"/>
    <w:rsid w:val="00E40F7B"/>
    <w:rsid w:val="00E418CF"/>
    <w:rsid w:val="00E46D60"/>
    <w:rsid w:val="00E47C33"/>
    <w:rsid w:val="00E47F58"/>
    <w:rsid w:val="00E50939"/>
    <w:rsid w:val="00E52A26"/>
    <w:rsid w:val="00E54BFC"/>
    <w:rsid w:val="00E56D9D"/>
    <w:rsid w:val="00E60E2E"/>
    <w:rsid w:val="00E63129"/>
    <w:rsid w:val="00E71A2D"/>
    <w:rsid w:val="00E74A73"/>
    <w:rsid w:val="00E823C1"/>
    <w:rsid w:val="00E82DB7"/>
    <w:rsid w:val="00E8579C"/>
    <w:rsid w:val="00E865FE"/>
    <w:rsid w:val="00E91408"/>
    <w:rsid w:val="00E91759"/>
    <w:rsid w:val="00E9654B"/>
    <w:rsid w:val="00EA18DB"/>
    <w:rsid w:val="00EA2FBA"/>
    <w:rsid w:val="00EA4DC5"/>
    <w:rsid w:val="00EA66DF"/>
    <w:rsid w:val="00EA6ADC"/>
    <w:rsid w:val="00EB13A7"/>
    <w:rsid w:val="00EB14DF"/>
    <w:rsid w:val="00EB1A4D"/>
    <w:rsid w:val="00EB3A07"/>
    <w:rsid w:val="00EB5539"/>
    <w:rsid w:val="00EC1FCF"/>
    <w:rsid w:val="00EC2C42"/>
    <w:rsid w:val="00EC3F31"/>
    <w:rsid w:val="00EC52E7"/>
    <w:rsid w:val="00ED3698"/>
    <w:rsid w:val="00ED4794"/>
    <w:rsid w:val="00EE265C"/>
    <w:rsid w:val="00EE5C63"/>
    <w:rsid w:val="00F0095C"/>
    <w:rsid w:val="00F01129"/>
    <w:rsid w:val="00F01CCA"/>
    <w:rsid w:val="00F01F2C"/>
    <w:rsid w:val="00F02104"/>
    <w:rsid w:val="00F06C17"/>
    <w:rsid w:val="00F1632B"/>
    <w:rsid w:val="00F334CB"/>
    <w:rsid w:val="00F3495A"/>
    <w:rsid w:val="00F34E2C"/>
    <w:rsid w:val="00F370BC"/>
    <w:rsid w:val="00F37143"/>
    <w:rsid w:val="00F50562"/>
    <w:rsid w:val="00F50A92"/>
    <w:rsid w:val="00F50D01"/>
    <w:rsid w:val="00F56BC1"/>
    <w:rsid w:val="00F618C4"/>
    <w:rsid w:val="00F65774"/>
    <w:rsid w:val="00F65A34"/>
    <w:rsid w:val="00F65F4C"/>
    <w:rsid w:val="00F71A60"/>
    <w:rsid w:val="00F725DA"/>
    <w:rsid w:val="00F7536E"/>
    <w:rsid w:val="00F75652"/>
    <w:rsid w:val="00F77EAC"/>
    <w:rsid w:val="00F8168B"/>
    <w:rsid w:val="00F81CF2"/>
    <w:rsid w:val="00F81F93"/>
    <w:rsid w:val="00F857D1"/>
    <w:rsid w:val="00F91DCC"/>
    <w:rsid w:val="00F9323F"/>
    <w:rsid w:val="00F943FE"/>
    <w:rsid w:val="00F95814"/>
    <w:rsid w:val="00F95CE9"/>
    <w:rsid w:val="00F97100"/>
    <w:rsid w:val="00FA01D9"/>
    <w:rsid w:val="00FA1F36"/>
    <w:rsid w:val="00FB0777"/>
    <w:rsid w:val="00FC1DFB"/>
    <w:rsid w:val="00FC1EF2"/>
    <w:rsid w:val="00FC3343"/>
    <w:rsid w:val="00FC33BA"/>
    <w:rsid w:val="00FC35AB"/>
    <w:rsid w:val="00FC6134"/>
    <w:rsid w:val="00FC654D"/>
    <w:rsid w:val="00FD0555"/>
    <w:rsid w:val="00FD5961"/>
    <w:rsid w:val="00FE3EFA"/>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2" w:unhideWhenUsed="0" w:qFormat="1"/>
    <w:lsdException w:name="heading 3" w:semiHidden="0" w:unhideWhenUsed="0" w:qFormat="1"/>
    <w:lsdException w:name="heading 4" w:semiHidden="0" w:unhideWhenUsed="0"/>
    <w:lsdException w:name="heading 5"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2A4C1B"/>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semiHidden/>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1904F9"/>
    <w:pPr>
      <w:tabs>
        <w:tab w:val="left" w:pos="440"/>
        <w:tab w:val="right" w:leader="dot" w:pos="9356"/>
      </w:tabs>
      <w:spacing w:before="240" w:after="60" w:line="240" w:lineRule="auto"/>
    </w:pPr>
    <w:rPr>
      <w:noProof/>
    </w:rPr>
  </w:style>
  <w:style w:type="paragraph" w:styleId="TOC2">
    <w:name w:val="toc 2"/>
    <w:basedOn w:val="Normal"/>
    <w:next w:val="Normal"/>
    <w:autoRedefine/>
    <w:uiPriority w:val="39"/>
    <w:rsid w:val="001904F9"/>
    <w:pPr>
      <w:tabs>
        <w:tab w:val="right" w:leader="dot" w:pos="9356"/>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uiPriority w:val="1"/>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ind w:left="907" w:hanging="907"/>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600F10"/>
    <w:pPr>
      <w:spacing w:before="0" w:after="1320" w:line="260" w:lineRule="atLeast"/>
    </w:pPr>
    <w:rPr>
      <w:noProof/>
      <w:color w:val="FFFFFF" w:themeColor="background1"/>
    </w:rPr>
  </w:style>
  <w:style w:type="paragraph" w:styleId="CommentText">
    <w:name w:val="annotation text"/>
    <w:basedOn w:val="Normal"/>
    <w:link w:val="CommentTextChar"/>
    <w:semiHidden/>
    <w:unhideWhenUsed/>
    <w:rsid w:val="00E15D40"/>
    <w:pPr>
      <w:spacing w:line="240" w:lineRule="auto"/>
    </w:pPr>
    <w:rPr>
      <w:sz w:val="20"/>
      <w:szCs w:val="20"/>
    </w:rPr>
  </w:style>
  <w:style w:type="character" w:customStyle="1" w:styleId="CommentTextChar">
    <w:name w:val="Comment Text Char"/>
    <w:basedOn w:val="DefaultParagraphFont"/>
    <w:link w:val="CommentText"/>
    <w:semiHidden/>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1904F9"/>
    <w:pPr>
      <w:tabs>
        <w:tab w:val="right" w:leader="dot" w:pos="9356"/>
      </w:tabs>
      <w:spacing w:before="60" w:after="60"/>
      <w:ind w:left="442"/>
    </w:pPr>
  </w:style>
  <w:style w:type="table" w:styleId="MediumShading1-Accent5">
    <w:name w:val="Medium Shading 1 Accent 5"/>
    <w:basedOn w:val="TableNormal"/>
    <w:uiPriority w:val="63"/>
    <w:rsid w:val="00154D81"/>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cBorders>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insideH w:val="nil"/>
          <w:insideV w:val="nil"/>
        </w:tcBorders>
      </w:tcPr>
    </w:tblStylePr>
    <w:tblStylePr w:type="firstCol">
      <w:rPr>
        <w:b/>
        <w:bCs/>
      </w:rPr>
    </w:tblStylePr>
    <w:tblStylePr w:type="lastCol">
      <w:rPr>
        <w:b/>
        <w:bCs/>
      </w:rPr>
    </w:tblStylePr>
    <w:tblStylePr w:type="band1Vert">
      <w:tblPr/>
      <w:tcPr>
        <w:shd w:val="clear" w:color="auto" w:fill="E4E4E5" w:themeFill="accent5" w:themeFillTint="3F"/>
      </w:tcPr>
    </w:tblStylePr>
    <w:tblStylePr w:type="band1Horz">
      <w:tblPr/>
      <w:tcPr>
        <w:tcBorders>
          <w:insideH w:val="nil"/>
          <w:insideV w:val="nil"/>
        </w:tcBorders>
        <w:shd w:val="clear" w:color="auto" w:fill="E4E4E5" w:themeFill="accent5" w:themeFillTint="3F"/>
      </w:tcPr>
    </w:tblStylePr>
    <w:tblStylePr w:type="band2Horz">
      <w:tblPr/>
      <w:tcPr>
        <w:tcBorders>
          <w:insideH w:val="nil"/>
          <w:insideV w:val="nil"/>
        </w:tcBorders>
      </w:tcPr>
    </w:tblStylePr>
  </w:style>
  <w:style w:type="character" w:customStyle="1" w:styleId="ListParagraphChar">
    <w:name w:val="List Paragraph Char"/>
    <w:link w:val="ListParagraph"/>
    <w:uiPriority w:val="34"/>
    <w:locked/>
    <w:rsid w:val="00154D81"/>
    <w:rPr>
      <w:rFonts w:ascii="Arial" w:hAnsi="Arial"/>
      <w:sz w:val="22"/>
      <w:szCs w:val="24"/>
    </w:rPr>
  </w:style>
  <w:style w:type="character" w:styleId="IntenseReference">
    <w:name w:val="Intense Reference"/>
    <w:basedOn w:val="DefaultParagraphFont"/>
    <w:uiPriority w:val="32"/>
    <w:qFormat/>
    <w:rsid w:val="00154D81"/>
    <w:rPr>
      <w:b/>
      <w:bCs/>
      <w:i/>
      <w:smallCaps/>
      <w:color w:val="008A00" w:themeColor="accent2"/>
      <w:spacing w:val="5"/>
      <w:u w:val="none"/>
    </w:rPr>
  </w:style>
  <w:style w:type="character" w:styleId="CommentReference">
    <w:name w:val="annotation reference"/>
    <w:basedOn w:val="DefaultParagraphFont"/>
    <w:semiHidden/>
    <w:unhideWhenUsed/>
    <w:rsid w:val="00B871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2" w:unhideWhenUsed="0" w:qFormat="1"/>
    <w:lsdException w:name="heading 3" w:semiHidden="0" w:unhideWhenUsed="0" w:qFormat="1"/>
    <w:lsdException w:name="heading 4" w:semiHidden="0" w:unhideWhenUsed="0"/>
    <w:lsdException w:name="heading 5"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2A4C1B"/>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semiHidden/>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1904F9"/>
    <w:pPr>
      <w:tabs>
        <w:tab w:val="left" w:pos="440"/>
        <w:tab w:val="right" w:leader="dot" w:pos="9356"/>
      </w:tabs>
      <w:spacing w:before="240" w:after="60" w:line="240" w:lineRule="auto"/>
    </w:pPr>
    <w:rPr>
      <w:noProof/>
    </w:rPr>
  </w:style>
  <w:style w:type="paragraph" w:styleId="TOC2">
    <w:name w:val="toc 2"/>
    <w:basedOn w:val="Normal"/>
    <w:next w:val="Normal"/>
    <w:autoRedefine/>
    <w:uiPriority w:val="39"/>
    <w:rsid w:val="001904F9"/>
    <w:pPr>
      <w:tabs>
        <w:tab w:val="right" w:leader="dot" w:pos="9356"/>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uiPriority w:val="1"/>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ind w:left="907" w:hanging="907"/>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600F10"/>
    <w:pPr>
      <w:spacing w:before="0" w:after="1320" w:line="260" w:lineRule="atLeast"/>
    </w:pPr>
    <w:rPr>
      <w:noProof/>
      <w:color w:val="FFFFFF" w:themeColor="background1"/>
    </w:rPr>
  </w:style>
  <w:style w:type="paragraph" w:styleId="CommentText">
    <w:name w:val="annotation text"/>
    <w:basedOn w:val="Normal"/>
    <w:link w:val="CommentTextChar"/>
    <w:semiHidden/>
    <w:unhideWhenUsed/>
    <w:rsid w:val="00E15D40"/>
    <w:pPr>
      <w:spacing w:line="240" w:lineRule="auto"/>
    </w:pPr>
    <w:rPr>
      <w:sz w:val="20"/>
      <w:szCs w:val="20"/>
    </w:rPr>
  </w:style>
  <w:style w:type="character" w:customStyle="1" w:styleId="CommentTextChar">
    <w:name w:val="Comment Text Char"/>
    <w:basedOn w:val="DefaultParagraphFont"/>
    <w:link w:val="CommentText"/>
    <w:semiHidden/>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1904F9"/>
    <w:pPr>
      <w:tabs>
        <w:tab w:val="right" w:leader="dot" w:pos="9356"/>
      </w:tabs>
      <w:spacing w:before="60" w:after="60"/>
      <w:ind w:left="442"/>
    </w:pPr>
  </w:style>
  <w:style w:type="table" w:styleId="MediumShading1-Accent5">
    <w:name w:val="Medium Shading 1 Accent 5"/>
    <w:basedOn w:val="TableNormal"/>
    <w:uiPriority w:val="63"/>
    <w:rsid w:val="00154D81"/>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cBorders>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insideH w:val="nil"/>
          <w:insideV w:val="nil"/>
        </w:tcBorders>
      </w:tcPr>
    </w:tblStylePr>
    <w:tblStylePr w:type="firstCol">
      <w:rPr>
        <w:b/>
        <w:bCs/>
      </w:rPr>
    </w:tblStylePr>
    <w:tblStylePr w:type="lastCol">
      <w:rPr>
        <w:b/>
        <w:bCs/>
      </w:rPr>
    </w:tblStylePr>
    <w:tblStylePr w:type="band1Vert">
      <w:tblPr/>
      <w:tcPr>
        <w:shd w:val="clear" w:color="auto" w:fill="E4E4E5" w:themeFill="accent5" w:themeFillTint="3F"/>
      </w:tcPr>
    </w:tblStylePr>
    <w:tblStylePr w:type="band1Horz">
      <w:tblPr/>
      <w:tcPr>
        <w:tcBorders>
          <w:insideH w:val="nil"/>
          <w:insideV w:val="nil"/>
        </w:tcBorders>
        <w:shd w:val="clear" w:color="auto" w:fill="E4E4E5" w:themeFill="accent5" w:themeFillTint="3F"/>
      </w:tcPr>
    </w:tblStylePr>
    <w:tblStylePr w:type="band2Horz">
      <w:tblPr/>
      <w:tcPr>
        <w:tcBorders>
          <w:insideH w:val="nil"/>
          <w:insideV w:val="nil"/>
        </w:tcBorders>
      </w:tcPr>
    </w:tblStylePr>
  </w:style>
  <w:style w:type="character" w:customStyle="1" w:styleId="ListParagraphChar">
    <w:name w:val="List Paragraph Char"/>
    <w:link w:val="ListParagraph"/>
    <w:uiPriority w:val="34"/>
    <w:locked/>
    <w:rsid w:val="00154D81"/>
    <w:rPr>
      <w:rFonts w:ascii="Arial" w:hAnsi="Arial"/>
      <w:sz w:val="22"/>
      <w:szCs w:val="24"/>
    </w:rPr>
  </w:style>
  <w:style w:type="character" w:styleId="IntenseReference">
    <w:name w:val="Intense Reference"/>
    <w:basedOn w:val="DefaultParagraphFont"/>
    <w:uiPriority w:val="32"/>
    <w:qFormat/>
    <w:rsid w:val="00154D81"/>
    <w:rPr>
      <w:b/>
      <w:bCs/>
      <w:i/>
      <w:smallCaps/>
      <w:color w:val="008A00" w:themeColor="accent2"/>
      <w:spacing w:val="5"/>
      <w:u w:val="none"/>
    </w:rPr>
  </w:style>
  <w:style w:type="character" w:styleId="CommentReference">
    <w:name w:val="annotation reference"/>
    <w:basedOn w:val="DefaultParagraphFont"/>
    <w:semiHidden/>
    <w:unhideWhenUsed/>
    <w:rsid w:val="00B871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4.jpg"/><Relationship Id="rId26" Type="http://schemas.openxmlformats.org/officeDocument/2006/relationships/hyperlink" Target="http://meteor.aihw.gov.au/content/index.phtml/itemId/681789"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creativecommons.org/licenses/by/3.0/au/legalcode" TargetMode="External"/><Relationship Id="rId17" Type="http://schemas.openxmlformats.org/officeDocument/2006/relationships/hyperlink" Target="http://www.ihpa.gov.au/" TargetMode="External"/><Relationship Id="rId25" Type="http://schemas.openxmlformats.org/officeDocument/2006/relationships/hyperlink" Target="http://meteor.aihw.gov.au/content/index.phtml/itemId/682464" TargetMode="External"/><Relationship Id="rId2" Type="http://schemas.openxmlformats.org/officeDocument/2006/relationships/numbering" Target="numbering.xml"/><Relationship Id="rId16" Type="http://schemas.openxmlformats.org/officeDocument/2006/relationships/hyperlink" Target="http://meteor.aihw.gov.au/content/index.phtml/itemId/575321"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deed.en" TargetMode="External"/><Relationship Id="rId24" Type="http://schemas.openxmlformats.org/officeDocument/2006/relationships/hyperlink" Target="http://meteor.aihw.gov.au/content/index.phtml/itemId/584408" TargetMode="External"/><Relationship Id="rId5" Type="http://schemas.openxmlformats.org/officeDocument/2006/relationships/settings" Target="settings.xml"/><Relationship Id="rId15" Type="http://schemas.openxmlformats.org/officeDocument/2006/relationships/hyperlink" Target="mailto:secretariatihpa@ihpa.gov.au" TargetMode="External"/><Relationship Id="rId23" Type="http://schemas.openxmlformats.org/officeDocument/2006/relationships/hyperlink" Target="https://www.ihpa.gov.au/publications/definitions-and-cost-drivers-mental-health-services-project" TargetMode="External"/><Relationship Id="rId28"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reativecommons.org/licenses/by/3.0/au/deed.en" TargetMode="Externa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IHPA\External%20publication.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6D19-711C-40CA-92F5-A1002826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0</TotalTime>
  <Pages>46</Pages>
  <Words>10488</Words>
  <Characters>59787</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AMHCC v1.0 User Manual 2018</vt:lpstr>
    </vt:vector>
  </TitlesOfParts>
  <Company>Independent Hospital Pricing Authority</Company>
  <LinksUpToDate>false</LinksUpToDate>
  <CharactersWithSpaces>70135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AMHCC v1.0 User Manual 2018</dc:title>
  <dc:creator>Independent Hospital Pricing Authority</dc:creator>
  <cp:lastModifiedBy>MALLAPUR, Suhani</cp:lastModifiedBy>
  <cp:revision>2</cp:revision>
  <cp:lastPrinted>2018-06-04T03:24:00Z</cp:lastPrinted>
  <dcterms:created xsi:type="dcterms:W3CDTF">2018-06-12T23:50:00Z</dcterms:created>
  <dcterms:modified xsi:type="dcterms:W3CDTF">2018-06-12T23:50:00Z</dcterms:modified>
</cp:coreProperties>
</file>